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40.png" ContentType="image/png"/>
  <Override PartName="/word/media/rId113.png" ContentType="image/png"/>
  <Override PartName="/word/media/rId142.png" ContentType="image/png"/>
  <Override PartName="/word/media/rId53.png" ContentType="image/png"/>
  <Override PartName="/word/media/rId48.png" ContentType="image/png"/>
  <Override PartName="/word/media/rId92.png" ContentType="image/png"/>
  <Override PartName="/word/media/rId192.png" ContentType="image/png"/>
  <Override PartName="/word/media/rId210.png" ContentType="image/png"/>
  <Override PartName="/word/media/rId219.png" ContentType="image/png"/>
  <Override PartName="/word/media/rId100.png" ContentType="image/png"/>
  <Override PartName="/word/media/rId135.png" ContentType="image/png"/>
  <Override PartName="/word/media/rId126.png" ContentType="image/png"/>
  <Override PartName="/word/media/rId131.png" ContentType="image/png"/>
  <Override PartName="/word/media/rId120.png" ContentType="image/png"/>
  <Override PartName="/word/media/rId162.png" ContentType="image/png"/>
  <Override PartName="/word/media/rId153.png" ContentType="image/png"/>
  <Override PartName="/word/media/rId158.png" ContentType="image/png"/>
  <Override PartName="/word/media/rId147.png" ContentType="image/png"/>
  <Override PartName="/word/media/rId224.png" ContentType="image/png"/>
  <Override PartName="/word/media/rId77.png" ContentType="image/png"/>
  <Override PartName="/word/media/rId71.png" ContentType="image/png"/>
  <Override PartName="/word/media/rId66.png" ContentType="image/png"/>
  <Override PartName="/word/media/rId185.png" ContentType="image/png"/>
  <Override PartName="/word/media/rId176.png" ContentType="image/png"/>
  <Override PartName="/word/media/rId181.png" ContentType="image/png"/>
  <Override PartName="/word/media/rId171.png" ContentType="image/png"/>
  <Override PartName="/word/media/rId214.png" ContentType="image/png"/>
  <Override PartName="/word/media/rId21.png" ContentType="image/png"/>
  <Override PartName="/word/media/rId228.png" ContentType="image/png"/>
  <Override PartName="/word/media/rId232.png" ContentType="image/png"/>
  <Override PartName="/word/media/rId202.png" ContentType="image/png"/>
  <Override PartName="/word/media/rId206.png" ContentType="image/png"/>
  <Override PartName="/word/media/rId86.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Role of Variability in Learning Generalization: A Computational Modeling Approach</w:t>
      </w:r>
    </w:p>
    <w:p>
      <w:pPr>
        <w:pStyle w:val="Author"/>
      </w:pPr>
      <w:r>
        <w:t xml:space="preserve">Thomas E. Gorman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r>
        <w:br w:type="page"/>
      </w:r>
    </w:p>
    <w:bookmarkStart w:id="20" w:name="abstract"/>
    <w:p>
      <w:pPr>
        <w:pStyle w:val="Heading1"/>
      </w:pPr>
      <w:r>
        <w:t xml:space="preserve">Abstract</w:t>
      </w:r>
    </w:p>
    <w:p>
      <w:pPr>
        <w:pStyle w:val="FirstParagraph"/>
      </w:pPr>
      <w:r>
        <w:t xml:space="preserve">The impact of training variability on generalization has been a long-standing topic in the study of human learning, with conflicting evidence about its potential benefits. This dissertation addresses these ambiguities by examining the effects of varied versus constant training in visuomotor skill learning through a combination of experimental and computational modeling approaches. Across two projects, we systematically compare varied training (multiple items) to constant training (single item) in a projectile-throwing task. Empirical findings reveal both positive and negative impacts of variability, highlighting the complex interplay between training conditions and generalization performance. To provide a theoretical account of these findings, this dissertation employs both instance-based and connectionist computational modeling approaches. The instance-based modeling approach introduced in project 1 provides a theoretically justifiable method of quantifying/controlling for similarity between training and testing conditions, while also demonstrating that varied training may induce broader generalization in the similarity function relating training and test items. In project 2, the Extrapolation-Association Model (EXAM) provided the best account of the testing data across all experiments, capturing the</w:t>
      </w:r>
      <w:r>
        <w:t xml:space="preserve"> </w:t>
      </w:r>
      <w:r>
        <w:t xml:space="preserve">constant groups’ ability to extrapolate to novel regions despite limited training experience, while also revealing potential detriments of varied training for simple extrapolation tasks. These results challenge simplistic notions about the universality of variability benefits in training and emphasize the need for tailored approaches that consider both the structure of the task environment and the prior knowledge of the learners.</w:t>
      </w:r>
    </w:p>
    <w:bookmarkEnd w:id="20"/>
    <w:bookmarkStart w:id="28" w:name="introduction"/>
    <w:p>
      <w:pPr>
        <w:pStyle w:val="Heading1"/>
      </w:pPr>
      <w:r>
        <w:t xml:space="preserve">Introduction</w:t>
      </w:r>
    </w:p>
    <w:bookmarkStart w:id="25"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pattern and anagram completion tasks</w:t>
      </w:r>
      <w:r>
        <w:t xml:space="preserve"> </w:t>
      </w:r>
      <w:r>
        <w:t xml:space="preserve">(Goode et al., 2008; Zhang &amp; Fyfe, 2024)</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Ram et al., 2024;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simple motor learning</w:t>
      </w:r>
      <w:r>
        <w:t xml:space="preserve"> </w:t>
      </w:r>
      <w:r>
        <w:t xml:space="preserve">(Braun et al., 2009; Roller et al., 2001; Velázquez-Vargas et al., 2024;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and</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(see</w:t>
      </w:r>
      <w:r>
        <w:t xml:space="preserve"> </w:t>
      </w:r>
      <w:hyperlink w:anchor="fig-ex-design1">
        <w:r>
          <w:rPr>
            <w:rStyle w:val="Hyperlink"/>
          </w:rPr>
          <w:t xml:space="preserve">Figure 1</w:t>
        </w:r>
      </w:hyperlink>
      <w:r>
        <w:t xml:space="preserve">).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“home-turf”</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“benefits of variability”</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tbl>
      <w:tblPr>
        <w:tblStyle w:val="Table"/>
        <w:tblW w:type="pct" w:w="5000"/>
        <w:tblLayout w:type="fixed"/>
        <w:tblLook w:firstRow="0" w:lastRow="0" w:firstColumn="0" w:lastColumn="0" w:noHBand="0" w:noVBand="0" w:val="0000"/>
      </w:tblPr>
      <w:tblGrid>
        <w:gridCol w:w="7920"/>
      </w:tblGrid>
      <w:tr>
        <w:tc>
          <w:tcPr/>
          <w:bookmarkStart w:id="24" w:name="fig-ex-design1"/>
          <w:p>
            <w:pPr>
              <w:pStyle w:val="Compact"/>
              <w:jc w:val="center"/>
            </w:pPr>
            <w:r>
              <w:drawing>
                <wp:inline>
                  <wp:extent cx="5334000" cy="3810000"/>
                  <wp:effectExtent b="0" l="0" r="0" t="0"/>
                  <wp:docPr descr="" title="" id="22" name="Picture"/>
                  <a:graphic>
                    <a:graphicData uri="http://schemas.openxmlformats.org/drawingml/2006/picture">
                      <pic:pic>
                        <pic:nvPicPr>
                          <pic:cNvPr descr="full_files/figure-docx/fig-ex-design1-1.png" id="23" name="Picture"/>
                          <pic:cNvPicPr>
                            <a:picLocks noChangeArrowheads="1" noChangeAspect="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schematic representation of the</w:t>
            </w:r>
            <w:r>
              <w:t xml:space="preserve"> </w:t>
            </w:r>
            <w:r>
              <w:t xml:space="preserve">Kerr &amp; Booth (1978)</w:t>
            </w:r>
            <w:r>
              <w:t xml:space="preserve"> </w:t>
            </w:r>
            <w:r>
              <w:t xml:space="preserve">study design. The varied group trained from two distances (2 and 4 feet), while the constant group trained from a single distance (3 feet). Both groups were tested from a distance of 3 feet. The varied group outperformed the constant group at testing, despite the constant group having exclusively practiced from the testing distance.</w:t>
            </w:r>
          </w:p>
          <w:bookmarkEnd w:id="24"/>
        </w:tc>
      </w:tr>
    </w:tbl>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“neither”</w:t>
      </w:r>
      <w:r>
        <w:t xml:space="preserve">, in addition to responses to the two training categories. The</w:t>
      </w:r>
      <w:r>
        <w:t xml:space="preserve"> </w:t>
      </w:r>
      <w:r>
        <w:t xml:space="preserve">“neither”</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“tight”</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5"/>
    <w:bookmarkStart w:id="26"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6"/>
    <w:bookmarkStart w:id="27"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7"/>
    <w:bookmarkEnd w:id="28"/>
    <w:bookmarkStart w:id="99" w:name="project-1"/>
    <w:p>
      <w:pPr>
        <w:pStyle w:val="Heading1"/>
      </w:pPr>
      <w:r>
        <w:t xml:space="preserve">Project 1</w:t>
      </w:r>
    </w:p>
    <w:p>
      <w:pPr>
        <w:pStyle w:val="FirstParagraph"/>
      </w:pPr>
      <w:r>
        <w:t xml:space="preserve">This project is based on the following publication:</w:t>
      </w:r>
    </w:p>
    <w:p>
      <w:pPr>
        <w:pStyle w:val="BodyText"/>
      </w:pPr>
      <w:r>
        <w:t xml:space="preserve">Gorman, T. E., &amp; Goldstone, R. L. (2022). An instance-based model account of the benefits of varied practice in visuomotor skill.</w:t>
      </w:r>
      <w:r>
        <w:t xml:space="preserve"> </w:t>
      </w:r>
      <w:r>
        <w:rPr>
          <w:i/>
          <w:iCs/>
        </w:rPr>
        <w:t xml:space="preserve">Cognitive Psychology</w:t>
      </w:r>
      <w:r>
        <w:t xml:space="preserve">, 137, 101491.</w:t>
      </w:r>
    </w:p>
    <w:bookmarkStart w:id="29" w:name="abstract-1"/>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9"/>
    <w:bookmarkStart w:id="36" w:name="introduction-1"/>
    <w:p>
      <w:pPr>
        <w:pStyle w:val="Heading2"/>
      </w:pPr>
      <w:r>
        <w:t xml:space="preserve">Introduction</w:t>
      </w:r>
    </w:p>
    <w:bookmarkStart w:id="30"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“Schema Theory of Motor Learning”</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30"/>
    <w:bookmarkStart w:id="35"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2</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4" w:name="fig-toy-model1"/>
          <w:p>
            <w:pPr>
              <w:pStyle w:val="Compact"/>
              <w:jc w:val="center"/>
            </w:pPr>
            <w:r>
              <w:drawing>
                <wp:inline>
                  <wp:extent cx="5334000" cy="4267200"/>
                  <wp:effectExtent b="0" l="0" r="0" t="0"/>
                  <wp:docPr descr="" title="" id="32" name="Picture"/>
                  <a:graphic>
                    <a:graphicData uri="http://schemas.openxmlformats.org/drawingml/2006/picture">
                      <pic:pic>
                        <pic:nvPicPr>
                          <pic:cNvPr descr="full_files/figure-docx/fig-toy-model1-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4"/>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5"/>
    <w:bookmarkEnd w:id="36"/>
    <w:bookmarkStart w:id="61" w:name="experiment-1"/>
    <w:p>
      <w:pPr>
        <w:pStyle w:val="Heading2"/>
      </w:pPr>
      <w:r>
        <w:t xml:space="preserve">Experiment 1</w:t>
      </w:r>
    </w:p>
    <w:bookmarkStart w:id="46" w:name="methods"/>
    <w:p>
      <w:pPr>
        <w:pStyle w:val="Heading3"/>
      </w:pPr>
      <w:r>
        <w:t xml:space="preserve">Methods</w:t>
      </w:r>
    </w:p>
    <w:bookmarkStart w:id="37"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7"/>
    <w:bookmarkStart w:id="38"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8"/>
    <w:bookmarkStart w:id="44"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3</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“wind up”</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9">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IGAS_Methods"/>
          <w:p>
            <w:pPr>
              <w:pStyle w:val="Compact"/>
              <w:jc w:val="center"/>
            </w:pPr>
            <w:r>
              <w:drawing>
                <wp:inline>
                  <wp:extent cx="3200400" cy="1340338"/>
                  <wp:effectExtent b="0" l="0" r="0" t="0"/>
                  <wp:docPr descr="" title="" id="41" name="Picture"/>
                  <a:graphic>
                    <a:graphicData uri="http://schemas.openxmlformats.org/drawingml/2006/picture">
                      <pic:pic>
                        <pic:nvPicPr>
                          <pic:cNvPr descr="../Assets/methodsFig1.png" id="42" name="Picture"/>
                          <pic:cNvPicPr>
                            <a:picLocks noChangeArrowheads="1" noChangeAspect="1"/>
                          </pic:cNvPicPr>
                        </pic:nvPicPr>
                        <pic:blipFill>
                          <a:blip r:embed="rId40"/>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3"/>
        </w:tc>
      </w:tr>
    </w:tbl>
    <w:bookmarkEnd w:id="44"/>
    <w:bookmarkStart w:id="45"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5"/>
    <w:bookmarkEnd w:id="46"/>
    <w:bookmarkStart w:id="59" w:name="results"/>
    <w:p>
      <w:pPr>
        <w:pStyle w:val="Heading3"/>
      </w:pPr>
      <w:r>
        <w:t xml:space="preserve">Results</w:t>
      </w:r>
    </w:p>
    <w:bookmarkStart w:id="47"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7"/>
    <w:bookmarkStart w:id="52" w:name="training-phase"/>
    <w:p>
      <w:pPr>
        <w:pStyle w:val="Heading4"/>
      </w:pPr>
      <w:r>
        <w:t xml:space="preserve">Training Phase</w:t>
      </w:r>
    </w:p>
    <w:p>
      <w:pPr>
        <w:pStyle w:val="FirstParagraph"/>
      </w:pPr>
      <w:hyperlink w:anchor="fig-IGAS_Training1">
        <w:r>
          <w:rPr>
            <w:rStyle w:val="Hyperlink"/>
          </w:rPr>
          <w:t xml:space="preserve">Figure 4</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51" w:name="fig-IGAS_Training1"/>
          <w:p>
            <w:pPr>
              <w:pStyle w:val="Compact"/>
              <w:jc w:val="center"/>
            </w:pPr>
            <w:r>
              <w:drawing>
                <wp:inline>
                  <wp:extent cx="5334000" cy="4267200"/>
                  <wp:effectExtent b="0" l="0" r="0" t="0"/>
                  <wp:docPr descr="" title="" id="49" name="Picture"/>
                  <a:graphic>
                    <a:graphicData uri="http://schemas.openxmlformats.org/drawingml/2006/picture">
                      <pic:pic>
                        <pic:nvPicPr>
                          <pic:cNvPr descr="full_files/figure-docx/fig-IGAS_Training1-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performance for varied and constant participants binned into three stages. Shorter bars indicate better performance (ball landing closer to the center of the target). Error bars indicate standard error of the mean.</w:t>
            </w:r>
          </w:p>
          <w:bookmarkEnd w:id="51"/>
        </w:tc>
      </w:tr>
    </w:tbl>
    <w:bookmarkEnd w:id="52"/>
    <w:bookmarkStart w:id="58"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6" w:name="fig-IGAS_Testing1"/>
          <w:p>
            <w:pPr>
              <w:pStyle w:val="Compact"/>
              <w:jc w:val="center"/>
            </w:pPr>
            <w:r>
              <w:drawing>
                <wp:inline>
                  <wp:extent cx="5334000" cy="4267200"/>
                  <wp:effectExtent b="0" l="0" r="0" t="0"/>
                  <wp:docPr descr="" title="" id="54" name="Picture"/>
                  <a:graphic>
                    <a:graphicData uri="http://schemas.openxmlformats.org/drawingml/2006/picture">
                      <pic:pic>
                        <pic:nvPicPr>
                          <pic:cNvPr descr="full_files/figure-docx/fig-IGAS_Testing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6"/>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7"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7"/>
          <w:p/>
        </w:tc>
      </w:tr>
    </w:tbl>
    <w:bookmarkEnd w:id="58"/>
    <w:bookmarkEnd w:id="59"/>
    <w:bookmarkStart w:id="60"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60"/>
    <w:bookmarkEnd w:id="61"/>
    <w:bookmarkStart w:id="85"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4" w:name="methods-1"/>
    <w:p>
      <w:pPr>
        <w:pStyle w:val="Heading3"/>
      </w:pPr>
      <w:r>
        <w:t xml:space="preserve">Methods</w:t>
      </w:r>
    </w:p>
    <w:bookmarkStart w:id="62"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62"/>
    <w:bookmarkStart w:id="63"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3"/>
    <w:bookmarkEnd w:id="64"/>
    <w:bookmarkStart w:id="83" w:name="results-1"/>
    <w:p>
      <w:pPr>
        <w:pStyle w:val="Heading3"/>
      </w:pPr>
      <w:r>
        <w:t xml:space="preserve">Results</w:t>
      </w:r>
    </w:p>
    <w:bookmarkStart w:id="65"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5"/>
    <w:bookmarkStart w:id="70"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6</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9" w:name="fig-e2train"/>
          <w:p>
            <w:pPr>
              <w:pStyle w:val="Compact"/>
              <w:jc w:val="center"/>
            </w:pPr>
            <w:r>
              <w:drawing>
                <wp:inline>
                  <wp:extent cx="5334000" cy="3879272"/>
                  <wp:effectExtent b="0" l="0" r="0" t="0"/>
                  <wp:docPr descr="" title="" id="67" name="Picture"/>
                  <a:graphic>
                    <a:graphicData uri="http://schemas.openxmlformats.org/drawingml/2006/picture">
                      <pic:pic>
                        <pic:nvPicPr>
                          <pic:cNvPr descr="full_files/figure-docx/fig-e2train-1.png" id="68" name="Picture"/>
                          <pic:cNvPicPr>
                            <a:picLocks noChangeArrowheads="1" noChangeAspect="1"/>
                          </pic:cNvPicPr>
                        </pic:nvPicPr>
                        <pic:blipFill>
                          <a:blip r:embed="rId6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9"/>
        </w:tc>
      </w:tr>
    </w:tbl>
    <w:bookmarkEnd w:id="70"/>
    <w:bookmarkStart w:id="82"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7</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7</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4" w:name="fig-e2testa"/>
          <w:p>
            <w:pPr>
              <w:pStyle w:val="Compact"/>
              <w:jc w:val="center"/>
            </w:pPr>
            <w:r>
              <w:drawing>
                <wp:inline>
                  <wp:extent cx="5334000" cy="4364181"/>
                  <wp:effectExtent b="0" l="0" r="0" t="0"/>
                  <wp:docPr descr="" title="" id="72" name="Picture"/>
                  <a:graphic>
                    <a:graphicData uri="http://schemas.openxmlformats.org/drawingml/2006/picture">
                      <pic:pic>
                        <pic:nvPicPr>
                          <pic:cNvPr descr="full_files/figure-docx/fig-e2testa-1.png" id="73" name="Picture"/>
                          <pic:cNvPicPr>
                            <a:picLocks noChangeArrowheads="1" noChangeAspect="1"/>
                          </pic:cNvPicPr>
                        </pic:nvPicPr>
                        <pic:blipFill>
                          <a:blip r:embed="rId7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4"/>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5"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5"/>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6"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6"/>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8</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80" w:name="fig-e2test1"/>
          <w:p>
            <w:pPr>
              <w:pStyle w:val="Compact"/>
              <w:jc w:val="center"/>
            </w:pPr>
            <w:r>
              <w:drawing>
                <wp:inline>
                  <wp:extent cx="5334000" cy="4267200"/>
                  <wp:effectExtent b="0" l="0" r="0" t="0"/>
                  <wp:docPr descr="" title="" id="78" name="Picture"/>
                  <a:graphic>
                    <a:graphicData uri="http://schemas.openxmlformats.org/drawingml/2006/picture">
                      <pic:pic>
                        <pic:nvPicPr>
                          <pic:cNvPr descr="full_files/figure-docx/fig-e2test1-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80"/>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81"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81"/>
          <w:p/>
        </w:tc>
      </w:tr>
    </w:tbl>
    <w:bookmarkEnd w:id="82"/>
    <w:bookmarkEnd w:id="83"/>
    <w:bookmarkStart w:id="84"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4"/>
    <w:bookmarkEnd w:id="85"/>
    <w:bookmarkStart w:id="91"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9</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9</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9" w:name="fig-taskSpace"/>
          <w:p>
            <w:pPr>
              <w:pStyle w:val="Compact"/>
              <w:jc w:val="center"/>
            </w:pPr>
            <w:r>
              <w:drawing>
                <wp:inline>
                  <wp:extent cx="5334000" cy="4364181"/>
                  <wp:effectExtent b="0" l="0" r="0" t="0"/>
                  <wp:docPr descr="" title="" id="87" name="Picture"/>
                  <a:graphic>
                    <a:graphicData uri="http://schemas.openxmlformats.org/drawingml/2006/picture">
                      <pic:pic>
                        <pic:nvPicPr>
                          <pic:cNvPr descr="full_files/figure-docx/fig-taskSpace-1.png" id="88" name="Picture"/>
                          <pic:cNvPicPr>
                            <a:picLocks noChangeArrowheads="1" noChangeAspect="1"/>
                          </pic:cNvPicPr>
                        </pic:nvPicPr>
                        <pic:blipFill>
                          <a:blip r:embed="rId86"/>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9"/>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90"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90"/>
    <w:bookmarkEnd w:id="91"/>
    <w:bookmarkStart w:id="98"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10</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5" w:name="fig-Toy-Model-dis"/>
          <w:p>
            <w:pPr>
              <w:pStyle w:val="Compact"/>
              <w:jc w:val="center"/>
            </w:pPr>
            <w:r>
              <w:drawing>
                <wp:inline>
                  <wp:extent cx="5334000" cy="5576454"/>
                  <wp:effectExtent b="0" l="0" r="0" t="0"/>
                  <wp:docPr descr="" title="" id="93" name="Picture"/>
                  <a:graphic>
                    <a:graphicData uri="http://schemas.openxmlformats.org/drawingml/2006/picture">
                      <pic:pic>
                        <pic:nvPicPr>
                          <pic:cNvPr descr="full_files/figure-docx/fig-Toy-Model-dis-1.png" id="94" name="Picture"/>
                          <pic:cNvPicPr>
                            <a:picLocks noChangeArrowheads="1" noChangeAspect="1"/>
                          </pic:cNvPicPr>
                        </pic:nvPicPr>
                        <pic:blipFill>
                          <a:blip r:embed="rId92"/>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5"/>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6"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6"/>
    <w:bookmarkStart w:id="97"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7"/>
    <w:bookmarkEnd w:id="98"/>
    <w:bookmarkEnd w:id="99"/>
    <w:bookmarkStart w:id="239" w:name="project-2"/>
    <w:p>
      <w:pPr>
        <w:pStyle w:val="Heading1"/>
      </w:pPr>
      <w:r>
        <w:t xml:space="preserve">Project 2</w:t>
      </w:r>
    </w:p>
    <w:bookmarkStart w:id="107"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4"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3" w:name="fig-delosh-extrap"/>
          <w:p>
            <w:pPr>
              <w:pStyle w:val="Compact"/>
              <w:jc w:val="center"/>
            </w:pPr>
            <w:r>
              <w:drawing>
                <wp:inline>
                  <wp:extent cx="5334000" cy="2133600"/>
                  <wp:effectExtent b="0" l="0" r="0" t="0"/>
                  <wp:docPr descr="" title="" id="101" name="Picture"/>
                  <a:graphic>
                    <a:graphicData uri="http://schemas.openxmlformats.org/drawingml/2006/picture">
                      <pic:pic>
                        <pic:nvPicPr>
                          <pic:cNvPr descr="full_files/figure-docx/fig-delosh-extrap-1.png" id="102"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3"/>
        </w:tc>
      </w:tr>
    </w:tbl>
    <w:bookmarkEnd w:id="104"/>
    <w:bookmarkStart w:id="105"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5"/>
    <w:bookmarkStart w:id="106"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6"/>
    <w:bookmarkEnd w:id="107"/>
    <w:bookmarkStart w:id="141" w:name="experiment-1-1"/>
    <w:p>
      <w:pPr>
        <w:pStyle w:val="Heading2"/>
      </w:pPr>
      <w:r>
        <w:t xml:space="preserve">Experiment 1</w:t>
      </w:r>
    </w:p>
    <w:bookmarkStart w:id="117"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“Hit The Wall”</w:t>
      </w:r>
      <w:r>
        <w:t xml:space="preserve"> </w:t>
      </w:r>
      <w:r>
        <w:t xml:space="preserve">(HTW) visuomotor extrapolation task was programmed in JavaScript, making use of the</w:t>
      </w:r>
      <w:r>
        <w:t xml:space="preserve"> </w:t>
      </w:r>
      <w:hyperlink r:id="rId108">
        <w:r>
          <w:rPr>
            <w:rStyle w:val="Hyperlink"/>
          </w:rPr>
          <w:t xml:space="preserve">phaser.io</w:t>
        </w:r>
      </w:hyperlink>
      <w:r>
        <w:t xml:space="preserve"> </w:t>
      </w:r>
      <w:r>
        <w:t xml:space="preserve">game library. The HTW task involved launching a projectile such that it would strike the</w:t>
      </w:r>
      <w:r>
        <w:t xml:space="preserve"> </w:t>
      </w:r>
      <w:r>
        <w:t xml:space="preserve">“wall”</w:t>
      </w:r>
      <w:r>
        <w:t xml:space="preserve"> </w:t>
      </w:r>
      <w:r>
        <w:t xml:space="preserve">at the target speed indicated at the top of the screen (see</w:t>
      </w:r>
      <w:r>
        <w:t xml:space="preserve"> </w:t>
      </w:r>
      <w:hyperlink w:anchor="fig-htw-task">
        <w:r>
          <w:rPr>
            <w:rStyle w:val="Hyperlink"/>
          </w:rPr>
          <w:t xml:space="preserve">Figure 12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12" w:name="fig-htw-task"/>
          <w:p>
            <w:pPr>
              <w:pStyle w:val="Compact"/>
              <w:jc w:val="center"/>
            </w:pPr>
            <w:r>
              <w:drawing>
                <wp:inline>
                  <wp:extent cx="3200400" cy="2875097"/>
                  <wp:effectExtent b="0" l="0" r="0" t="0"/>
                  <wp:docPr descr="" title="" id="110" name="Picture"/>
                  <a:graphic>
                    <a:graphicData uri="http://schemas.openxmlformats.org/drawingml/2006/picture">
                      <pic:pic>
                        <pic:nvPicPr>
                          <pic:cNvPr descr="../Assets/figs/htw_task_fig.png" id="111" name="Picture"/>
                          <pic:cNvPicPr>
                            <a:picLocks noChangeArrowheads="1" noChangeAspect="1"/>
                          </pic:cNvPicPr>
                        </pic:nvPicPr>
                        <pic:blipFill>
                          <a:blip r:embed="rId109"/>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12"/>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“no-feedback”</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“feedback”</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6" w:name="fig-design-e1"/>
          <w:p>
            <w:pPr>
              <w:jc w:val="center"/>
            </w:pPr>
            <w:r>
              <w:drawing>
                <wp:inline>
                  <wp:extent cx="5334000" cy="1905000"/>
                  <wp:effectExtent b="0" l="0" r="0" t="0"/>
                  <wp:docPr descr="" title="" id="114" name="Picture"/>
                  <a:graphic>
                    <a:graphicData uri="http://schemas.openxmlformats.org/drawingml/2006/picture">
                      <pic:pic>
                        <pic:nvPicPr>
                          <pic:cNvPr descr="full_files/figure-docx/dot-figure-3.png" id="115" name="Picture"/>
                          <pic:cNvPicPr>
                            <a:picLocks noChangeArrowheads="1" noChangeAspect="1"/>
                          </pic:cNvPicPr>
                        </pic:nvPicPr>
                        <pic:blipFill>
                          <a:blip r:embed="rId113"/>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Design. Constant and Varied participants complete different training conditions.</w:t>
            </w:r>
          </w:p>
          <w:bookmarkEnd w:id="116"/>
        </w:tc>
      </w:tr>
    </w:tbl>
    <w:bookmarkEnd w:id="117"/>
    <w:bookmarkStart w:id="119"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8"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center"/>
                  </w:pPr>
                  <w:r>
                    <w:t xml:space="preserve">Group Comparison</w:t>
                  </w:r>
                </w:p>
              </w:tc>
              <w:tc>
                <w:tcPr/>
                <w:p>
                  <w:pPr>
                    <w:pStyle w:val="Compact"/>
                    <w:jc w:val="center"/>
                  </w:pPr>
                  <w:r>
                    <w:t xml:space="preserve">Code</w:t>
                  </w:r>
                </w:p>
              </w:tc>
              <w:tc>
                <w:tcPr/>
                <w:p>
                  <w:pPr>
                    <w:pStyle w:val="Compact"/>
                    <w:jc w:val="center"/>
                  </w:pPr>
                  <w:r>
                    <w:t xml:space="preserve">Data</w:t>
                  </w:r>
                </w:p>
              </w:tc>
            </w:tr>
            <w:tr>
              <w:tc>
                <w:tcPr/>
                <w:p>
                  <w:pPr>
                    <w:pStyle w:val="Compact"/>
                    <w:jc w:val="center"/>
                  </w:pPr>
                  <w:r>
                    <w:t xml:space="preserve">End of Training Accuracy</w:t>
                  </w:r>
                </w:p>
              </w:tc>
              <w:tc>
                <w:tcPr/>
                <w:p>
                  <w:pPr>
                    <w:pStyle w:val="Compact"/>
                    <w:jc w:val="center"/>
                  </w:pPr>
                  <w:r>
                    <w:rPr>
                      <w:rStyle w:val="VerbatimChar"/>
                    </w:rPr>
                    <w:t xml:space="preserve">brm(Abs. Deviation ~ condit)</w:t>
                  </w:r>
                </w:p>
              </w:tc>
              <w:tc>
                <w:tcPr/>
                <w:p>
                  <w:pPr>
                    <w:pStyle w:val="Compact"/>
                    <w:jc w:val="center"/>
                  </w:pPr>
                  <w:r>
                    <w:t xml:space="preserve">Final Training Block</w:t>
                  </w:r>
                </w:p>
              </w:tc>
            </w:tr>
            <w:tr>
              <w:tc>
                <w:tcPr/>
                <w:p>
                  <w:pPr>
                    <w:pStyle w:val="Compact"/>
                    <w:jc w:val="center"/>
                  </w:pPr>
                  <w:r>
                    <w:t xml:space="preserve">Test Accuracy</w:t>
                  </w:r>
                </w:p>
              </w:tc>
              <w:tc>
                <w:tcPr/>
                <w:p>
                  <w:pPr>
                    <w:pStyle w:val="Compact"/>
                    <w:jc w:val="center"/>
                  </w:pPr>
                  <w:r>
                    <w:rPr>
                      <w:rStyle w:val="VerbatimChar"/>
                    </w:rPr>
                    <w:t xml:space="preserve">brm(Abs. Deviation ~ condit * bandType + (1|id) + (1|bandInt)</w:t>
                  </w:r>
                </w:p>
              </w:tc>
              <w:tc>
                <w:tcPr/>
                <w:p>
                  <w:pPr>
                    <w:pStyle w:val="Compact"/>
                    <w:jc w:val="center"/>
                  </w:pPr>
                  <w:r>
                    <w:t xml:space="preserve">All Testing trials</w:t>
                  </w:r>
                </w:p>
              </w:tc>
            </w:tr>
            <w:tr>
              <w:tc>
                <w:tcPr/>
                <w:p>
                  <w:pPr>
                    <w:pStyle w:val="Compact"/>
                    <w:jc w:val="center"/>
                  </w:pPr>
                  <w:r>
                    <w:t xml:space="preserve">Band Discrimination</w:t>
                  </w:r>
                </w:p>
              </w:tc>
              <w:tc>
                <w:tcPr/>
                <w:p>
                  <w:pPr>
                    <w:pStyle w:val="Compact"/>
                    <w:jc w:val="center"/>
                  </w:pPr>
                  <w:r>
                    <w:rPr>
                      <w:rStyle w:val="VerbatimChar"/>
                    </w:rPr>
                    <w:t xml:space="preserve">brm(vx ~ condit * band +(1 + bandInt|id)</w:t>
                  </w:r>
                </w:p>
              </w:tc>
              <w:tc>
                <w:tcPr/>
                <w:p>
                  <w:pPr>
                    <w:pStyle w:val="Compact"/>
                    <w:jc w:val="center"/>
                  </w:pPr>
                  <w:r>
                    <w:t xml:space="preserve">All Testing Trials</w:t>
                  </w:r>
                </w:p>
              </w:tc>
            </w:tr>
          </w:tbl>
          <w:bookmarkEnd w:id="118"/>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9"/>
    <w:bookmarkStart w:id="139"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3" w:name="fig-e1-train-dev"/>
          <w:p>
            <w:pPr>
              <w:pStyle w:val="Compact"/>
              <w:jc w:val="center"/>
            </w:pPr>
            <w:r>
              <w:drawing>
                <wp:inline>
                  <wp:extent cx="5334000" cy="4267200"/>
                  <wp:effectExtent b="0" l="0" r="0" t="0"/>
                  <wp:docPr descr="" title="" id="121" name="Picture"/>
                  <a:graphic>
                    <a:graphicData uri="http://schemas.openxmlformats.org/drawingml/2006/picture">
                      <pic:pic>
                        <pic:nvPicPr>
                          <pic:cNvPr descr="full_files/figure-docx/fig-e1-train-dev-1.png" id="122"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 Training Stage. Deviations from target band across training blocks. Lower values represent greater accuracy.</w:t>
            </w:r>
          </w:p>
          <w:bookmarkEnd w:id="123"/>
        </w:tc>
      </w:tr>
    </w:tbl>
    <w:tbl>
      <w:tblPr>
        <w:tblStyle w:val="Table"/>
        <w:tblW w:type="pct" w:w="5000"/>
        <w:tblLayout w:type="fixed"/>
        <w:tblLook w:firstRow="0" w:lastRow="0" w:firstColumn="0" w:lastColumn="0" w:noHBand="0" w:noVBand="0" w:val="0000"/>
      </w:tblPr>
      <w:tblGrid>
        <w:gridCol w:w="7920"/>
      </w:tblGrid>
      <w:tr>
        <w:tc>
          <w:tcPr/>
          <w:bookmarkStart w:id="124"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4"/>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5"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5"/>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9" w:name="fig-e1-test-dev"/>
          <w:p>
            <w:pPr>
              <w:pStyle w:val="Compact"/>
              <w:jc w:val="center"/>
            </w:pPr>
            <w:r>
              <w:drawing>
                <wp:inline>
                  <wp:extent cx="5334000" cy="3394363"/>
                  <wp:effectExtent b="0" l="0" r="0" t="0"/>
                  <wp:docPr descr="" title="" id="127" name="Picture"/>
                  <a:graphic>
                    <a:graphicData uri="http://schemas.openxmlformats.org/drawingml/2006/picture">
                      <pic:pic>
                        <pic:nvPicPr>
                          <pic:cNvPr descr="full_files/figure-docx/fig-e1-test-dev-1.png" id="128" name="Picture"/>
                          <pic:cNvPicPr>
                            <a:picLocks noChangeArrowheads="1" noChangeAspect="1"/>
                          </pic:cNvPicPr>
                        </pic:nvPicPr>
                        <pic:blipFill>
                          <a:blip r:embed="rId126"/>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9"/>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30"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30"/>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16</w:t>
        </w:r>
      </w:hyperlink>
      <w:r>
        <w:t xml:space="preserve"> </w:t>
      </w:r>
      <w:r>
        <w:t xml:space="preserve">and</w:t>
      </w:r>
      <w:r>
        <w:t xml:space="preserve"> </w:t>
      </w:r>
      <w:hyperlink w:anchor="fig-e1-bmm-vx">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4" w:name="fig-e1-test-vx"/>
          <w:p>
            <w:pPr>
              <w:pStyle w:val="Compact"/>
              <w:jc w:val="center"/>
            </w:pPr>
            <w:r>
              <w:drawing>
                <wp:inline>
                  <wp:extent cx="5334000" cy="3879272"/>
                  <wp:effectExtent b="0" l="0" r="0" t="0"/>
                  <wp:docPr descr="" title="" id="132" name="Picture"/>
                  <a:graphic>
                    <a:graphicData uri="http://schemas.openxmlformats.org/drawingml/2006/picture">
                      <pic:pic>
                        <pic:nvPicPr>
                          <pic:cNvPr descr="full_files/figure-docx/fig-e1-test-vx-1.png" id="133" name="Picture"/>
                          <pic:cNvPicPr>
                            <a:picLocks noChangeArrowheads="1" noChangeAspect="1"/>
                          </pic:cNvPicPr>
                        </pic:nvPicPr>
                        <pic:blipFill>
                          <a:blip r:embed="rId13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Empirical distribution of velocities produced in the testing stage. Translucent bands with dashed lines indicate the correct range for each velocity band.</w:t>
            </w:r>
          </w:p>
          <w:bookmarkEnd w:id="134"/>
        </w:tc>
      </w:tr>
    </w:tbl>
    <w:tbl>
      <w:tblPr>
        <w:tblStyle w:val="Table"/>
        <w:tblW w:type="pct" w:w="5000"/>
        <w:tblLayout w:type="fixed"/>
        <w:tblLook w:firstRow="0" w:lastRow="0" w:firstColumn="0" w:lastColumn="0" w:noHBand="0" w:noVBand="0" w:val="0000"/>
      </w:tblPr>
      <w:tblGrid>
        <w:gridCol w:w="7920"/>
      </w:tblGrid>
      <w:tr>
        <w:tc>
          <w:tcPr/>
          <w:bookmarkStart w:id="138" w:name="fig-e1-bmm-vx"/>
          <w:p>
            <w:pPr>
              <w:pStyle w:val="Compact"/>
              <w:jc w:val="center"/>
            </w:pPr>
            <w:r>
              <w:drawing>
                <wp:inline>
                  <wp:extent cx="5334000" cy="3879272"/>
                  <wp:effectExtent b="0" l="0" r="0" t="0"/>
                  <wp:docPr descr="" title="" id="136" name="Picture"/>
                  <a:graphic>
                    <a:graphicData uri="http://schemas.openxmlformats.org/drawingml/2006/picture">
                      <pic:pic>
                        <pic:nvPicPr>
                          <pic:cNvPr descr="full_files/figure-docx/fig-e1-bmm-vx-1.png" id="137" name="Picture"/>
                          <pic:cNvPicPr>
                            <a:picLocks noChangeArrowheads="1" noChangeAspect="1"/>
                          </pic:cNvPicPr>
                        </pic:nvPicPr>
                        <pic:blipFill>
                          <a:blip r:embed="rId13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8"/>
        </w:tc>
      </w:tr>
    </w:tbl>
    <w:bookmarkEnd w:id="139"/>
    <w:bookmarkStart w:id="140"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40"/>
    <w:bookmarkEnd w:id="141"/>
    <w:bookmarkStart w:id="168" w:name="experiment-2-1"/>
    <w:p>
      <w:pPr>
        <w:pStyle w:val="Heading2"/>
      </w:pPr>
      <w:r>
        <w:t xml:space="preserve">Experiment 2</w:t>
      </w:r>
    </w:p>
    <w:bookmarkStart w:id="146"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18</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5" w:name="fig-design-e2"/>
          <w:p>
            <w:pPr>
              <w:jc w:val="center"/>
            </w:pPr>
            <w:r>
              <w:drawing>
                <wp:inline>
                  <wp:extent cx="5334000" cy="1676400"/>
                  <wp:effectExtent b="0" l="0" r="0" t="0"/>
                  <wp:docPr descr="" title="" id="143" name="Picture"/>
                  <a:graphic>
                    <a:graphicData uri="http://schemas.openxmlformats.org/drawingml/2006/picture">
                      <pic:pic>
                        <pic:nvPicPr>
                          <pic:cNvPr descr="full_files/figure-docx/dot-figure-4.png" id="144" name="Picture"/>
                          <pic:cNvPicPr>
                            <a:picLocks noChangeArrowheads="1" noChangeAspect="1"/>
                          </pic:cNvPicPr>
                        </pic:nvPicPr>
                        <pic:blipFill>
                          <a:blip r:embed="rId142"/>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Design. Constant and Varied participants complete different training conditions. The training and testing bands are the reverse of Experiment 1.</w:t>
            </w:r>
          </w:p>
          <w:bookmarkEnd w:id="145"/>
        </w:tc>
      </w:tr>
    </w:tbl>
    <w:bookmarkEnd w:id="146"/>
    <w:bookmarkStart w:id="166"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50" w:name="fig-e2-train-dev"/>
          <w:p>
            <w:pPr>
              <w:pStyle w:val="Compact"/>
              <w:jc w:val="center"/>
            </w:pPr>
            <w:r>
              <w:drawing>
                <wp:inline>
                  <wp:extent cx="5334000" cy="4267200"/>
                  <wp:effectExtent b="0" l="0" r="0" t="0"/>
                  <wp:docPr descr="" title="" id="148" name="Picture"/>
                  <a:graphic>
                    <a:graphicData uri="http://schemas.openxmlformats.org/drawingml/2006/picture">
                      <pic:pic>
                        <pic:nvPicPr>
                          <pic:cNvPr descr="full_files/figure-docx/fig-e2-train-dev-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Training Stage. Deviations from target band across training blocks. Lower values represent greater accuracy.</w:t>
            </w:r>
          </w:p>
          <w:bookmarkEnd w:id="150"/>
        </w:tc>
      </w:tr>
    </w:tbl>
    <w:tbl>
      <w:tblPr>
        <w:tblStyle w:val="Table"/>
        <w:tblW w:type="pct" w:w="5000"/>
        <w:tblLayout w:type="fixed"/>
        <w:tblLook w:firstRow="0" w:lastRow="0" w:firstColumn="0" w:lastColumn="0" w:noHBand="0" w:noVBand="0" w:val="0000"/>
      </w:tblPr>
      <w:tblGrid>
        <w:gridCol w:w="7920"/>
      </w:tblGrid>
      <w:tr>
        <w:tc>
          <w:tcPr/>
          <w:bookmarkStart w:id="151"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51"/>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52"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52"/>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6" w:name="fig-e2-test-dev"/>
          <w:p>
            <w:pPr>
              <w:pStyle w:val="Compact"/>
              <w:jc w:val="center"/>
            </w:pPr>
            <w:r>
              <w:drawing>
                <wp:inline>
                  <wp:extent cx="5334000" cy="3394363"/>
                  <wp:effectExtent b="0" l="0" r="0" t="0"/>
                  <wp:docPr descr="" title="" id="154" name="Picture"/>
                  <a:graphic>
                    <a:graphicData uri="http://schemas.openxmlformats.org/drawingml/2006/picture">
                      <pic:pic>
                        <pic:nvPicPr>
                          <pic:cNvPr descr="full_files/figure-docx/fig-e2-test-dev-1.png" id="155" name="Picture"/>
                          <pic:cNvPicPr>
                            <a:picLocks noChangeArrowheads="1" noChangeAspect="1"/>
                          </pic:cNvPicPr>
                        </pic:nvPicPr>
                        <pic:blipFill>
                          <a:blip r:embed="rId153"/>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6"/>
        </w:tc>
      </w:tr>
    </w:tbl>
    <w:tbl>
      <w:tblPr>
        <w:tblStyle w:val="Table"/>
        <w:tblW w:type="pct" w:w="5000"/>
        <w:tblLayout w:type="fixed"/>
        <w:tblLook w:firstRow="0" w:lastRow="0" w:firstColumn="0" w:lastColumn="0" w:noHBand="0" w:noVBand="0" w:val="0000"/>
      </w:tblPr>
      <w:tblGrid>
        <w:gridCol w:w="7920"/>
      </w:tblGrid>
      <w:tr>
        <w:tc>
          <w:tcPr/>
          <w:bookmarkStart w:id="157"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7"/>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21</w:t>
        </w:r>
      </w:hyperlink>
      <w:r>
        <w:t xml:space="preserve"> </w:t>
      </w:r>
      <w:r>
        <w:t xml:space="preserve">and</w:t>
      </w:r>
      <w:r>
        <w:t xml:space="preserve"> </w:t>
      </w:r>
      <w:hyperlink w:anchor="fig-e2-bmm-vx">
        <w:r>
          <w:rPr>
            <w:rStyle w:val="Hyperlink"/>
          </w:rPr>
          <w:t xml:space="preserve">Figure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1" w:name="fig-e2-test-vx"/>
          <w:p>
            <w:pPr>
              <w:pStyle w:val="Compact"/>
              <w:jc w:val="center"/>
            </w:pPr>
            <w:r>
              <w:drawing>
                <wp:inline>
                  <wp:extent cx="5334000" cy="3879272"/>
                  <wp:effectExtent b="0" l="0" r="0" t="0"/>
                  <wp:docPr descr="" title="" id="159" name="Picture"/>
                  <a:graphic>
                    <a:graphicData uri="http://schemas.openxmlformats.org/drawingml/2006/picture">
                      <pic:pic>
                        <pic:nvPicPr>
                          <pic:cNvPr descr="full_files/figure-docx/fig-e2-test-vx-1.png" id="160" name="Picture"/>
                          <pic:cNvPicPr>
                            <a:picLocks noChangeArrowheads="1" noChangeAspect="1"/>
                          </pic:cNvPicPr>
                        </pic:nvPicPr>
                        <pic:blipFill>
                          <a:blip r:embed="rId158"/>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Empirical distribution of velocities produced in the testing stage. Translucent bands with dash lines indicate the correct range for each velocity band.</w:t>
            </w:r>
          </w:p>
          <w:bookmarkEnd w:id="161"/>
        </w:tc>
      </w:tr>
    </w:tbl>
    <w:tbl>
      <w:tblPr>
        <w:tblStyle w:val="Table"/>
        <w:tblW w:type="pct" w:w="5000"/>
        <w:tblLayout w:type="fixed"/>
        <w:tblLook w:firstRow="0" w:lastRow="0" w:firstColumn="0" w:lastColumn="0" w:noHBand="0" w:noVBand="0" w:val="0000"/>
      </w:tblPr>
      <w:tblGrid>
        <w:gridCol w:w="7920"/>
      </w:tblGrid>
      <w:tr>
        <w:tc>
          <w:tcPr/>
          <w:bookmarkStart w:id="165" w:name="fig-e2-bmm-vx"/>
          <w:p>
            <w:pPr>
              <w:pStyle w:val="Compact"/>
              <w:jc w:val="center"/>
            </w:pPr>
            <w:r>
              <w:drawing>
                <wp:inline>
                  <wp:extent cx="5334000" cy="3879272"/>
                  <wp:effectExtent b="0" l="0" r="0" t="0"/>
                  <wp:docPr descr="" title="" id="163" name="Picture"/>
                  <a:graphic>
                    <a:graphicData uri="http://schemas.openxmlformats.org/drawingml/2006/picture">
                      <pic:pic>
                        <pic:nvPicPr>
                          <pic:cNvPr descr="full_files/figure-docx/fig-e2-bmm-vx-1.png" id="164" name="Picture"/>
                          <pic:cNvPicPr>
                            <a:picLocks noChangeArrowheads="1" noChangeAspect="1"/>
                          </pic:cNvPicPr>
                        </pic:nvPicPr>
                        <pic:blipFill>
                          <a:blip r:embed="rId162"/>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5"/>
        </w:tc>
      </w:tr>
    </w:tbl>
    <w:bookmarkEnd w:id="166"/>
    <w:bookmarkStart w:id="167"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7"/>
    <w:bookmarkEnd w:id="168"/>
    <w:bookmarkStart w:id="191"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“more force”</w:t>
      </w:r>
      <w:r>
        <w:t xml:space="preserve"> </w:t>
      </w:r>
      <w:r>
        <w:t xml:space="preserve">or</w:t>
      </w:r>
      <w:r>
        <w:t xml:space="preserve"> </w:t>
      </w:r>
      <w:r>
        <w:t xml:space="preserve">“less force”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9"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9"/>
    <w:bookmarkStart w:id="189"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70"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70"/>
          <w:p/>
        </w:tc>
      </w:tr>
    </w:tbl>
    <w:p>
      <w:pPr>
        <w:pStyle w:val="BodyText"/>
      </w:pPr>
      <w:r>
        <w:rPr>
          <w:i/>
          <w:iCs/>
        </w:rPr>
        <w:t xml:space="preserve">Training</w:t>
      </w:r>
      <w:r>
        <w:t xml:space="preserve">.</w:t>
      </w:r>
      <w:r>
        <w:t xml:space="preserve"> </w:t>
      </w:r>
      <w:hyperlink w:anchor="fig-e3-train-dev">
        <w:r>
          <w:rPr>
            <w:rStyle w:val="Hyperlink"/>
          </w:rPr>
          <w:t xml:space="preserve">Figure 23</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4" w:name="fig-e3-train-dev"/>
          <w:p>
            <w:pPr>
              <w:pStyle w:val="Compact"/>
              <w:jc w:val="center"/>
            </w:pPr>
            <w:r>
              <w:drawing>
                <wp:inline>
                  <wp:extent cx="5334000" cy="4267200"/>
                  <wp:effectExtent b="0" l="0" r="0" t="0"/>
                  <wp:docPr descr="" title="" id="172" name="Picture"/>
                  <a:graphic>
                    <a:graphicData uri="http://schemas.openxmlformats.org/drawingml/2006/picture">
                      <pic:pic>
                        <pic:nvPicPr>
                          <pic:cNvPr descr="full_files/figure-docx/fig-e3-train-dev-1.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training. Deviations from target band during training, shown separately for groups trained with the original order (used in E1) and reverse order (used in E2).</w:t>
            </w:r>
          </w:p>
          <w:bookmarkEnd w:id="174"/>
        </w:tc>
      </w:tr>
    </w:tbl>
    <w:tbl>
      <w:tblPr>
        <w:tblStyle w:val="Table"/>
        <w:tblW w:type="pct" w:w="5000"/>
        <w:tblLayout w:type="fixed"/>
        <w:tblLook w:firstRow="0" w:lastRow="0" w:firstColumn="0" w:lastColumn="0" w:noHBand="0" w:noVBand="0" w:val="0000"/>
      </w:tblPr>
      <w:tblGrid>
        <w:gridCol w:w="7920"/>
      </w:tblGrid>
      <w:tr>
        <w:tc>
          <w:tcPr/>
          <w:bookmarkStart w:id="175"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5"/>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9" w:name="fig-e3-test-dev"/>
          <w:p>
            <w:pPr>
              <w:pStyle w:val="Compact"/>
              <w:jc w:val="center"/>
            </w:pPr>
            <w:r>
              <w:drawing>
                <wp:inline>
                  <wp:extent cx="5334000" cy="3879272"/>
                  <wp:effectExtent b="0" l="0" r="0" t="0"/>
                  <wp:docPr descr="" title="" id="177" name="Picture"/>
                  <a:graphic>
                    <a:graphicData uri="http://schemas.openxmlformats.org/drawingml/2006/picture">
                      <pic:pic>
                        <pic:nvPicPr>
                          <pic:cNvPr descr="full_files/figure-docx/fig-e3-test-dev-1.png" id="178" name="Picture"/>
                          <pic:cNvPicPr>
                            <a:picLocks noChangeArrowheads="1" noChangeAspect="1"/>
                          </pic:cNvPicPr>
                        </pic:nvPicPr>
                        <pic:blipFill>
                          <a:blip r:embed="rId176"/>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9"/>
        </w:tc>
      </w:tr>
    </w:tbl>
    <w:tbl>
      <w:tblPr>
        <w:tblStyle w:val="Table"/>
        <w:tblW w:type="pct" w:w="5000"/>
        <w:tblLayout w:type="fixed"/>
        <w:tblLook w:firstRow="0" w:lastRow="0" w:firstColumn="0" w:lastColumn="0" w:noHBand="0" w:noVBand="0" w:val="0000"/>
      </w:tblPr>
      <w:tblGrid>
        <w:gridCol w:w="7920"/>
      </w:tblGrid>
      <w:tr>
        <w:tc>
          <w:tcPr/>
          <w:bookmarkStart w:id="180"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80"/>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4" w:name="fig-e3-test-vx"/>
          <w:p>
            <w:pPr>
              <w:pStyle w:val="Compact"/>
              <w:jc w:val="center"/>
            </w:pPr>
            <w:r>
              <w:drawing>
                <wp:inline>
                  <wp:extent cx="5334000" cy="4849090"/>
                  <wp:effectExtent b="0" l="0" r="0" t="0"/>
                  <wp:docPr descr="" title="" id="182" name="Picture"/>
                  <a:graphic>
                    <a:graphicData uri="http://schemas.openxmlformats.org/drawingml/2006/picture">
                      <pic:pic>
                        <pic:nvPicPr>
                          <pic:cNvPr descr="full_files/figure-docx/fig-e3-test-vx-1.png" id="183" name="Picture"/>
                          <pic:cNvPicPr>
                            <a:picLocks noChangeArrowheads="1" noChangeAspect="1"/>
                          </pic:cNvPicPr>
                        </pic:nvPicPr>
                        <pic:blipFill>
                          <a:blip r:embed="rId181"/>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Empirical distribution of velocities produced in the testing stage. Translucent bands with dash lines indicate the correct range for each velocity band.</w:t>
            </w:r>
          </w:p>
          <w:bookmarkEnd w:id="184"/>
        </w:tc>
      </w:tr>
    </w:tbl>
    <w:p>
      <w:r>
        <w:br w:type="page"/>
      </w:r>
    </w:p>
    <w:tbl>
      <w:tblPr>
        <w:tblStyle w:val="Table"/>
        <w:tblW w:type="pct" w:w="5000"/>
        <w:tblLayout w:type="fixed"/>
        <w:tblLook w:firstRow="0" w:lastRow="0" w:firstColumn="0" w:lastColumn="0" w:noHBand="0" w:noVBand="0" w:val="0000"/>
      </w:tblPr>
      <w:tblGrid>
        <w:gridCol w:w="7920"/>
      </w:tblGrid>
      <w:tr>
        <w:tc>
          <w:tcPr/>
          <w:bookmarkStart w:id="188" w:name="fig-e3-bmm-vx"/>
          <w:p>
            <w:pPr>
              <w:pStyle w:val="Compact"/>
              <w:jc w:val="center"/>
            </w:pPr>
            <w:r>
              <w:drawing>
                <wp:inline>
                  <wp:extent cx="5334000" cy="5334000"/>
                  <wp:effectExtent b="0" l="0" r="0" t="0"/>
                  <wp:docPr descr="" title="" id="186" name="Picture"/>
                  <a:graphic>
                    <a:graphicData uri="http://schemas.openxmlformats.org/drawingml/2006/picture">
                      <pic:pic>
                        <pic:nvPicPr>
                          <pic:cNvPr descr="full_files/figure-docx/fig-e3-bmm-vx-1.png" id="187" name="Picture"/>
                          <pic:cNvPicPr>
                            <a:picLocks noChangeArrowheads="1" noChangeAspect="1"/>
                          </pic:cNvPicPr>
                        </pic:nvPicPr>
                        <pic:blipFill>
                          <a:blip r:embed="rId18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8"/>
        </w:tc>
      </w:tr>
    </w:tbl>
    <w:bookmarkEnd w:id="189"/>
    <w:bookmarkStart w:id="190"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90"/>
    <w:bookmarkEnd w:id="191"/>
    <w:bookmarkStart w:id="237"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5" w:name="fig-alm-diagram"/>
          <w:p>
            <w:pPr>
              <w:pStyle w:val="Compact"/>
              <w:jc w:val="center"/>
            </w:pPr>
            <w:r>
              <w:drawing>
                <wp:inline>
                  <wp:extent cx="5334000" cy="4267200"/>
                  <wp:effectExtent b="0" l="0" r="0" t="0"/>
                  <wp:docPr descr="" title="" id="193" name="Picture"/>
                  <a:graphic>
                    <a:graphicData uri="http://schemas.openxmlformats.org/drawingml/2006/picture">
                      <pic:pic>
                        <pic:nvPicPr>
                          <pic:cNvPr descr="full_files/figure-docx/fig-alm-diagram-1.png" id="194"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5"/>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7"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6"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center"/>
                  </w:pPr>
                  <w:r>
                    <w:rPr>
                      <w:b/>
                      <w:bCs/>
                    </w:rPr>
                    <w:t xml:space="preserve">ALM Response Generation</w:t>
                  </w:r>
                </w:p>
              </w:tc>
              <w:tc>
                <w:tcPr/>
                <w:p>
                  <w:pPr>
                    <w:pStyle w:val="Compact"/>
                  </w:pPr>
                </w:p>
              </w:tc>
            </w:tr>
            <w:tr>
              <w:tc>
                <w:tcPr/>
                <w:p>
                  <w:pPr>
                    <w:pStyle w:val="Compact"/>
                    <w:jc w:val="center"/>
                  </w:pPr>
                  <w:r>
                    <w:t xml:space="preserve">Input Activation</w:t>
                  </w:r>
                </w:p>
              </w:tc>
              <w:tc>
                <w:tcPr/>
                <w:p>
                  <w:pPr>
                    <w:pStyle w:val="Compac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center"/>
                  </w:pPr>
                  <w:r>
                    <w:t xml:space="preserve">Input nodes activate as a function of Gaussian similarity to stimulus</w:t>
                  </w:r>
                </w:p>
              </w:tc>
            </w:tr>
            <w:tr>
              <w:tc>
                <w:tcPr/>
                <w:p>
                  <w:pPr>
                    <w:pStyle w:val="Compact"/>
                    <w:jc w:val="center"/>
                  </w:pPr>
                  <w:r>
                    <w:t xml:space="preserve">Output Activation</w:t>
                  </w:r>
                </w:p>
              </w:tc>
              <w:tc>
                <w:tcPr/>
                <w:p>
                  <w:pPr>
                    <w:pStyle w:val="Compac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center"/>
                  </w:pPr>
                  <w:r>
                    <w:t xml:space="preserve">Output Probability</w:t>
                  </w:r>
                </w:p>
              </w:tc>
              <w:tc>
                <w:tcPr/>
                <w:p>
                  <w:pPr>
                    <w:pStyle w:val="Compac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center"/>
                  </w:pPr>
                  <w:r>
                    <w:t xml:space="preserve">Mean Output</w:t>
                  </w:r>
                </w:p>
              </w:tc>
              <w:tc>
                <w:tcPr/>
                <w:p>
                  <w:pPr>
                    <w:pStyle w:val="Compac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Weighted average of probabilities determines response to X</w:t>
                  </w:r>
                </w:p>
              </w:tc>
            </w:tr>
            <w:tr>
              <w:tc>
                <w:tcPr/>
                <w:p>
                  <w:pPr>
                    <w:pStyle w:val="Compact"/>
                  </w:pPr>
                </w:p>
              </w:tc>
              <w:tc>
                <w:tcPr/>
                <w:p>
                  <w:pPr>
                    <w:pStyle w:val="Compact"/>
                    <w:jc w:val="center"/>
                  </w:pPr>
                  <w:r>
                    <w:rPr>
                      <w:b/>
                      <w:bCs/>
                    </w:rPr>
                    <w:t xml:space="preserve">ALM Learning</w:t>
                  </w:r>
                </w:p>
              </w:tc>
              <w:tc>
                <w:tcPr/>
                <w:p>
                  <w:pPr>
                    <w:pStyle w:val="Compact"/>
                  </w:pPr>
                </w:p>
              </w:tc>
            </w:tr>
            <w:tr>
              <w:tc>
                <w:tcPr/>
                <w:p>
                  <w:pPr>
                    <w:pStyle w:val="Compact"/>
                    <w:jc w:val="center"/>
                  </w:pPr>
                  <w:r>
                    <w:t xml:space="preserve">Feedback</w:t>
                  </w:r>
                </w:p>
              </w:tc>
              <w:tc>
                <w:tcPr/>
                <w:p>
                  <w:pPr>
                    <w:pStyle w:val="Compac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center"/>
                  </w:pPr>
                  <w:r>
                    <w:t xml:space="preserve">feedback signal Z computed as similarity between ideal response and observed response</w:t>
                  </w:r>
                </w:p>
              </w:tc>
            </w:tr>
            <w:tr>
              <w:tc>
                <w:tcPr/>
                <w:p>
                  <w:pPr>
                    <w:pStyle w:val="Compact"/>
                    <w:jc w:val="center"/>
                  </w:pPr>
                  <w:r>
                    <w:t xml:space="preserve">magnitude of error</w:t>
                  </w:r>
                </w:p>
              </w:tc>
              <w:tc>
                <w:tcPr/>
                <w:p>
                  <w:pPr>
                    <w:pStyle w:val="Compac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center"/>
                  </w:pPr>
                  <w:r>
                    <w:t xml:space="preserve">Delta rule to update weights.</w:t>
                  </w:r>
                </w:p>
              </w:tc>
            </w:tr>
            <w:tr>
              <w:tc>
                <w:tcPr/>
                <w:p>
                  <w:pPr>
                    <w:pStyle w:val="Compact"/>
                    <w:jc w:val="center"/>
                  </w:pPr>
                  <w:r>
                    <w:t xml:space="preserve">Update Weights</w:t>
                  </w:r>
                </w:p>
              </w:tc>
              <w:tc>
                <w:tcPr/>
                <w:p>
                  <w:pPr>
                    <w:pStyle w:val="Compac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center"/>
                  </w:pPr>
                  <w:r>
                    <w:rPr>
                      <w:b/>
                      <w:bCs/>
                    </w:rPr>
                    <w:t xml:space="preserve">EXAM Extrapolation</w:t>
                  </w:r>
                </w:p>
              </w:tc>
              <w:tc>
                <w:tcPr/>
                <w:p>
                  <w:pPr>
                    <w:pStyle w:val="Compact"/>
                  </w:pPr>
                </w:p>
              </w:tc>
            </w:tr>
            <w:tr>
              <w:tc>
                <w:tcPr/>
                <w:p>
                  <w:pPr>
                    <w:pStyle w:val="Compact"/>
                    <w:jc w:val="center"/>
                  </w:pPr>
                  <w:r>
                    <w:t xml:space="preserve">Instance Retrieval</w:t>
                  </w:r>
                </w:p>
              </w:tc>
              <w:tc>
                <w:tcPr/>
                <w:p>
                  <w:pPr>
                    <w:pStyle w:val="Compac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center"/>
                  </w:pPr>
                  <w:r>
                    <w:t xml:space="preserve">Slope Computation</w:t>
                  </w:r>
                </w:p>
              </w:tc>
              <w:tc>
                <w:tcPr/>
                <w:p>
                  <w:pPr>
                    <w:pStyle w:val="Compac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center"/>
                  </w:pPr>
                  <w:r>
                    <w:t xml:space="preserve">Slope value,</w:t>
                  </w:r>
                  <w:r>
                    <w:t xml:space="preserve"> </w:t>
                  </w:r>
                  <m:oMath>
                    <m:r>
                      <m:t>S</m:t>
                    </m:r>
                  </m:oMath>
                  <w:r>
                    <w:t xml:space="preserve"> </w:t>
                  </w:r>
                  <w:r>
                    <w:t xml:space="preserve">computed from nearest training instances</w:t>
                  </w:r>
                </w:p>
              </w:tc>
            </w:tr>
            <w:tr>
              <w:tc>
                <w:tcPr/>
                <w:p>
                  <w:pPr>
                    <w:pStyle w:val="Compact"/>
                    <w:jc w:val="center"/>
                  </w:pPr>
                  <w:r>
                    <w:t xml:space="preserve">Response</w:t>
                  </w:r>
                </w:p>
              </w:tc>
              <w:tc>
                <w:tcPr/>
                <w:p>
                  <w:pPr>
                    <w:pStyle w:val="Compac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6"/>
          <w:p/>
        </w:tc>
      </w:tr>
    </w:tbl>
    <w:bookmarkEnd w:id="197"/>
    <w:bookmarkStart w:id="200"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“Fit Method”</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8"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8"/>
          </w:p>
          <w:p>
            <w:pPr>
              <w:pStyle w:val="FirstParagraph"/>
            </w:pPr>
            <w:bookmarkStart w:id="199"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9"/>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200"/>
    <w:bookmarkStart w:id="236"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201"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201"/>
        </w:tc>
      </w:tr>
    </w:tbl>
    <w:tbl>
      <w:tblPr>
        <w:tblStyle w:val="Table"/>
        <w:tblW w:type="pct" w:w="5000"/>
        <w:tblLayout w:type="fixed"/>
        <w:tblLook w:firstRow="0" w:lastRow="0" w:firstColumn="0" w:lastColumn="0" w:noHBand="0" w:noVBand="0" w:val="0000"/>
      </w:tblPr>
      <w:tblGrid>
        <w:gridCol w:w="7920"/>
      </w:tblGrid>
      <w:tr>
        <w:tc>
          <w:tcPr/>
          <w:bookmarkStart w:id="205" w:name="fig-htw-post-dist"/>
          <w:p>
            <w:pPr>
              <w:pStyle w:val="Compact"/>
              <w:jc w:val="center"/>
            </w:pPr>
            <w:r>
              <w:drawing>
                <wp:inline>
                  <wp:extent cx="5334000" cy="3200400"/>
                  <wp:effectExtent b="0" l="0" r="0" t="0"/>
                  <wp:docPr descr="" title="" id="203" name="Picture"/>
                  <a:graphic>
                    <a:graphicData uri="http://schemas.openxmlformats.org/drawingml/2006/picture">
                      <pic:pic>
                        <pic:nvPicPr>
                          <pic:cNvPr descr="full_files/figure-docx/fig-htw-post-dist-1.png" id="204" name="Picture"/>
                          <pic:cNvPicPr>
                            <a:picLocks noChangeArrowheads="1" noChangeAspect="1"/>
                          </pic:cNvPicPr>
                        </pic:nvPicPr>
                        <pic:blipFill>
                          <a:blip r:embed="rId20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5"/>
        </w:tc>
      </w:tr>
    </w:tbl>
    <w:tbl>
      <w:tblPr>
        <w:tblStyle w:val="Table"/>
        <w:tblW w:type="pct" w:w="5000"/>
        <w:tblLayout w:type="fixed"/>
        <w:tblLook w:firstRow="0" w:lastRow="0" w:firstColumn="0" w:lastColumn="0" w:noHBand="0" w:noVBand="0" w:val="0000"/>
      </w:tblPr>
      <w:tblGrid>
        <w:gridCol w:w="7920"/>
      </w:tblGrid>
      <w:tr>
        <w:tc>
          <w:tcPr/>
          <w:bookmarkStart w:id="209" w:name="fig-htw-resid-pred"/>
          <w:p>
            <w:pPr>
              <w:pStyle w:val="Compact"/>
              <w:jc w:val="center"/>
            </w:pPr>
            <w:r>
              <w:drawing>
                <wp:inline>
                  <wp:extent cx="5334000" cy="6788727"/>
                  <wp:effectExtent b="0" l="0" r="0" t="0"/>
                  <wp:docPr descr="" title="" id="207" name="Picture"/>
                  <a:graphic>
                    <a:graphicData uri="http://schemas.openxmlformats.org/drawingml/2006/picture">
                      <pic:pic>
                        <pic:nvPicPr>
                          <pic:cNvPr descr="full_files/figure-docx/fig-htw-resid-pred-1.png" id="208" name="Picture"/>
                          <pic:cNvPicPr>
                            <a:picLocks noChangeArrowheads="1" noChangeAspect="1"/>
                          </pic:cNvPicPr>
                        </pic:nvPicPr>
                        <pic:blipFill>
                          <a:blip r:embed="rId206"/>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9"/>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28</w:t>
        </w:r>
      </w:hyperlink>
      <w:r>
        <w:t xml:space="preserve">, and model predictions are shown alongside the empirical data in</w:t>
      </w:r>
      <w:r>
        <w:t xml:space="preserve"> </w:t>
      </w:r>
      <w:hyperlink w:anchor="fig-cm-vx-pat">
        <w:r>
          <w:rPr>
            <w:rStyle w:val="Hyperlink"/>
          </w:rPr>
          <w:t xml:space="preserve">Figure 30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‘fit to Test Only’</w:t>
      </w:r>
      <w:r>
        <w:t xml:space="preserve"> </w:t>
      </w:r>
      <w:r>
        <w:t xml:space="preserve">model, and the smallest errors for the</w:t>
      </w:r>
      <w:r>
        <w:t xml:space="preserve"> </w:t>
      </w:r>
      <w:r>
        <w:t xml:space="preserve">‘fit to train only’</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30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3" w:name="fig-cm-vx-pat"/>
          <w:p>
            <w:pPr>
              <w:pStyle w:val="Compact"/>
              <w:jc w:val="center"/>
            </w:pPr>
            <w:r>
              <w:drawing>
                <wp:inline>
                  <wp:extent cx="5334000" cy="5334000"/>
                  <wp:effectExtent b="0" l="0" r="0" t="0"/>
                  <wp:docPr descr="" title="" id="211" name="Picture"/>
                  <a:graphic>
                    <a:graphicData uri="http://schemas.openxmlformats.org/drawingml/2006/picture">
                      <pic:pic>
                        <pic:nvPicPr>
                          <pic:cNvPr descr="full_files/figure-docx/fig-cm-vx-pat-1.png" id="212" name="Picture"/>
                          <pic:cNvPicPr>
                            <a:picLocks noChangeArrowheads="1" noChangeAspect="1"/>
                          </pic:cNvPicPr>
                        </pic:nvPicPr>
                        <pic:blipFill>
                          <a:blip r:embed="rId21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3"/>
        </w:tc>
      </w:tr>
    </w:tbl>
    <w:tbl>
      <w:tblPr>
        <w:tblStyle w:val="Table"/>
        <w:tblW w:type="pct" w:w="5000"/>
        <w:tblLayout w:type="fixed"/>
        <w:tblLook w:firstRow="0" w:lastRow="0" w:firstColumn="0" w:lastColumn="0" w:noHBand="0" w:noVBand="0" w:val="0000"/>
      </w:tblPr>
      <w:tblGrid>
        <w:gridCol w:w="7920"/>
      </w:tblGrid>
      <w:tr>
        <w:tc>
          <w:tcPr/>
          <w:bookmarkStart w:id="217" w:name="fig-ee-e1"/>
          <w:p>
            <w:pPr>
              <w:pStyle w:val="Compact"/>
              <w:jc w:val="center"/>
            </w:pPr>
            <w:r>
              <w:drawing>
                <wp:inline>
                  <wp:extent cx="5334000" cy="4267200"/>
                  <wp:effectExtent b="0" l="0" r="0" t="0"/>
                  <wp:docPr descr="" title="" id="215" name="Picture"/>
                  <a:graphic>
                    <a:graphicData uri="http://schemas.openxmlformats.org/drawingml/2006/picture">
                      <pic:pic>
                        <pic:nvPicPr>
                          <pic:cNvPr descr="full_files/figure-docx/fig-ee-e1-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7"/>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8"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8"/>
        </w:tc>
      </w:tr>
    </w:tbl>
    <w:tbl>
      <w:tblPr>
        <w:tblStyle w:val="Table"/>
        <w:tblW w:type="pct" w:w="5000"/>
        <w:tblLayout w:type="fixed"/>
        <w:tblLook w:firstRow="0" w:lastRow="0" w:firstColumn="0" w:lastColumn="0" w:noHBand="0" w:noVBand="0" w:val="0000"/>
      </w:tblPr>
      <w:tblGrid>
        <w:gridCol w:w="7920"/>
      </w:tblGrid>
      <w:tr>
        <w:tc>
          <w:tcPr/>
          <w:bookmarkStart w:id="222" w:name="fig-cm-vx-pat-e2-e3"/>
          <w:p>
            <w:pPr>
              <w:pStyle w:val="Compact"/>
              <w:jc w:val="center"/>
            </w:pPr>
            <w:r>
              <w:drawing>
                <wp:inline>
                  <wp:extent cx="5334000" cy="4267200"/>
                  <wp:effectExtent b="0" l="0" r="0" t="0"/>
                  <wp:docPr descr="" title="" id="220" name="Picture"/>
                  <a:graphic>
                    <a:graphicData uri="http://schemas.openxmlformats.org/drawingml/2006/picture">
                      <pic:pic>
                        <pic:nvPicPr>
                          <pic:cNvPr descr="full_files/figure-docx/fig-cm-vx-pat-e2-e3-1.png" id="221" name="Picture"/>
                          <pic:cNvPicPr>
                            <a:picLocks noChangeArrowheads="1" noChangeAspect="1"/>
                          </pic:cNvPicPr>
                        </pic:nvPicPr>
                        <pic:blipFill>
                          <a:blip r:embed="rId21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Empirical data and Model predictions from Experiment 2 and 3 for the testing stage. Observed data is shown on the right. Bolded bars indicate bands that were trained, non-bold bars indicate extrapolation bands.</w:t>
            </w:r>
          </w:p>
          <w:bookmarkEnd w:id="222"/>
        </w:tc>
      </w:tr>
    </w:tbl>
    <w:p>
      <w:r>
        <w:br w:type="page"/>
      </w:r>
    </w:p>
    <w:tbl>
      <w:tblPr>
        <w:tblStyle w:val="Table"/>
        <w:tblW w:type="pct" w:w="5000"/>
        <w:tblLayout w:type="fixed"/>
        <w:tblLook w:firstRow="0" w:lastRow="0" w:firstColumn="0" w:lastColumn="0" w:noHBand="0" w:noVBand="0" w:val="0000"/>
      </w:tblPr>
      <w:tblGrid>
        <w:gridCol w:w="7920"/>
      </w:tblGrid>
      <w:tr>
        <w:tc>
          <w:tcPr/>
          <w:bookmarkStart w:id="223"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3"/>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“fit to training and testing data”</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7" w:name="fig-e2_e3_ae"/>
          <w:p>
            <w:pPr>
              <w:pStyle w:val="Compact"/>
              <w:jc w:val="center"/>
            </w:pPr>
            <w:r>
              <w:drawing>
                <wp:inline>
                  <wp:extent cx="5334000" cy="3556000"/>
                  <wp:effectExtent b="0" l="0" r="0" t="0"/>
                  <wp:docPr descr="" title="" id="225" name="Picture"/>
                  <a:graphic>
                    <a:graphicData uri="http://schemas.openxmlformats.org/drawingml/2006/picture">
                      <pic:pic>
                        <pic:nvPicPr>
                          <pic:cNvPr descr="full_files/figure-docx/fig-e2_e3_ae-1.png" id="226" name="Picture"/>
                          <pic:cNvPicPr>
                            <a:picLocks noChangeArrowheads="1" noChangeAspect="1"/>
                          </pic:cNvPicPr>
                        </pic:nvPicPr>
                        <pic:blipFill>
                          <a:blip r:embed="rId22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Conditional effects of Model (ALM vs EXAM) and Condition (Constant vs. Varied) on Model Error for Experiments 2 and 3 data. Experiment 3 also includes a condition for the order of training vs. testing bands (original order vs. reverse order).</w:t>
            </w:r>
          </w:p>
          <w:bookmarkEnd w:id="227"/>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31" w:name="fig-htw-best-model"/>
          <w:p>
            <w:pPr>
              <w:pStyle w:val="Compact"/>
              <w:jc w:val="center"/>
            </w:pPr>
            <w:r>
              <w:drawing>
                <wp:inline>
                  <wp:extent cx="5334000" cy="5818909"/>
                  <wp:effectExtent b="0" l="0" r="0" t="0"/>
                  <wp:docPr descr="" title="" id="229" name="Picture"/>
                  <a:graphic>
                    <a:graphicData uri="http://schemas.openxmlformats.org/drawingml/2006/picture">
                      <pic:pic>
                        <pic:nvPicPr>
                          <pic:cNvPr descr="full_files/figure-docx/fig-htw-best-model-1.png" id="230" name="Picture"/>
                          <pic:cNvPicPr>
                            <a:picLocks noChangeArrowheads="1" noChangeAspect="1"/>
                          </pic:cNvPicPr>
                        </pic:nvPicPr>
                        <pic:blipFill>
                          <a:blip r:embed="rId228"/>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Difference in model errors for each participant, with models fit to both train and test data. Positive values favor EXAM, while negative values favor ALM.</w:t>
            </w:r>
          </w:p>
          <w:bookmarkEnd w:id="231"/>
        </w:tc>
      </w:tr>
    </w:tbl>
    <w:tbl>
      <w:tblPr>
        <w:tblStyle w:val="Table"/>
        <w:tblW w:type="pct" w:w="5000"/>
        <w:tblLayout w:type="fixed"/>
        <w:tblLook w:firstRow="0" w:lastRow="0" w:firstColumn="0" w:lastColumn="0" w:noHBand="0" w:noVBand="0" w:val="0000"/>
      </w:tblPr>
      <w:tblGrid>
        <w:gridCol w:w="7920"/>
      </w:tblGrid>
      <w:tr>
        <w:tc>
          <w:tcPr/>
          <w:bookmarkStart w:id="235" w:name="fig-htw-indv-pred"/>
          <w:p>
            <w:pPr>
              <w:pStyle w:val="Compact"/>
              <w:jc w:val="center"/>
            </w:pPr>
            <w:r>
              <w:drawing>
                <wp:inline>
                  <wp:extent cx="5334000" cy="3733800"/>
                  <wp:effectExtent b="0" l="0" r="0" t="0"/>
                  <wp:docPr descr="" title="" id="233" name="Picture"/>
                  <a:graphic>
                    <a:graphicData uri="http://schemas.openxmlformats.org/drawingml/2006/picture">
                      <pic:pic>
                        <pic:nvPicPr>
                          <pic:cNvPr descr="full_files/figure-docx/fig-htw-indv-pred-1.png" id="234" name="Picture"/>
                          <pic:cNvPicPr>
                            <a:picLocks noChangeArrowheads="1" noChangeAspect="1"/>
                          </pic:cNvPicPr>
                        </pic:nvPicPr>
                        <pic:blipFill>
                          <a:blip r:embed="rId232"/>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5"/>
        </w:tc>
      </w:tr>
    </w:tbl>
    <w:bookmarkEnd w:id="236"/>
    <w:bookmarkEnd w:id="237"/>
    <w:bookmarkStart w:id="238"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“spikiness”</w:t>
      </w:r>
      <w:r>
        <w:t xml:space="preserve"> </w:t>
      </w:r>
      <w:r>
        <w:t xml:space="preserve">of the input shape. This entirely arbitrary mapping also would have precluded any sensible</w:t>
      </w:r>
      <w:r>
        <w:t xml:space="preserve"> </w:t>
      </w:r>
      <w:r>
        <w:t xml:space="preserve">“0”</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8"/>
    <w:bookmarkEnd w:id="239"/>
    <w:bookmarkStart w:id="244"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40"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“benefits of variability”</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40"/>
    <w:bookmarkStart w:id="242"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41"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center"/>
                  </w:pPr>
                  <w:r>
                    <w:t xml:space="preserve">Dimension</w:t>
                  </w:r>
                </w:p>
              </w:tc>
              <w:tc>
                <w:tcPr/>
                <w:p>
                  <w:pPr>
                    <w:pStyle w:val="Compact"/>
                    <w:jc w:val="center"/>
                  </w:pPr>
                  <w:r>
                    <w:t xml:space="preserve">HTT (Project 1)</w:t>
                  </w:r>
                </w:p>
              </w:tc>
              <w:tc>
                <w:tcPr/>
                <w:p>
                  <w:pPr>
                    <w:pStyle w:val="Compact"/>
                    <w:jc w:val="center"/>
                  </w:pPr>
                  <w:r>
                    <w:t xml:space="preserve">HTW (Project 2)</w:t>
                  </w:r>
                </w:p>
              </w:tc>
            </w:tr>
            <w:tr>
              <w:tc>
                <w:tcPr/>
                <w:p>
                  <w:pPr>
                    <w:pStyle w:val="Compact"/>
                    <w:jc w:val="center"/>
                  </w:pPr>
                  <w:r>
                    <w:t xml:space="preserve">Task Description</w:t>
                  </w:r>
                </w:p>
              </w:tc>
              <w:tc>
                <w:tcPr/>
                <w:p>
                  <w:pPr>
                    <w:pStyle w:val="Compact"/>
                    <w:jc w:val="center"/>
                  </w:pPr>
                  <w:r>
                    <w:t xml:space="preserve">Projectile launching to hit a target</w:t>
                  </w:r>
                </w:p>
              </w:tc>
              <w:tc>
                <w:tcPr/>
                <w:p>
                  <w:pPr>
                    <w:pStyle w:val="Compact"/>
                    <w:jc w:val="center"/>
                  </w:pPr>
                  <w:r>
                    <w:t xml:space="preserve">Projectile launching to hit wall at a specific velocity</w:t>
                  </w:r>
                </w:p>
              </w:tc>
            </w:tr>
            <w:tr>
              <w:tc>
                <w:tcPr/>
                <w:p>
                  <w:pPr>
                    <w:pStyle w:val="Compact"/>
                    <w:jc w:val="center"/>
                  </w:pPr>
                  <w:r>
                    <w:t xml:space="preserve">Task Complexity</w:t>
                  </w:r>
                </w:p>
              </w:tc>
              <w:tc>
                <w:tcPr/>
                <w:p>
                  <w:pPr>
                    <w:pStyle w:val="Compact"/>
                    <w:jc w:val="center"/>
                  </w:pPr>
                  <w:r>
                    <w:t xml:space="preserve">More complex parabolic trajectory, both x and y velocities relevant to outcome</w:t>
                  </w:r>
                </w:p>
              </w:tc>
              <w:tc>
                <w:tcPr/>
                <w:p>
                  <w:pPr>
                    <w:pStyle w:val="Compact"/>
                    <w:jc w:val="center"/>
                  </w:pPr>
                  <w:r>
                    <w:t xml:space="preserve">Simpler 1D mapping of force to outcome. Only x velocity is relevant.</w:t>
                  </w:r>
                </w:p>
              </w:tc>
            </w:tr>
            <w:tr>
              <w:tc>
                <w:tcPr/>
                <w:p>
                  <w:pPr>
                    <w:pStyle w:val="Compact"/>
                    <w:jc w:val="center"/>
                  </w:pPr>
                  <w:r>
                    <w:t xml:space="preserve">Task Space</w:t>
                  </w:r>
                </w:p>
              </w:tc>
              <w:tc>
                <w:tcPr/>
                <w:p>
                  <w:pPr>
                    <w:pStyle w:val="Compact"/>
                    <w:jc w:val="center"/>
                  </w:pPr>
                  <w:r>
                    <w:t xml:space="preserve">More complex: xy velocity combinations closer to the solution space may still result in worse feedback due to striking the barrier.</w:t>
                  </w:r>
                </w:p>
              </w:tc>
              <w:tc>
                <w:tcPr/>
                <w:p>
                  <w:pPr>
                    <w:pStyle w:val="Compact"/>
                    <w:jc w:val="center"/>
                  </w:pPr>
                  <w:r>
                    <w:t xml:space="preserve">Simpler: smooth, linear mapping between velocity and feedback.</w:t>
                  </w:r>
                </w:p>
              </w:tc>
            </w:tr>
            <w:tr>
              <w:tc>
                <w:tcPr/>
                <w:p>
                  <w:pPr>
                    <w:pStyle w:val="Compact"/>
                    <w:jc w:val="center"/>
                  </w:pPr>
                  <w:r>
                    <w:t xml:space="preserve">Perceptual salience of Varied Conditions</w:t>
                  </w:r>
                </w:p>
              </w:tc>
              <w:tc>
                <w:tcPr/>
                <w:p>
                  <w:pPr>
                    <w:pStyle w:val="Compact"/>
                    <w:jc w:val="center"/>
                  </w:pPr>
                  <w:r>
                    <w:t xml:space="preserve">Varied conditions (# of throwing distances) are perceptually distinct, i.e. salient differences in distance between launching box and target.</w:t>
                  </w:r>
                </w:p>
              </w:tc>
              <w:tc>
                <w:tcPr/>
                <w:p>
                  <w:pPr>
                    <w:pStyle w:val="Compact"/>
                    <w:jc w:val="center"/>
                  </w:pPr>
                  <w:r>
                    <w:t xml:space="preserve">Varied conditions (# of velocity bands) are less salient - only difference is the numeral displayed on screen.</w:t>
                  </w:r>
                </w:p>
              </w:tc>
            </w:tr>
            <w:tr>
              <w:tc>
                <w:tcPr/>
                <w:p>
                  <w:pPr>
                    <w:pStyle w:val="Compact"/>
                    <w:jc w:val="center"/>
                  </w:pPr>
                  <w:r>
                    <w:t xml:space="preserve">Testing Feedback</w:t>
                  </w:r>
                </w:p>
              </w:tc>
              <w:tc>
                <w:tcPr/>
                <w:p>
                  <w:pPr>
                    <w:pStyle w:val="Compact"/>
                    <w:jc w:val="center"/>
                  </w:pPr>
                  <w:r>
                    <w:t xml:space="preserve">Testing always included feedback</w:t>
                  </w:r>
                </w:p>
              </w:tc>
              <w:tc>
                <w:tcPr/>
                <w:p>
                  <w:pPr>
                    <w:pStyle w:val="Compact"/>
                    <w:jc w:val="center"/>
                  </w:pPr>
                  <w:r>
                    <w:t xml:space="preserve">Primary testing stage had no feedback.</w:t>
                  </w:r>
                </w:p>
              </w:tc>
            </w:tr>
            <w:tr>
              <w:tc>
                <w:tcPr/>
                <w:p>
                  <w:pPr>
                    <w:pStyle w:val="Compact"/>
                    <w:jc w:val="center"/>
                  </w:pPr>
                  <w:r>
                    <w:t xml:space="preserve">Potential for Learning during Testing</w:t>
                  </w:r>
                </w:p>
              </w:tc>
              <w:tc>
                <w:tcPr/>
                <w:p>
                  <w:pPr>
                    <w:pStyle w:val="Compact"/>
                    <w:jc w:val="center"/>
                  </w:pPr>
                  <w:r>
                    <w:t xml:space="preserve">Limited potential for learning during testing due to feedback.</w:t>
                  </w:r>
                </w:p>
              </w:tc>
              <w:tc>
                <w:tcPr/>
                <w:p>
                  <w:pPr>
                    <w:pStyle w:val="Compact"/>
                    <w:jc w:val="center"/>
                  </w:pPr>
                  <w:r>
                    <w:t xml:space="preserve">Some potential for learning during no-feedback testing by observing ball trajectory.</w:t>
                  </w:r>
                </w:p>
              </w:tc>
            </w:tr>
            <w:tr>
              <w:tc>
                <w:tcPr/>
                <w:p>
                  <w:pPr>
                    <w:pStyle w:val="Compact"/>
                    <w:jc w:val="center"/>
                  </w:pPr>
                  <w:r>
                    <w:t xml:space="preserve">Training Experience</w:t>
                  </w:r>
                </w:p>
              </w:tc>
              <w:tc>
                <w:tcPr/>
                <w:p>
                  <w:pPr>
                    <w:pStyle w:val="Compact"/>
                    <w:jc w:val="center"/>
                  </w:pPr>
                  <w:r>
                    <w:t xml:space="preserve">Varied group gets half as much experience on any one position as the constant group.</w:t>
                  </w:r>
                </w:p>
              </w:tc>
              <w:tc>
                <w:tcPr/>
                <w:p>
                  <w:pPr>
                    <w:pStyle w:val="Compact"/>
                    <w:jc w:val="center"/>
                  </w:pPr>
                  <w:r>
                    <w:t xml:space="preserve">Varied group gets 1/3 as much experience on any one velocity band as the constant group.</w:t>
                  </w:r>
                </w:p>
              </w:tc>
            </w:tr>
            <w:tr>
              <w:tc>
                <w:tcPr/>
                <w:p>
                  <w:pPr>
                    <w:pStyle w:val="Compact"/>
                    <w:jc w:val="center"/>
                  </w:pPr>
                  <w:r>
                    <w:t xml:space="preserve">Testing Structure</w:t>
                  </w:r>
                </w:p>
              </w:tc>
              <w:tc>
                <w:tcPr/>
                <w:p>
                  <w:pPr>
                    <w:pStyle w:val="Compact"/>
                    <w:jc w:val="center"/>
                  </w:pPr>
                  <w:r>
                    <w:t xml:space="preserve">Random interleaving of trained/transfer testing distances.</w:t>
                  </w:r>
                </w:p>
              </w:tc>
              <w:tc>
                <w:tcPr/>
                <w:p>
                  <w:pPr>
                    <w:pStyle w:val="Compact"/>
                    <w:jc w:val="center"/>
                  </w:pPr>
                  <w:r>
                    <w:t xml:space="preserve">Blocked structure, separately testing trained vs extrapolation testing bands.</w:t>
                  </w:r>
                </w:p>
              </w:tc>
            </w:tr>
          </w:tbl>
          <w:bookmarkEnd w:id="241"/>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42"/>
    <w:bookmarkStart w:id="243"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3"/>
    <w:bookmarkEnd w:id="244"/>
    <w:bookmarkStart w:id="246" w:name="appendix"/>
    <w:p>
      <w:pPr>
        <w:pStyle w:val="Heading1"/>
      </w:pPr>
      <w:r>
        <w:t xml:space="preserve">Appendix</w:t>
      </w:r>
    </w:p>
    <w:p>
      <w:pPr>
        <w:pStyle w:val="FirstParagraph"/>
      </w:pPr>
      <w:hyperlink r:id="rId245">
        <w:r>
          <w:rPr>
            <w:rStyle w:val="Hyperlink"/>
          </w:rPr>
          <w:t xml:space="preserve">Apppendix</w:t>
        </w:r>
      </w:hyperlink>
      <w:r>
        <w:t xml:space="preserve"> </w:t>
      </w:r>
      <w:r>
        <w:t xml:space="preserve">available at https://tegorman13.github.io/Dissertation/Sections/Appendix/Full_Appendix.html</w:t>
      </w:r>
    </w:p>
    <w:bookmarkEnd w:id="246"/>
    <w:bookmarkStart w:id="589" w:name="references"/>
    <w:p>
      <w:pPr>
        <w:pStyle w:val="Heading1"/>
      </w:pPr>
      <w:r>
        <w:t xml:space="preserve">References</w:t>
      </w:r>
    </w:p>
    <w:bookmarkStart w:id="588" w:name="refs"/>
    <w:bookmarkStart w:id="247"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7"/>
    <w:bookmarkStart w:id="249"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8">
        <w:r>
          <w:rPr>
            <w:rStyle w:val="Hyperlink"/>
          </w:rPr>
          <w:t xml:space="preserve">https://doi.org/10.32614/RJ-2021-048</w:t>
        </w:r>
      </w:hyperlink>
    </w:p>
    <w:bookmarkEnd w:id="249"/>
    <w:bookmarkStart w:id="251"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50">
        <w:r>
          <w:rPr>
            <w:rStyle w:val="Hyperlink"/>
          </w:rPr>
          <w:t xml:space="preserve">https://doi.org/10.1152/jn.00615.2013</w:t>
        </w:r>
      </w:hyperlink>
    </w:p>
    <w:bookmarkEnd w:id="251"/>
    <w:bookmarkStart w:id="252"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52"/>
    <w:bookmarkStart w:id="254"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3">
        <w:r>
          <w:rPr>
            <w:rStyle w:val="Hyperlink"/>
          </w:rPr>
          <w:t xml:space="preserve">https://doi.org/10.1037/0278-7393.30.1.38</w:t>
        </w:r>
      </w:hyperlink>
    </w:p>
    <w:bookmarkEnd w:id="254"/>
    <w:bookmarkStart w:id="256"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5">
        <w:r>
          <w:rPr>
            <w:rStyle w:val="Hyperlink"/>
          </w:rPr>
          <w:t xml:space="preserve">https://doi.org/10.1037/xlm0000824</w:t>
        </w:r>
      </w:hyperlink>
    </w:p>
    <w:bookmarkEnd w:id="256"/>
    <w:bookmarkStart w:id="258"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7">
        <w:r>
          <w:rPr>
            <w:rStyle w:val="Hyperlink"/>
          </w:rPr>
          <w:t xml:space="preserve">https://doi.org/10.1080/07370008.2015.1067215</w:t>
        </w:r>
      </w:hyperlink>
    </w:p>
    <w:bookmarkEnd w:id="258"/>
    <w:bookmarkStart w:id="260"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9">
        <w:r>
          <w:rPr>
            <w:rStyle w:val="Hyperlink"/>
          </w:rPr>
          <w:t xml:space="preserve">https://doi.org/10.1016/j.cub.2009.01.036</w:t>
        </w:r>
      </w:hyperlink>
    </w:p>
    <w:bookmarkEnd w:id="260"/>
    <w:bookmarkStart w:id="262"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61">
        <w:r>
          <w:rPr>
            <w:rStyle w:val="Hyperlink"/>
          </w:rPr>
          <w:t xml:space="preserve">https://doi.org/10.1016/0030-5073(74)90002-6</w:t>
        </w:r>
      </w:hyperlink>
    </w:p>
    <w:bookmarkEnd w:id="262"/>
    <w:bookmarkStart w:id="264"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3">
        <w:r>
          <w:rPr>
            <w:rStyle w:val="Hyperlink"/>
          </w:rPr>
          <w:t xml:space="preserve">https://doi.org/10.1016/j.jml.2022.104352</w:t>
        </w:r>
      </w:hyperlink>
    </w:p>
    <w:bookmarkEnd w:id="264"/>
    <w:bookmarkStart w:id="266"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5">
        <w:r>
          <w:rPr>
            <w:rStyle w:val="Hyperlink"/>
          </w:rPr>
          <w:t xml:space="preserve">https://doi.org/10.1016/j.actpsy.2012.04.002</w:t>
        </w:r>
      </w:hyperlink>
    </w:p>
    <w:bookmarkEnd w:id="266"/>
    <w:bookmarkStart w:id="268"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7">
        <w:r>
          <w:rPr>
            <w:rStyle w:val="Hyperlink"/>
          </w:rPr>
          <w:t xml:space="preserve">https://doi.org/10.1016/j.cognition.2010.10.004</w:t>
        </w:r>
      </w:hyperlink>
    </w:p>
    <w:bookmarkEnd w:id="268"/>
    <w:bookmarkStart w:id="270"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9">
        <w:r>
          <w:rPr>
            <w:rStyle w:val="Hyperlink"/>
          </w:rPr>
          <w:t xml:space="preserve">https://doi.org/10.1037/cep0000129</w:t>
        </w:r>
      </w:hyperlink>
    </w:p>
    <w:bookmarkEnd w:id="270"/>
    <w:bookmarkStart w:id="272"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71">
        <w:r>
          <w:rPr>
            <w:rStyle w:val="Hyperlink"/>
          </w:rPr>
          <w:t xml:space="preserve">https://doi.org/10.1002/acp.1739</w:t>
        </w:r>
      </w:hyperlink>
    </w:p>
    <w:bookmarkEnd w:id="272"/>
    <w:bookmarkStart w:id="274"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3">
        <w:r>
          <w:rPr>
            <w:rStyle w:val="Hyperlink"/>
          </w:rPr>
          <w:t xml:space="preserve">https://doi.org/10.18637/jss.v080.i01</w:t>
        </w:r>
      </w:hyperlink>
    </w:p>
    <w:bookmarkEnd w:id="274"/>
    <w:bookmarkStart w:id="276"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5">
        <w:r>
          <w:rPr>
            <w:rStyle w:val="Hyperlink"/>
          </w:rPr>
          <w:t xml:space="preserve">https://doi.org/10.1111/cogs.12231</w:t>
        </w:r>
      </w:hyperlink>
    </w:p>
    <w:bookmarkEnd w:id="276"/>
    <w:bookmarkStart w:id="277"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7"/>
    <w:bookmarkStart w:id="279"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8">
        <w:r>
          <w:rPr>
            <w:rStyle w:val="Hyperlink"/>
          </w:rPr>
          <w:t xml:space="preserve">https://doi.org/10.1002/j.2333-8504.1963.tb00958.x</w:t>
        </w:r>
      </w:hyperlink>
    </w:p>
    <w:bookmarkEnd w:id="279"/>
    <w:bookmarkStart w:id="281"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80">
        <w:r>
          <w:rPr>
            <w:rStyle w:val="Hyperlink"/>
          </w:rPr>
          <w:t xml:space="preserve">https://doi.org/10.2466/pms.1984.58.3.851</w:t>
        </w:r>
      </w:hyperlink>
    </w:p>
    <w:bookmarkEnd w:id="281"/>
    <w:bookmarkStart w:id="283"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82">
        <w:r>
          <w:rPr>
            <w:rStyle w:val="Hyperlink"/>
          </w:rPr>
          <w:t xml:space="preserve">https://doi.org/10.1038/nrn3315</w:t>
        </w:r>
      </w:hyperlink>
    </w:p>
    <w:bookmarkEnd w:id="283"/>
    <w:bookmarkStart w:id="285"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4">
        <w:r>
          <w:rPr>
            <w:rStyle w:val="Hyperlink"/>
          </w:rPr>
          <w:t xml:space="preserve">https://doi.org/10.1080/00222895.1992.9941617</w:t>
        </w:r>
      </w:hyperlink>
    </w:p>
    <w:bookmarkEnd w:id="285"/>
    <w:bookmarkStart w:id="287"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6">
        <w:r>
          <w:rPr>
            <w:rStyle w:val="Hyperlink"/>
          </w:rPr>
          <w:t xml:space="preserve">https://doi.org/10.1080/00222895.1992.9941627</w:t>
        </w:r>
      </w:hyperlink>
    </w:p>
    <w:bookmarkEnd w:id="287"/>
    <w:bookmarkStart w:id="289"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8">
        <w:r>
          <w:rPr>
            <w:rStyle w:val="Hyperlink"/>
          </w:rPr>
          <w:t xml:space="preserve">https://doi.org/10.1016/j.humov.2019.02.015</w:t>
        </w:r>
      </w:hyperlink>
    </w:p>
    <w:bookmarkEnd w:id="289"/>
    <w:bookmarkStart w:id="291"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90">
        <w:r>
          <w:rPr>
            <w:rStyle w:val="Hyperlink"/>
          </w:rPr>
          <w:t xml:space="preserve">https://doi.org/10.1016/j.cogpsych.2021.101406</w:t>
        </w:r>
      </w:hyperlink>
    </w:p>
    <w:bookmarkEnd w:id="291"/>
    <w:bookmarkStart w:id="293"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92">
        <w:r>
          <w:rPr>
            <w:rStyle w:val="Hyperlink"/>
          </w:rPr>
          <w:t xml:space="preserve">https://doi.org/10.21105/joss.02535</w:t>
        </w:r>
      </w:hyperlink>
    </w:p>
    <w:bookmarkEnd w:id="293"/>
    <w:bookmarkStart w:id="295"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4">
        <w:r>
          <w:rPr>
            <w:rStyle w:val="Hyperlink"/>
          </w:rPr>
          <w:t xml:space="preserve">https://doi.org/10.3758/BF03206386</w:t>
        </w:r>
      </w:hyperlink>
    </w:p>
    <w:bookmarkEnd w:id="295"/>
    <w:bookmarkStart w:id="297"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6">
        <w:r>
          <w:rPr>
            <w:rStyle w:val="Hyperlink"/>
          </w:rPr>
          <w:t xml:space="preserve">https://doi.org/10.1007/s00221-004-1862-9</w:t>
        </w:r>
      </w:hyperlink>
    </w:p>
    <w:bookmarkEnd w:id="297"/>
    <w:bookmarkStart w:id="299"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8">
        <w:r>
          <w:rPr>
            <w:rStyle w:val="Hyperlink"/>
          </w:rPr>
          <w:t xml:space="preserve">https://doi.org/10.1016/j.cognition.2022.105163</w:t>
        </w:r>
      </w:hyperlink>
    </w:p>
    <w:bookmarkEnd w:id="299"/>
    <w:bookmarkStart w:id="301"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300">
        <w:r>
          <w:rPr>
            <w:rStyle w:val="Hyperlink"/>
          </w:rPr>
          <w:t xml:space="preserve">https://doi.org/10.1111/j.2044-8317.2011.02016.x</w:t>
        </w:r>
      </w:hyperlink>
    </w:p>
    <w:bookmarkEnd w:id="301"/>
    <w:bookmarkStart w:id="303"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302">
        <w:r>
          <w:rPr>
            <w:rStyle w:val="Hyperlink"/>
          </w:rPr>
          <w:t xml:space="preserve">https://doi.org/10.1073/pnas.1912789117</w:t>
        </w:r>
      </w:hyperlink>
    </w:p>
    <w:bookmarkEnd w:id="303"/>
    <w:bookmarkStart w:id="305"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4">
        <w:r>
          <w:rPr>
            <w:rStyle w:val="Hyperlink"/>
          </w:rPr>
          <w:t xml:space="preserve">https://doi.org/10.1037/a0018390</w:t>
        </w:r>
      </w:hyperlink>
    </w:p>
    <w:bookmarkEnd w:id="305"/>
    <w:bookmarkStart w:id="307"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6">
        <w:r>
          <w:rPr>
            <w:rStyle w:val="Hyperlink"/>
          </w:rPr>
          <w:t xml:space="preserve">https://doi.org/10.3389/fpsyg.2021.639131</w:t>
        </w:r>
      </w:hyperlink>
    </w:p>
    <w:bookmarkEnd w:id="307"/>
    <w:bookmarkStart w:id="309"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8">
        <w:r>
          <w:rPr>
            <w:rStyle w:val="Hyperlink"/>
          </w:rPr>
          <w:t xml:space="preserve">https://doi.org/10.3758/s13428-014-0458-y</w:t>
        </w:r>
      </w:hyperlink>
    </w:p>
    <w:bookmarkEnd w:id="309"/>
    <w:bookmarkStart w:id="311"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10">
        <w:r>
          <w:rPr>
            <w:rStyle w:val="Hyperlink"/>
          </w:rPr>
          <w:t xml:space="preserve">https://doi.org/10.1080/02701367.1982.10605236</w:t>
        </w:r>
      </w:hyperlink>
    </w:p>
    <w:bookmarkEnd w:id="311"/>
    <w:bookmarkStart w:id="313"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12">
        <w:r>
          <w:rPr>
            <w:rStyle w:val="Hyperlink"/>
          </w:rPr>
          <w:t xml:space="preserve">https://doi.org/10.1037/0278-7393.23.4.968</w:t>
        </w:r>
      </w:hyperlink>
    </w:p>
    <w:bookmarkEnd w:id="313"/>
    <w:bookmarkStart w:id="315"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4">
        <w:r>
          <w:rPr>
            <w:rStyle w:val="Hyperlink"/>
          </w:rPr>
          <w:t xml:space="preserve">https://doi.org/10.31234/osf.io/ygmcj</w:t>
        </w:r>
      </w:hyperlink>
    </w:p>
    <w:bookmarkEnd w:id="315"/>
    <w:bookmarkStart w:id="317"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6">
        <w:r>
          <w:rPr>
            <w:rStyle w:val="Hyperlink"/>
          </w:rPr>
          <w:t xml:space="preserve">https://doi.org/10.1080/09658211.2015.1086805</w:t>
        </w:r>
      </w:hyperlink>
    </w:p>
    <w:bookmarkEnd w:id="317"/>
    <w:bookmarkStart w:id="319"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8">
        <w:r>
          <w:rPr>
            <w:rStyle w:val="Hyperlink"/>
          </w:rPr>
          <w:t xml:space="preserve">https://doi.org/10.1016/0022-2496(88)90023-5</w:t>
        </w:r>
      </w:hyperlink>
    </w:p>
    <w:bookmarkEnd w:id="319"/>
    <w:bookmarkStart w:id="320"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20"/>
    <w:bookmarkStart w:id="322"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21">
        <w:r>
          <w:rPr>
            <w:rStyle w:val="Hyperlink"/>
          </w:rPr>
          <w:t xml:space="preserve">https://doi.org/10.1016/j.brat.2022.104201</w:t>
        </w:r>
      </w:hyperlink>
    </w:p>
    <w:bookmarkEnd w:id="322"/>
    <w:bookmarkStart w:id="324"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3">
        <w:r>
          <w:rPr>
            <w:rStyle w:val="Hyperlink"/>
          </w:rPr>
          <w:t xml:space="preserve">https://doi.org/10.1017/CBO9781316272503</w:t>
        </w:r>
      </w:hyperlink>
    </w:p>
    <w:bookmarkEnd w:id="324"/>
    <w:bookmarkStart w:id="326"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5">
        <w:r>
          <w:rPr>
            <w:rStyle w:val="Hyperlink"/>
          </w:rPr>
          <w:t xml:space="preserve">https://doi.org/10.3758/BRM.41.4.1149</w:t>
        </w:r>
      </w:hyperlink>
    </w:p>
    <w:bookmarkEnd w:id="326"/>
    <w:bookmarkStart w:id="328"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7">
        <w:r>
          <w:rPr>
            <w:rStyle w:val="Hyperlink"/>
          </w:rPr>
          <w:t xml:space="preserve">https://doi.org/10.1371/journal.pcbi.1003425</w:t>
        </w:r>
      </w:hyperlink>
    </w:p>
    <w:bookmarkEnd w:id="328"/>
    <w:bookmarkStart w:id="330"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9">
        <w:r>
          <w:rPr>
            <w:rStyle w:val="Hyperlink"/>
          </w:rPr>
          <w:t xml:space="preserve">https://doi.org/10.1073/pnas.93.9.3843</w:t>
        </w:r>
      </w:hyperlink>
    </w:p>
    <w:bookmarkEnd w:id="330"/>
    <w:bookmarkStart w:id="332"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31">
        <w:r>
          <w:rPr>
            <w:rStyle w:val="Hyperlink"/>
          </w:rPr>
          <w:t xml:space="preserve">https://doi.org/10.3758/s13414-021-02338-6</w:t>
        </w:r>
      </w:hyperlink>
    </w:p>
    <w:bookmarkEnd w:id="332"/>
    <w:bookmarkStart w:id="334"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3">
        <w:r>
          <w:rPr>
            <w:rStyle w:val="Hyperlink"/>
          </w:rPr>
          <w:t xml:space="preserve">https://doi.org/10.3758/s13423-023-02252-y</w:t>
        </w:r>
      </w:hyperlink>
    </w:p>
    <w:bookmarkEnd w:id="334"/>
    <w:bookmarkStart w:id="336"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5">
        <w:r>
          <w:rPr>
            <w:rStyle w:val="Hyperlink"/>
          </w:rPr>
          <w:t xml:space="preserve">https://doi.org/10.1523/JNEUROSCI.16-21-07085.1996</w:t>
        </w:r>
      </w:hyperlink>
    </w:p>
    <w:bookmarkEnd w:id="336"/>
    <w:bookmarkStart w:id="338"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7">
        <w:r>
          <w:rPr>
            <w:rStyle w:val="Hyperlink"/>
          </w:rPr>
          <w:t xml:space="preserve">https://doi.org/10.1080/20445911.2011.507187</w:t>
        </w:r>
      </w:hyperlink>
    </w:p>
    <w:bookmarkEnd w:id="338"/>
    <w:bookmarkStart w:id="340"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9">
        <w:r>
          <w:rPr>
            <w:rStyle w:val="Hyperlink"/>
          </w:rPr>
          <w:t xml:space="preserve">https://doi.org/10.3758/PBR.15.3.662</w:t>
        </w:r>
      </w:hyperlink>
    </w:p>
    <w:bookmarkEnd w:id="340"/>
    <w:bookmarkStart w:id="342"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41">
        <w:r>
          <w:rPr>
            <w:rStyle w:val="Hyperlink"/>
          </w:rPr>
          <w:t xml:space="preserve">https://doi.org/10.2466/pms.1998.87.1.147</w:t>
        </w:r>
      </w:hyperlink>
    </w:p>
    <w:bookmarkEnd w:id="342"/>
    <w:bookmarkStart w:id="344"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3">
        <w:r>
          <w:rPr>
            <w:rStyle w:val="Hyperlink"/>
          </w:rPr>
          <w:t xml:space="preserve">https://doi.org/10.1016/j.cogpsych.2022.101491</w:t>
        </w:r>
      </w:hyperlink>
    </w:p>
    <w:bookmarkEnd w:id="344"/>
    <w:bookmarkStart w:id="346"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5">
        <w:r>
          <w:rPr>
            <w:rStyle w:val="Hyperlink"/>
          </w:rPr>
          <w:t xml:space="preserve">https://doi.org/10.2466/pms.1995.81.3f.1275</w:t>
        </w:r>
      </w:hyperlink>
    </w:p>
    <w:bookmarkEnd w:id="346"/>
    <w:bookmarkStart w:id="347"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7"/>
    <w:bookmarkStart w:id="349"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8">
        <w:r>
          <w:rPr>
            <w:rStyle w:val="Hyperlink"/>
          </w:rPr>
          <w:t xml:space="preserve">https://doi.org/10.3200/JMBR.36.2.212-224</w:t>
        </w:r>
      </w:hyperlink>
    </w:p>
    <w:bookmarkEnd w:id="349"/>
    <w:bookmarkStart w:id="351"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50">
        <w:r>
          <w:rPr>
            <w:rStyle w:val="Hyperlink"/>
          </w:rPr>
          <w:t xml:space="preserve">https://www.jstor.org/stable/43551124</w:t>
        </w:r>
      </w:hyperlink>
    </w:p>
    <w:bookmarkEnd w:id="351"/>
    <w:bookmarkStart w:id="353"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52">
        <w:r>
          <w:rPr>
            <w:rStyle w:val="Hyperlink"/>
          </w:rPr>
          <w:t xml:space="preserve">https://doi.org/10.1371/journal.pone.0269794</w:t>
        </w:r>
      </w:hyperlink>
    </w:p>
    <w:bookmarkEnd w:id="353"/>
    <w:bookmarkStart w:id="355"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4">
        <w:r>
          <w:rPr>
            <w:rStyle w:val="Hyperlink"/>
          </w:rPr>
          <w:t xml:space="preserve">https://doi.org/10.3758/BF03195318</w:t>
        </w:r>
      </w:hyperlink>
    </w:p>
    <w:bookmarkEnd w:id="355"/>
    <w:bookmarkStart w:id="357"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6">
        <w:r>
          <w:rPr>
            <w:rStyle w:val="Hyperlink"/>
          </w:rPr>
          <w:t xml:space="preserve">https://doi.org/10.1037/a0020666</w:t>
        </w:r>
      </w:hyperlink>
    </w:p>
    <w:bookmarkEnd w:id="357"/>
    <w:bookmarkStart w:id="359"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8">
        <w:r>
          <w:rPr>
            <w:rStyle w:val="Hyperlink"/>
          </w:rPr>
          <w:t xml:space="preserve">https://doi.org/10.3758/BF03202365</w:t>
        </w:r>
      </w:hyperlink>
    </w:p>
    <w:bookmarkEnd w:id="359"/>
    <w:bookmarkStart w:id="360"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60"/>
    <w:bookmarkStart w:id="362"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61">
        <w:r>
          <w:rPr>
            <w:rStyle w:val="Hyperlink"/>
          </w:rPr>
          <w:t xml:space="preserve">https://doi.org/10.1037/0278-7393.2.3.322</w:t>
        </w:r>
      </w:hyperlink>
    </w:p>
    <w:bookmarkEnd w:id="362"/>
    <w:bookmarkStart w:id="364"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3">
        <w:r>
          <w:rPr>
            <w:rStyle w:val="Hyperlink"/>
          </w:rPr>
          <w:t xml:space="preserve">https://doi.org/10.1080/713756773</w:t>
        </w:r>
      </w:hyperlink>
    </w:p>
    <w:bookmarkEnd w:id="364"/>
    <w:bookmarkStart w:id="366"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5">
        <w:r>
          <w:rPr>
            <w:rStyle w:val="Hyperlink"/>
          </w:rPr>
          <w:t xml:space="preserve">https://doi.org/10.1016/j.visres.2022.108128</w:t>
        </w:r>
      </w:hyperlink>
    </w:p>
    <w:bookmarkEnd w:id="366"/>
    <w:bookmarkStart w:id="368"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7">
        <w:r>
          <w:rPr>
            <w:rStyle w:val="Hyperlink"/>
          </w:rPr>
          <w:t xml:space="preserve">https://doi.org/10.1177/17470218231210491</w:t>
        </w:r>
      </w:hyperlink>
    </w:p>
    <w:bookmarkEnd w:id="368"/>
    <w:bookmarkStart w:id="369"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9"/>
    <w:bookmarkStart w:id="371"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70">
        <w:r>
          <w:rPr>
            <w:rStyle w:val="Hyperlink"/>
          </w:rPr>
          <w:t xml:space="preserve">https://doi.org/10.3758/s13421-023-01516-1</w:t>
        </w:r>
      </w:hyperlink>
    </w:p>
    <w:bookmarkEnd w:id="371"/>
    <w:bookmarkStart w:id="373"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72">
        <w:r>
          <w:rPr>
            <w:rStyle w:val="Hyperlink"/>
          </w:rPr>
          <w:t xml:space="preserve">https://doi.org/10.1037/a0024386</w:t>
        </w:r>
      </w:hyperlink>
    </w:p>
    <w:bookmarkEnd w:id="373"/>
    <w:bookmarkStart w:id="375"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4">
        <w:r>
          <w:rPr>
            <w:rStyle w:val="Hyperlink"/>
          </w:rPr>
          <w:t xml:space="preserve">https://doi.org/10.1038/s44159-022-00025-3</w:t>
        </w:r>
      </w:hyperlink>
    </w:p>
    <w:bookmarkEnd w:id="375"/>
    <w:bookmarkStart w:id="377"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6">
        <w:r>
          <w:rPr>
            <w:rStyle w:val="Hyperlink"/>
          </w:rPr>
          <w:t xml:space="preserve">https://doi.org/10.1111/cogs.12812</w:t>
        </w:r>
      </w:hyperlink>
    </w:p>
    <w:bookmarkEnd w:id="377"/>
    <w:bookmarkStart w:id="379"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8">
        <w:r>
          <w:rPr>
            <w:rStyle w:val="Hyperlink"/>
          </w:rPr>
          <w:t xml:space="preserve">https://doi.org/10.3758/s13421-013-0306-9</w:t>
        </w:r>
      </w:hyperlink>
    </w:p>
    <w:bookmarkEnd w:id="379"/>
    <w:bookmarkStart w:id="381"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80">
        <w:r>
          <w:rPr>
            <w:rStyle w:val="Hyperlink"/>
          </w:rPr>
          <w:t xml:space="preserve">https://doi.org/10.1037/0033-295X.111.4.1072</w:t>
        </w:r>
      </w:hyperlink>
    </w:p>
    <w:bookmarkEnd w:id="381"/>
    <w:bookmarkStart w:id="383"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82">
        <w:r>
          <w:rPr>
            <w:rStyle w:val="Hyperlink"/>
          </w:rPr>
          <w:t xml:space="preserve">https://doi.org/10.1016/j.jmp.2020.102417</w:t>
        </w:r>
      </w:hyperlink>
    </w:p>
    <w:bookmarkEnd w:id="383"/>
    <w:bookmarkStart w:id="385"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4">
        <w:r>
          <w:rPr>
            <w:rStyle w:val="Hyperlink"/>
          </w:rPr>
          <w:t xml:space="preserve">https://doi.org/10.1111/cogs.12738</w:t>
        </w:r>
      </w:hyperlink>
    </w:p>
    <w:bookmarkEnd w:id="385"/>
    <w:bookmarkStart w:id="386"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6"/>
    <w:bookmarkStart w:id="388"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7">
        <w:r>
          <w:rPr>
            <w:rStyle w:val="Hyperlink"/>
          </w:rPr>
          <w:t xml:space="preserve">https://doi.org/10.1016/j.jmp.2008.01.009</w:t>
        </w:r>
      </w:hyperlink>
    </w:p>
    <w:bookmarkEnd w:id="388"/>
    <w:bookmarkStart w:id="390"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9">
        <w:r>
          <w:rPr>
            <w:rStyle w:val="Hyperlink"/>
          </w:rPr>
          <w:t xml:space="preserve">https://doi.org/10.1167/9.7.16</w:t>
        </w:r>
      </w:hyperlink>
    </w:p>
    <w:bookmarkEnd w:id="390"/>
    <w:bookmarkStart w:id="392"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91">
        <w:r>
          <w:rPr>
            <w:rStyle w:val="Hyperlink"/>
          </w:rPr>
          <w:t xml:space="preserve">https://doi.org/10.1177/003151257804600201</w:t>
        </w:r>
      </w:hyperlink>
    </w:p>
    <w:bookmarkEnd w:id="392"/>
    <w:bookmarkStart w:id="393"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3"/>
    <w:bookmarkStart w:id="395"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4">
        <w:r>
          <w:rPr>
            <w:rStyle w:val="Hyperlink"/>
          </w:rPr>
          <w:t xml:space="preserve">https://doi.org/10.1037/0278-7393.17.5.811</w:t>
        </w:r>
      </w:hyperlink>
    </w:p>
    <w:bookmarkEnd w:id="395"/>
    <w:bookmarkStart w:id="397"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6">
        <w:r>
          <w:rPr>
            <w:rStyle w:val="Hyperlink"/>
          </w:rPr>
          <w:t xml:space="preserve">https://doi.org/10.1037/rev0000160</w:t>
        </w:r>
      </w:hyperlink>
    </w:p>
    <w:bookmarkEnd w:id="397"/>
    <w:bookmarkStart w:id="399"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8">
        <w:r>
          <w:rPr>
            <w:rStyle w:val="Hyperlink"/>
          </w:rPr>
          <w:t xml:space="preserve">https://doi.org/10.1037/0033-295X.99.1.22</w:t>
        </w:r>
      </w:hyperlink>
    </w:p>
    <w:bookmarkEnd w:id="399"/>
    <w:bookmarkStart w:id="401"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400">
        <w:r>
          <w:rPr>
            <w:rStyle w:val="Hyperlink"/>
          </w:rPr>
          <w:t xml:space="preserve">https://doi.org/10.1037/0278-7393.32.5.1019</w:t>
        </w:r>
      </w:hyperlink>
    </w:p>
    <w:bookmarkEnd w:id="401"/>
    <w:bookmarkStart w:id="403"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402">
        <w:r>
          <w:rPr>
            <w:rStyle w:val="Hyperlink"/>
          </w:rPr>
          <w:t xml:space="preserve">https://doi.org/10.1037/a0026639</w:t>
        </w:r>
      </w:hyperlink>
    </w:p>
    <w:bookmarkEnd w:id="403"/>
    <w:bookmarkStart w:id="405"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4">
        <w:r>
          <w:rPr>
            <w:rStyle w:val="Hyperlink"/>
          </w:rPr>
          <w:t xml:space="preserve">https://doi.org/10.1037/0278-7393.20.5.1003</w:t>
        </w:r>
      </w:hyperlink>
    </w:p>
    <w:bookmarkEnd w:id="405"/>
    <w:bookmarkStart w:id="407"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6">
        <w:r>
          <w:rPr>
            <w:rStyle w:val="Hyperlink"/>
          </w:rPr>
          <w:t xml:space="preserve">https://doi.org/10.1016/j.cognition.2019.104026</w:t>
        </w:r>
      </w:hyperlink>
    </w:p>
    <w:bookmarkEnd w:id="407"/>
    <w:bookmarkStart w:id="409"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8">
        <w:r>
          <w:rPr>
            <w:rStyle w:val="Hyperlink"/>
          </w:rPr>
          <w:t xml:space="preserve">https://doi.org/10.1111/j.1756-8765.2009.01044.x</w:t>
        </w:r>
      </w:hyperlink>
    </w:p>
    <w:bookmarkEnd w:id="409"/>
    <w:bookmarkStart w:id="411"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10">
        <w:r>
          <w:rPr>
            <w:rStyle w:val="Hyperlink"/>
          </w:rPr>
          <w:t xml:space="preserve">https://doi.org/10.1177/1747021819857065</w:t>
        </w:r>
      </w:hyperlink>
    </w:p>
    <w:bookmarkEnd w:id="411"/>
    <w:bookmarkStart w:id="413"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12">
        <w:r>
          <w:rPr>
            <w:rStyle w:val="Hyperlink"/>
          </w:rPr>
          <w:t xml:space="preserve">https://doi.org/10.1521/soco.1993.11.1.92</w:t>
        </w:r>
      </w:hyperlink>
    </w:p>
    <w:bookmarkEnd w:id="413"/>
    <w:bookmarkStart w:id="415"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4">
        <w:r>
          <w:rPr>
            <w:rStyle w:val="Hyperlink"/>
          </w:rPr>
          <w:t xml:space="preserve">https://doi.org/10.1177/1747021817739832</w:t>
        </w:r>
      </w:hyperlink>
    </w:p>
    <w:bookmarkEnd w:id="415"/>
    <w:bookmarkStart w:id="417"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6">
        <w:r>
          <w:rPr>
            <w:rStyle w:val="Hyperlink"/>
          </w:rPr>
          <w:t xml:space="preserve">https://doi.org/10.1037/0033-295X.95.4.492</w:t>
        </w:r>
      </w:hyperlink>
    </w:p>
    <w:bookmarkEnd w:id="417"/>
    <w:bookmarkStart w:id="419"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8">
        <w:r>
          <w:rPr>
            <w:rStyle w:val="Hyperlink"/>
          </w:rPr>
          <w:t xml:space="preserve">https://doi.org/10.1037/0033-295X.109.2.376</w:t>
        </w:r>
      </w:hyperlink>
    </w:p>
    <w:bookmarkEnd w:id="419"/>
    <w:bookmarkStart w:id="421"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20">
        <w:r>
          <w:rPr>
            <w:rStyle w:val="Hyperlink"/>
          </w:rPr>
          <w:t xml:space="preserve">https://doi.org/10.1037/xlm0000779</w:t>
        </w:r>
      </w:hyperlink>
    </w:p>
    <w:bookmarkEnd w:id="421"/>
    <w:bookmarkStart w:id="423"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22">
        <w:r>
          <w:rPr>
            <w:rStyle w:val="Hyperlink"/>
          </w:rPr>
          <w:t xml:space="preserve">https://doi.org/10.3758/s13414-011-0101-2</w:t>
        </w:r>
      </w:hyperlink>
    </w:p>
    <w:bookmarkEnd w:id="423"/>
    <w:bookmarkStart w:id="425"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4">
        <w:r>
          <w:rPr>
            <w:rStyle w:val="Hyperlink"/>
          </w:rPr>
          <w:t xml:space="preserve">https://doi.org/10.21105/joss.01541</w:t>
        </w:r>
      </w:hyperlink>
    </w:p>
    <w:bookmarkEnd w:id="425"/>
    <w:bookmarkStart w:id="427"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6">
        <w:r>
          <w:rPr>
            <w:rStyle w:val="Hyperlink"/>
          </w:rPr>
          <w:t xml:space="preserve">https://doi.org/10.1016/j.cub.2023.01.011</w:t>
        </w:r>
      </w:hyperlink>
    </w:p>
    <w:bookmarkEnd w:id="427"/>
    <w:bookmarkStart w:id="429"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8">
        <w:r>
          <w:rPr>
            <w:rStyle w:val="Hyperlink"/>
          </w:rPr>
          <w:t xml:space="preserve">https://doi.org/10.3389/fncom.2013.00100</w:t>
        </w:r>
      </w:hyperlink>
    </w:p>
    <w:bookmarkEnd w:id="429"/>
    <w:bookmarkStart w:id="430"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30"/>
    <w:bookmarkStart w:id="432"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31">
        <w:r>
          <w:rPr>
            <w:rStyle w:val="Hyperlink"/>
          </w:rPr>
          <w:t xml:space="preserve">https://doi.org/10.1080/00222895.1977.10735109</w:t>
        </w:r>
      </w:hyperlink>
    </w:p>
    <w:bookmarkEnd w:id="432"/>
    <w:bookmarkStart w:id="434"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3">
        <w:r>
          <w:rPr>
            <w:rStyle w:val="Hyperlink"/>
          </w:rPr>
          <w:t xml:space="preserve">https://doi.org/10.3758/BF03196347</w:t>
        </w:r>
      </w:hyperlink>
    </w:p>
    <w:bookmarkEnd w:id="434"/>
    <w:bookmarkStart w:id="436"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5">
        <w:r>
          <w:rPr>
            <w:rStyle w:val="Hyperlink"/>
          </w:rPr>
          <w:t xml:space="preserve">https://doi.org/10.1037/a0013982</w:t>
        </w:r>
      </w:hyperlink>
    </w:p>
    <w:bookmarkEnd w:id="436"/>
    <w:bookmarkStart w:id="438"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7">
        <w:r>
          <w:rPr>
            <w:rStyle w:val="Hyperlink"/>
          </w:rPr>
          <w:t xml:space="preserve">https://doi.org/10.1037/a0032184</w:t>
        </w:r>
      </w:hyperlink>
    </w:p>
    <w:bookmarkEnd w:id="438"/>
    <w:bookmarkStart w:id="440"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9">
        <w:r>
          <w:rPr>
            <w:rStyle w:val="Hyperlink"/>
          </w:rPr>
          <w:t xml:space="preserve">https://doi.org/10.1037/0033-295X.85.3.207</w:t>
        </w:r>
      </w:hyperlink>
    </w:p>
    <w:bookmarkEnd w:id="440"/>
    <w:bookmarkStart w:id="442"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41">
        <w:r>
          <w:rPr>
            <w:rStyle w:val="Hyperlink"/>
          </w:rPr>
          <w:t xml:space="preserve">https://doi.org/10.1080/23311908.2018.1493714</w:t>
        </w:r>
      </w:hyperlink>
    </w:p>
    <w:bookmarkEnd w:id="442"/>
    <w:bookmarkStart w:id="444"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3">
        <w:r>
          <w:rPr>
            <w:rStyle w:val="Hyperlink"/>
          </w:rPr>
          <w:t xml:space="preserve">https://doi.org/10.1177/0301006615599902</w:t>
        </w:r>
      </w:hyperlink>
    </w:p>
    <w:bookmarkEnd w:id="444"/>
    <w:bookmarkStart w:id="446"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5">
        <w:r>
          <w:rPr>
            <w:rStyle w:val="Hyperlink"/>
          </w:rPr>
          <w:t xml:space="preserve">https://doi.org/10.1016/j.jmp.2022.102691</w:t>
        </w:r>
      </w:hyperlink>
    </w:p>
    <w:bookmarkEnd w:id="446"/>
    <w:bookmarkStart w:id="448"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7">
        <w:r>
          <w:rPr>
            <w:rStyle w:val="Hyperlink"/>
          </w:rPr>
          <w:t xml:space="preserve">https://doi.org/10.1016/j.visres.2019.09.005</w:t>
        </w:r>
      </w:hyperlink>
    </w:p>
    <w:bookmarkEnd w:id="448"/>
    <w:bookmarkStart w:id="450"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9">
        <w:r>
          <w:rPr>
            <w:rStyle w:val="Hyperlink"/>
          </w:rPr>
          <w:t xml:space="preserve">https://doi.org/10.1007/s00426-023-01913-w</w:t>
        </w:r>
      </w:hyperlink>
    </w:p>
    <w:bookmarkEnd w:id="450"/>
    <w:bookmarkStart w:id="452"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51">
        <w:r>
          <w:rPr>
            <w:rStyle w:val="Hyperlink"/>
          </w:rPr>
          <w:t xml:space="preserve">https://doi.org/10.1080/00222895.1979.10735173</w:t>
        </w:r>
      </w:hyperlink>
    </w:p>
    <w:bookmarkEnd w:id="452"/>
    <w:bookmarkStart w:id="454"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3">
        <w:r>
          <w:rPr>
            <w:rStyle w:val="Hyperlink"/>
          </w:rPr>
          <w:t xml:space="preserve">https://doi.org/10.1080/02701367.2003.10609108</w:t>
        </w:r>
      </w:hyperlink>
    </w:p>
    <w:bookmarkEnd w:id="454"/>
    <w:bookmarkStart w:id="456"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5">
        <w:r>
          <w:rPr>
            <w:rStyle w:val="Hyperlink"/>
          </w:rPr>
          <w:t xml:space="preserve">https://doi.org/10.1080/00222895.1976.10735077</w:t>
        </w:r>
      </w:hyperlink>
    </w:p>
    <w:bookmarkEnd w:id="456"/>
    <w:bookmarkStart w:id="458"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7">
        <w:r>
          <w:rPr>
            <w:rStyle w:val="Hyperlink"/>
          </w:rPr>
          <w:t xml:space="preserve">https://doi.org/10.1080/02640414.2018.1522683</w:t>
        </w:r>
      </w:hyperlink>
    </w:p>
    <w:bookmarkEnd w:id="458"/>
    <w:bookmarkStart w:id="460"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9">
        <w:r>
          <w:rPr>
            <w:rStyle w:val="Hyperlink"/>
          </w:rPr>
          <w:t xml:space="preserve">https://doi.org/10.1037/0096-3445.115.1.39</w:t>
        </w:r>
      </w:hyperlink>
    </w:p>
    <w:bookmarkEnd w:id="460"/>
    <w:bookmarkStart w:id="462"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61">
        <w:r>
          <w:rPr>
            <w:rStyle w:val="Hyperlink"/>
          </w:rPr>
          <w:t xml:space="preserve">https://doi.org/10.1146/annurev.ps.43.020192.000325</w:t>
        </w:r>
      </w:hyperlink>
    </w:p>
    <w:bookmarkEnd w:id="462"/>
    <w:bookmarkStart w:id="464"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3">
        <w:r>
          <w:rPr>
            <w:rStyle w:val="Hyperlink"/>
          </w:rPr>
          <w:t xml:space="preserve">https://doi.org/10.1007/BF03543066</w:t>
        </w:r>
      </w:hyperlink>
    </w:p>
    <w:bookmarkEnd w:id="464"/>
    <w:bookmarkStart w:id="466"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5">
        <w:r>
          <w:rPr>
            <w:rStyle w:val="Hyperlink"/>
          </w:rPr>
          <w:t xml:space="preserve">https://doi.org/10.1016/S0079-7421(08)60491-0</w:t>
        </w:r>
      </w:hyperlink>
    </w:p>
    <w:bookmarkEnd w:id="466"/>
    <w:bookmarkStart w:id="468"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7">
        <w:r>
          <w:rPr>
            <w:rStyle w:val="Hyperlink"/>
          </w:rPr>
          <w:t xml:space="preserve">https://doi.org/10.3758/s13423-018-1508-8</w:t>
        </w:r>
      </w:hyperlink>
    </w:p>
    <w:bookmarkEnd w:id="468"/>
    <w:bookmarkStart w:id="470"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9">
        <w:r>
          <w:rPr>
            <w:rStyle w:val="Hyperlink"/>
          </w:rPr>
          <w:t xml:space="preserve">https://doi.org/10.1016/j.visres.2007.11.019</w:t>
        </w:r>
      </w:hyperlink>
    </w:p>
    <w:bookmarkEnd w:id="470"/>
    <w:bookmarkStart w:id="472"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71">
        <w:r>
          <w:rPr>
            <w:rStyle w:val="Hyperlink"/>
          </w:rPr>
          <w:t xml:space="preserve">https://doi.org/10.1007/s00221-018-5383-3</w:t>
        </w:r>
      </w:hyperlink>
    </w:p>
    <w:bookmarkEnd w:id="472"/>
    <w:bookmarkStart w:id="474"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3">
        <w:r>
          <w:rPr>
            <w:rStyle w:val="Hyperlink"/>
          </w:rPr>
          <w:t xml:space="preserve">https://doi.org/10.1017/S0140525X00003356</w:t>
        </w:r>
      </w:hyperlink>
    </w:p>
    <w:bookmarkEnd w:id="474"/>
    <w:bookmarkStart w:id="475"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5"/>
    <w:bookmarkStart w:id="477"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6">
        <w:r>
          <w:rPr>
            <w:rStyle w:val="Hyperlink"/>
          </w:rPr>
          <w:t xml:space="preserve">https://doi.org/10.1080/02724980042000084</w:t>
        </w:r>
      </w:hyperlink>
    </w:p>
    <w:bookmarkEnd w:id="477"/>
    <w:bookmarkStart w:id="478"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8"/>
    <w:bookmarkStart w:id="480"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9">
        <w:r>
          <w:rPr>
            <w:rStyle w:val="Hyperlink"/>
          </w:rPr>
          <w:t xml:space="preserve">https://doi.org/10.1080/20445911.2011.613818</w:t>
        </w:r>
      </w:hyperlink>
    </w:p>
    <w:bookmarkEnd w:id="480"/>
    <w:bookmarkStart w:id="482"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81">
        <w:r>
          <w:rPr>
            <w:rStyle w:val="Hyperlink"/>
          </w:rPr>
          <w:t xml:space="preserve">https://doi.org/10.1177/0956797610389189</w:t>
        </w:r>
      </w:hyperlink>
    </w:p>
    <w:bookmarkEnd w:id="482"/>
    <w:bookmarkStart w:id="484"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3">
        <w:r>
          <w:rPr>
            <w:rStyle w:val="Hyperlink"/>
          </w:rPr>
          <w:t xml:space="preserve">https://doi.org/10.1080/02701367.1984.10605353</w:t>
        </w:r>
      </w:hyperlink>
    </w:p>
    <w:bookmarkEnd w:id="484"/>
    <w:bookmarkStart w:id="486"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5">
        <w:r>
          <w:rPr>
            <w:rStyle w:val="Hyperlink"/>
          </w:rPr>
          <w:t xml:space="preserve">https://doi.org/10.1162/jocn_a_01738</w:t>
        </w:r>
      </w:hyperlink>
    </w:p>
    <w:bookmarkEnd w:id="486"/>
    <w:bookmarkStart w:id="488"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7">
        <w:r>
          <w:rPr>
            <w:rStyle w:val="Hyperlink"/>
          </w:rPr>
          <w:t xml:space="preserve">https://doi.org/10.1037/0278-7393.25.1.208</w:t>
        </w:r>
      </w:hyperlink>
    </w:p>
    <w:bookmarkEnd w:id="488"/>
    <w:bookmarkStart w:id="490"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9">
        <w:r>
          <w:rPr>
            <w:rStyle w:val="Hyperlink"/>
          </w:rPr>
          <w:t xml:space="preserve">https://doi.org/10.1037/h0025953</w:t>
        </w:r>
      </w:hyperlink>
    </w:p>
    <w:bookmarkEnd w:id="490"/>
    <w:bookmarkStart w:id="492"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91">
        <w:r>
          <w:rPr>
            <w:rStyle w:val="Hyperlink"/>
          </w:rPr>
          <w:t xml:space="preserve">https://doi.org/10.1027/1618-3169/a000469</w:t>
        </w:r>
      </w:hyperlink>
    </w:p>
    <w:bookmarkEnd w:id="492"/>
    <w:bookmarkStart w:id="494" w:name="X5a0d18fcfe3965c81ccfdf6d0bb9bd4f247b32d"/>
    <w:p>
      <w:pPr>
        <w:pStyle w:val="Bibliography"/>
      </w:pPr>
      <w:r>
        <w:t xml:space="preserve">Ram, H., Grinfeld, G., &amp; Liberman, N. (2024). Anticipated variability increases generalization of predictive learning.</w:t>
      </w:r>
      <w:r>
        <w:t xml:space="preserve"> </w:t>
      </w:r>
      <w:r>
        <w:rPr>
          <w:i/>
          <w:iCs/>
        </w:rPr>
        <w:t xml:space="preserve">Npj Science of Learning</w:t>
      </w:r>
      <w:r>
        <w:t xml:space="preserve">,</w:t>
      </w:r>
      <w:r>
        <w:t xml:space="preserve"> </w:t>
      </w:r>
      <w:r>
        <w:rPr>
          <w:i/>
          <w:iCs/>
        </w:rPr>
        <w:t xml:space="preserve">9</w:t>
      </w:r>
      <w:r>
        <w:t xml:space="preserve">(1), 1–10.</w:t>
      </w:r>
      <w:r>
        <w:t xml:space="preserve"> </w:t>
      </w:r>
      <w:hyperlink r:id="rId493">
        <w:r>
          <w:rPr>
            <w:rStyle w:val="Hyperlink"/>
          </w:rPr>
          <w:t xml:space="preserve">https://doi.org/10.1038/s41539-024-00269-z</w:t>
        </w:r>
      </w:hyperlink>
    </w:p>
    <w:bookmarkEnd w:id="494"/>
    <w:bookmarkStart w:id="496"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5">
        <w:r>
          <w:rPr>
            <w:rStyle w:val="Hyperlink"/>
          </w:rPr>
          <w:t xml:space="preserve">https://doi.org/10.1016/j.tics.2022.03.007</w:t>
        </w:r>
      </w:hyperlink>
    </w:p>
    <w:bookmarkEnd w:id="496"/>
    <w:bookmarkStart w:id="498"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7">
        <w:r>
          <w:rPr>
            <w:rStyle w:val="Hyperlink"/>
          </w:rPr>
          <w:t xml:space="preserve">https://doi.org/10.1016/j.jesp.2023.104478</w:t>
        </w:r>
      </w:hyperlink>
    </w:p>
    <w:bookmarkEnd w:id="498"/>
    <w:bookmarkStart w:id="500"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9">
        <w:r>
          <w:rPr>
            <w:rStyle w:val="Hyperlink"/>
          </w:rPr>
          <w:t xml:space="preserve">https://doi.org/10.3758/s13423-021-01878-0</w:t>
        </w:r>
      </w:hyperlink>
    </w:p>
    <w:bookmarkEnd w:id="500"/>
    <w:bookmarkStart w:id="502"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501">
        <w:r>
          <w:rPr>
            <w:rStyle w:val="Hyperlink"/>
          </w:rPr>
          <w:t xml:space="preserve">https://doi.org/10.1037/xhp0001057</w:t>
        </w:r>
      </w:hyperlink>
    </w:p>
    <w:bookmarkEnd w:id="502"/>
    <w:bookmarkStart w:id="504"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503">
        <w:r>
          <w:rPr>
            <w:rStyle w:val="Hyperlink"/>
          </w:rPr>
          <w:t xml:space="preserve">https://doi.org/10.1016/S0926-6410(01)00077-5</w:t>
        </w:r>
      </w:hyperlink>
    </w:p>
    <w:bookmarkEnd w:id="504"/>
    <w:bookmarkStart w:id="506"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5">
        <w:r>
          <w:rPr>
            <w:rStyle w:val="Hyperlink"/>
          </w:rPr>
          <w:t xml:space="preserve">https://doi.org/10.1146/annurev.psych.52.1.453</w:t>
        </w:r>
      </w:hyperlink>
    </w:p>
    <w:bookmarkEnd w:id="506"/>
    <w:bookmarkStart w:id="508"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7">
        <w:r>
          <w:rPr>
            <w:rStyle w:val="Hyperlink"/>
          </w:rPr>
          <w:t xml:space="preserve">https://doi.org/10.1037/0033-295X.102.1.28</w:t>
        </w:r>
      </w:hyperlink>
    </w:p>
    <w:bookmarkEnd w:id="508"/>
    <w:bookmarkStart w:id="510"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9">
        <w:r>
          <w:rPr>
            <w:rStyle w:val="Hyperlink"/>
          </w:rPr>
          <w:t xml:space="preserve">https://doi.org/10.1007/s00426-018-1006-7</w:t>
        </w:r>
      </w:hyperlink>
    </w:p>
    <w:bookmarkEnd w:id="510"/>
    <w:bookmarkStart w:id="512"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11">
        <w:r>
          <w:rPr>
            <w:rStyle w:val="Hyperlink"/>
          </w:rPr>
          <w:t xml:space="preserve">https://doi.org/10.3389/fpsyg.2014.01318</w:t>
        </w:r>
      </w:hyperlink>
    </w:p>
    <w:bookmarkEnd w:id="512"/>
    <w:bookmarkStart w:id="514"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13">
        <w:r>
          <w:rPr>
            <w:rStyle w:val="Hyperlink"/>
          </w:rPr>
          <w:t xml:space="preserve">https://doi.org/10.1016/j.actpsy.2021.103356</w:t>
        </w:r>
      </w:hyperlink>
    </w:p>
    <w:bookmarkEnd w:id="514"/>
    <w:bookmarkStart w:id="516"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5">
        <w:r>
          <w:rPr>
            <w:rStyle w:val="Hyperlink"/>
          </w:rPr>
          <w:t xml:space="preserve">https://doi.org/10.3758/MC.36.6.1057</w:t>
        </w:r>
      </w:hyperlink>
    </w:p>
    <w:bookmarkEnd w:id="516"/>
    <w:bookmarkStart w:id="517"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7"/>
    <w:bookmarkStart w:id="519"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8">
        <w:r>
          <w:rPr>
            <w:rStyle w:val="Hyperlink"/>
          </w:rPr>
          <w:t xml:space="preserve">https://doi.org/10.1037/h0076770</w:t>
        </w:r>
      </w:hyperlink>
    </w:p>
    <w:bookmarkEnd w:id="519"/>
    <w:bookmarkStart w:id="521"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20">
        <w:r>
          <w:rPr>
            <w:rStyle w:val="Hyperlink"/>
          </w:rPr>
          <w:t xml:space="preserve">https://doi.org/10.1162/opmi_a_00032</w:t>
        </w:r>
      </w:hyperlink>
    </w:p>
    <w:bookmarkEnd w:id="521"/>
    <w:bookmarkStart w:id="522"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22"/>
    <w:bookmarkStart w:id="523"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23"/>
    <w:bookmarkStart w:id="525"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24">
        <w:r>
          <w:rPr>
            <w:rStyle w:val="Hyperlink"/>
          </w:rPr>
          <w:t xml:space="preserve">https://doi.org/10.1126/science.3629243</w:t>
        </w:r>
      </w:hyperlink>
    </w:p>
    <w:bookmarkEnd w:id="525"/>
    <w:bookmarkStart w:id="527"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6">
        <w:r>
          <w:rPr>
            <w:rStyle w:val="Hyperlink"/>
          </w:rPr>
          <w:t xml:space="preserve">https://doi.org/10.1017/S0272263119000263</w:t>
        </w:r>
      </w:hyperlink>
    </w:p>
    <w:bookmarkEnd w:id="527"/>
    <w:bookmarkStart w:id="529"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8">
        <w:r>
          <w:rPr>
            <w:rStyle w:val="Hyperlink"/>
          </w:rPr>
          <w:t xml:space="preserve">https://doi.org/10.1177/1745691615569000</w:t>
        </w:r>
      </w:hyperlink>
    </w:p>
    <w:bookmarkEnd w:id="529"/>
    <w:bookmarkStart w:id="531"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30">
        <w:r>
          <w:rPr>
            <w:rStyle w:val="Hyperlink"/>
          </w:rPr>
          <w:t xml:space="preserve">https://doi.org/10.1037//0278-7393.28.5.893</w:t>
        </w:r>
      </w:hyperlink>
    </w:p>
    <w:bookmarkEnd w:id="531"/>
    <w:bookmarkStart w:id="533"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32">
        <w:r>
          <w:rPr>
            <w:rStyle w:val="Hyperlink"/>
          </w:rPr>
          <w:t xml:space="preserve">https://doi.org/10.3389/fnhum.2013.00171</w:t>
        </w:r>
      </w:hyperlink>
    </w:p>
    <w:bookmarkEnd w:id="533"/>
    <w:bookmarkStart w:id="534"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34"/>
    <w:bookmarkStart w:id="536"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5">
        <w:r>
          <w:rPr>
            <w:rStyle w:val="Hyperlink"/>
          </w:rPr>
          <w:t xml:space="preserve">https://doi.org/10.1017/S0140525X01000061</w:t>
        </w:r>
      </w:hyperlink>
    </w:p>
    <w:bookmarkEnd w:id="536"/>
    <w:bookmarkStart w:id="538"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7">
        <w:r>
          <w:rPr>
            <w:rStyle w:val="Hyperlink"/>
          </w:rPr>
          <w:t xml:space="preserve">https://doi.org/10.1523/JNEUROSCI.1771-05.2005</w:t>
        </w:r>
      </w:hyperlink>
    </w:p>
    <w:bookmarkEnd w:id="538"/>
    <w:bookmarkStart w:id="540"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9">
        <w:r>
          <w:rPr>
            <w:rStyle w:val="Hyperlink"/>
          </w:rPr>
          <w:t xml:space="preserve">https://doi.org/10.1016/j.jmp.2014.10.001</w:t>
        </w:r>
      </w:hyperlink>
    </w:p>
    <w:bookmarkEnd w:id="540"/>
    <w:bookmarkStart w:id="542"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41">
        <w:r>
          <w:rPr>
            <w:rStyle w:val="Hyperlink"/>
          </w:rPr>
          <w:t xml:space="preserve">https://doi.org/10.1016/j.jmp.2012.02.005</w:t>
        </w:r>
      </w:hyperlink>
    </w:p>
    <w:bookmarkEnd w:id="542"/>
    <w:bookmarkStart w:id="544"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43">
        <w:r>
          <w:rPr>
            <w:rStyle w:val="Hyperlink"/>
          </w:rPr>
          <w:t xml:space="preserve">https://doi.org/10.1111/cogs.12539</w:t>
        </w:r>
      </w:hyperlink>
    </w:p>
    <w:bookmarkEnd w:id="544"/>
    <w:bookmarkStart w:id="546"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5">
        <w:r>
          <w:rPr>
            <w:rStyle w:val="Hyperlink"/>
          </w:rPr>
          <w:t xml:space="preserve">https://doi.org/10.1371/journal.pcbi.1004172</w:t>
        </w:r>
      </w:hyperlink>
    </w:p>
    <w:bookmarkEnd w:id="546"/>
    <w:bookmarkStart w:id="548"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7">
        <w:r>
          <w:rPr>
            <w:rStyle w:val="Hyperlink"/>
          </w:rPr>
          <w:t xml:space="preserve">https://doi.org/10.1016/0167-9457(90)90010-B</w:t>
        </w:r>
      </w:hyperlink>
    </w:p>
    <w:bookmarkEnd w:id="548"/>
    <w:bookmarkStart w:id="550" w:name="Xafeb16c97ba6ad504a4f88916e9c449313b064b"/>
    <w:p>
      <w:pPr>
        <w:pStyle w:val="Bibliography"/>
      </w:pPr>
      <w:r>
        <w:t xml:space="preserve">Velázquez-Vargas, C. A., Daw, N. D., &amp; Taylor, J. A. (2024). The role of training variability for model-based and model-free learning of an arbitrary visuomotor mapping.</w:t>
      </w:r>
      <w:r>
        <w:t xml:space="preserve"> </w:t>
      </w:r>
      <w:r>
        <w:rPr>
          <w:i/>
          <w:iCs/>
        </w:rPr>
        <w:t xml:space="preserve">PLOS Computational Biology</w:t>
      </w:r>
      <w:r>
        <w:t xml:space="preserve">,</w:t>
      </w:r>
      <w:r>
        <w:t xml:space="preserve"> </w:t>
      </w:r>
      <w:r>
        <w:rPr>
          <w:i/>
          <w:iCs/>
        </w:rPr>
        <w:t xml:space="preserve">20</w:t>
      </w:r>
      <w:r>
        <w:t xml:space="preserve">(9), e1012471.</w:t>
      </w:r>
      <w:r>
        <w:t xml:space="preserve"> </w:t>
      </w:r>
      <w:hyperlink r:id="rId549">
        <w:r>
          <w:rPr>
            <w:rStyle w:val="Hyperlink"/>
          </w:rPr>
          <w:t xml:space="preserve">https://doi.org/10.1371/journal.pcbi.1012471</w:t>
        </w:r>
      </w:hyperlink>
    </w:p>
    <w:bookmarkEnd w:id="550"/>
    <w:bookmarkStart w:id="552"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51">
        <w:r>
          <w:rPr>
            <w:rStyle w:val="Hyperlink"/>
          </w:rPr>
          <w:t xml:space="preserve">https://doi.org/10.1007/s10339-017-0840-7</w:t>
        </w:r>
      </w:hyperlink>
    </w:p>
    <w:bookmarkEnd w:id="552"/>
    <w:bookmarkStart w:id="554"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53">
        <w:r>
          <w:rPr>
            <w:rStyle w:val="Hyperlink"/>
          </w:rPr>
          <w:t xml:space="preserve">https://doi.org/10.5167/UZH-135898</w:t>
        </w:r>
      </w:hyperlink>
    </w:p>
    <w:bookmarkEnd w:id="554"/>
    <w:bookmarkStart w:id="556"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55">
        <w:r>
          <w:rPr>
            <w:rStyle w:val="Hyperlink"/>
          </w:rPr>
          <w:t xml:space="preserve">https://doi.org/10.3758/s13421-011-0180-2</w:t>
        </w:r>
      </w:hyperlink>
    </w:p>
    <w:bookmarkEnd w:id="556"/>
    <w:bookmarkStart w:id="558"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7">
        <w:r>
          <w:rPr>
            <w:rStyle w:val="Hyperlink"/>
          </w:rPr>
          <w:t xml:space="preserve">https://doi.org/10.3758/s13428-020-01405-4</w:t>
        </w:r>
      </w:hyperlink>
    </w:p>
    <w:bookmarkEnd w:id="558"/>
    <w:bookmarkStart w:id="560"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9">
        <w:r>
          <w:rPr>
            <w:rStyle w:val="Hyperlink"/>
          </w:rPr>
          <w:t xml:space="preserve">https://doi.org/10.1037/xhp0000301</w:t>
        </w:r>
      </w:hyperlink>
    </w:p>
    <w:bookmarkEnd w:id="560"/>
    <w:bookmarkStart w:id="562"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61">
        <w:r>
          <w:rPr>
            <w:rStyle w:val="Hyperlink"/>
          </w:rPr>
          <w:t xml:space="preserve">https://doi.org/10.1016/j.actpsy.2017.11.008</w:t>
        </w:r>
      </w:hyperlink>
    </w:p>
    <w:bookmarkEnd w:id="562"/>
    <w:bookmarkStart w:id="564"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63">
        <w:r>
          <w:rPr>
            <w:rStyle w:val="Hyperlink"/>
          </w:rPr>
          <w:t xml:space="preserve">https://doi.org/10.1016/j.visres.2017.03.012</w:t>
        </w:r>
      </w:hyperlink>
    </w:p>
    <w:bookmarkEnd w:id="564"/>
    <w:bookmarkStart w:id="566"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65">
        <w:r>
          <w:rPr>
            <w:rStyle w:val="Hyperlink"/>
          </w:rPr>
          <w:t xml:space="preserve">https://doi.org/10.1016/j.jml.2011.11.004</w:t>
        </w:r>
      </w:hyperlink>
    </w:p>
    <w:bookmarkEnd w:id="566"/>
    <w:bookmarkStart w:id="568"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7">
        <w:r>
          <w:rPr>
            <w:rStyle w:val="Hyperlink"/>
          </w:rPr>
          <w:t xml:space="preserve">https://doi.org/10.1007/BF00308601</w:t>
        </w:r>
      </w:hyperlink>
    </w:p>
    <w:bookmarkEnd w:id="568"/>
    <w:bookmarkStart w:id="570"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9">
        <w:r>
          <w:rPr>
            <w:rStyle w:val="Hyperlink"/>
          </w:rPr>
          <w:t xml:space="preserve">https://doi.org/10.1080/02701367.1983.10605274</w:t>
        </w:r>
      </w:hyperlink>
    </w:p>
    <w:bookmarkEnd w:id="570"/>
    <w:bookmarkStart w:id="572"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71">
        <w:r>
          <w:rPr>
            <w:rStyle w:val="Hyperlink"/>
          </w:rPr>
          <w:t xml:space="preserve">https://doi.org/10.1080/02701367.1987.10608114</w:t>
        </w:r>
      </w:hyperlink>
    </w:p>
    <w:bookmarkEnd w:id="572"/>
    <w:bookmarkStart w:id="574"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73">
        <w:r>
          <w:rPr>
            <w:rStyle w:val="Hyperlink"/>
          </w:rPr>
          <w:t xml:space="preserve">https://doi.org/10.1101/2020.01.21.914556</w:t>
        </w:r>
      </w:hyperlink>
    </w:p>
    <w:bookmarkEnd w:id="574"/>
    <w:bookmarkStart w:id="576"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75">
        <w:r>
          <w:rPr>
            <w:rStyle w:val="Hyperlink"/>
          </w:rPr>
          <w:t xml:space="preserve">https://doi.org/10.1002/acp.2350050206</w:t>
        </w:r>
      </w:hyperlink>
    </w:p>
    <w:bookmarkEnd w:id="576"/>
    <w:bookmarkStart w:id="577"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7"/>
    <w:bookmarkStart w:id="579"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8">
        <w:r>
          <w:rPr>
            <w:rStyle w:val="Hyperlink"/>
          </w:rPr>
          <w:t xml:space="preserve">https://doi.org/10.1073/pnas.2002903117</w:t>
        </w:r>
      </w:hyperlink>
    </w:p>
    <w:bookmarkEnd w:id="579"/>
    <w:bookmarkStart w:id="581"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80">
        <w:r>
          <w:rPr>
            <w:rStyle w:val="Hyperlink"/>
          </w:rPr>
          <w:t xml:space="preserve">https://doi.org/10.3389/fpsyg.2014.01122</w:t>
        </w:r>
      </w:hyperlink>
    </w:p>
    <w:bookmarkEnd w:id="581"/>
    <w:bookmarkStart w:id="583"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82">
        <w:r>
          <w:rPr>
            <w:rStyle w:val="Hyperlink"/>
          </w:rPr>
          <w:t xml:space="preserve">https://doi.org/10.3758/BF03192940</w:t>
        </w:r>
      </w:hyperlink>
    </w:p>
    <w:bookmarkEnd w:id="583"/>
    <w:bookmarkStart w:id="585"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84">
        <w:r>
          <w:rPr>
            <w:rStyle w:val="Hyperlink"/>
          </w:rPr>
          <w:t xml:space="preserve">https://doi.org/10.3758/s13423-020-01780-1</w:t>
        </w:r>
      </w:hyperlink>
    </w:p>
    <w:bookmarkEnd w:id="585"/>
    <w:bookmarkStart w:id="587" w:name="ref-zhangHighVariabilityLearning2024"/>
    <w:p>
      <w:pPr>
        <w:pStyle w:val="Bibliography"/>
      </w:pPr>
      <w:r>
        <w:t xml:space="preserve">Zhang, T., &amp; Fyfe, E. R. (2024). High variability in learning materials benefits children’s pattern practice.</w:t>
      </w:r>
      <w:r>
        <w:t xml:space="preserve"> </w:t>
      </w:r>
      <w:r>
        <w:rPr>
          <w:i/>
          <w:iCs/>
        </w:rPr>
        <w:t xml:space="preserve">Journal of Experimental Child Psychology</w:t>
      </w:r>
      <w:r>
        <w:t xml:space="preserve">,</w:t>
      </w:r>
      <w:r>
        <w:t xml:space="preserve"> </w:t>
      </w:r>
      <w:r>
        <w:rPr>
          <w:i/>
          <w:iCs/>
        </w:rPr>
        <w:t xml:space="preserve">239</w:t>
      </w:r>
      <w:r>
        <w:t xml:space="preserve">, 105829.</w:t>
      </w:r>
      <w:r>
        <w:t xml:space="preserve"> </w:t>
      </w:r>
      <w:hyperlink r:id="rId586">
        <w:r>
          <w:rPr>
            <w:rStyle w:val="Hyperlink"/>
          </w:rPr>
          <w:t xml:space="preserve">https://doi.org/10.1016/j.jecp.2023.105829</w:t>
        </w:r>
      </w:hyperlink>
    </w:p>
    <w:bookmarkEnd w:id="587"/>
    <w:bookmarkEnd w:id="588"/>
    <w:bookmarkEnd w:id="5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40" Target="media/rId40.png" /><Relationship Type="http://schemas.openxmlformats.org/officeDocument/2006/relationships/image" Id="rId113" Target="media/rId113.png" /><Relationship Type="http://schemas.openxmlformats.org/officeDocument/2006/relationships/image" Id="rId142" Target="media/rId142.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92" Target="media/rId92.png" /><Relationship Type="http://schemas.openxmlformats.org/officeDocument/2006/relationships/image" Id="rId192" Target="media/rId192.png" /><Relationship Type="http://schemas.openxmlformats.org/officeDocument/2006/relationships/image" Id="rId210" Target="media/rId210.png" /><Relationship Type="http://schemas.openxmlformats.org/officeDocument/2006/relationships/image" Id="rId219" Target="media/rId219.png" /><Relationship Type="http://schemas.openxmlformats.org/officeDocument/2006/relationships/image" Id="rId100" Target="media/rId100.png" /><Relationship Type="http://schemas.openxmlformats.org/officeDocument/2006/relationships/image" Id="rId135" Target="media/rId135.png" /><Relationship Type="http://schemas.openxmlformats.org/officeDocument/2006/relationships/image" Id="rId126" Target="media/rId126.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62" Target="media/rId162.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224" Target="media/rId224.png" /><Relationship Type="http://schemas.openxmlformats.org/officeDocument/2006/relationships/image" Id="rId77" Target="media/rId77.png" /><Relationship Type="http://schemas.openxmlformats.org/officeDocument/2006/relationships/image" Id="rId71" Target="media/rId71.png" /><Relationship Type="http://schemas.openxmlformats.org/officeDocument/2006/relationships/image" Id="rId66" Target="media/rId66.png" /><Relationship Type="http://schemas.openxmlformats.org/officeDocument/2006/relationships/image" Id="rId185" Target="media/rId185.png" /><Relationship Type="http://schemas.openxmlformats.org/officeDocument/2006/relationships/image" Id="rId176" Target="media/rId176.png" /><Relationship Type="http://schemas.openxmlformats.org/officeDocument/2006/relationships/image" Id="rId181" Target="media/rId181.png" /><Relationship Type="http://schemas.openxmlformats.org/officeDocument/2006/relationships/image" Id="rId171" Target="media/rId171.png" /><Relationship Type="http://schemas.openxmlformats.org/officeDocument/2006/relationships/image" Id="rId214" Target="media/rId214.png" /><Relationship Type="http://schemas.openxmlformats.org/officeDocument/2006/relationships/image" Id="rId21" Target="media/rId21.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86" Target="media/rId86.png" /><Relationship Type="http://schemas.openxmlformats.org/officeDocument/2006/relationships/image" Id="rId31" Target="media/rId31.png" /><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71" Target="https://doi.org/10.1002/acp.1739" TargetMode="External" /><Relationship Type="http://schemas.openxmlformats.org/officeDocument/2006/relationships/hyperlink" Id="rId575" Target="https://doi.org/10.1002/acp.2350050206" TargetMode="External" /><Relationship Type="http://schemas.openxmlformats.org/officeDocument/2006/relationships/hyperlink" Id="rId278" Target="https://doi.org/10.1002/j.2333-8504.1963.tb00958.x" TargetMode="External" /><Relationship Type="http://schemas.openxmlformats.org/officeDocument/2006/relationships/hyperlink" Id="rId567" Target="https://doi.org/10.1007/BF00308601" TargetMode="External" /><Relationship Type="http://schemas.openxmlformats.org/officeDocument/2006/relationships/hyperlink" Id="rId463" Target="https://doi.org/10.1007/BF03543066" TargetMode="External" /><Relationship Type="http://schemas.openxmlformats.org/officeDocument/2006/relationships/hyperlink" Id="rId296" Target="https://doi.org/10.1007/s00221-004-1862-9" TargetMode="External" /><Relationship Type="http://schemas.openxmlformats.org/officeDocument/2006/relationships/hyperlink" Id="rId471" Target="https://doi.org/10.1007/s00221-018-5383-3" TargetMode="External" /><Relationship Type="http://schemas.openxmlformats.org/officeDocument/2006/relationships/hyperlink" Id="rId509" Target="https://doi.org/10.1007/s00426-018-1006-7" TargetMode="External" /><Relationship Type="http://schemas.openxmlformats.org/officeDocument/2006/relationships/hyperlink" Id="rId449" Target="https://doi.org/10.1007/s00426-023-01913-w" TargetMode="External" /><Relationship Type="http://schemas.openxmlformats.org/officeDocument/2006/relationships/hyperlink" Id="rId551" Target="https://doi.org/10.1007/s10339-017-0840-7" TargetMode="External" /><Relationship Type="http://schemas.openxmlformats.org/officeDocument/2006/relationships/hyperlink" Id="rId318" Target="https://doi.org/10.1016/0022-2496(88)90023-5" TargetMode="External" /><Relationship Type="http://schemas.openxmlformats.org/officeDocument/2006/relationships/hyperlink" Id="rId261" Target="https://doi.org/10.1016/0030-5073(74)90002-6" TargetMode="External" /><Relationship Type="http://schemas.openxmlformats.org/officeDocument/2006/relationships/hyperlink" Id="rId547" Target="https://doi.org/10.1016/0167-9457(90)90010-B" TargetMode="External" /><Relationship Type="http://schemas.openxmlformats.org/officeDocument/2006/relationships/hyperlink" Id="rId465" Target="https://doi.org/10.1016/S0079-7421(08)60491-0" TargetMode="External" /><Relationship Type="http://schemas.openxmlformats.org/officeDocument/2006/relationships/hyperlink" Id="rId503" Target="https://doi.org/10.1016/S0926-6410(01)00077-5" TargetMode="External" /><Relationship Type="http://schemas.openxmlformats.org/officeDocument/2006/relationships/hyperlink" Id="rId265" Target="https://doi.org/10.1016/j.actpsy.2012.04.002" TargetMode="External" /><Relationship Type="http://schemas.openxmlformats.org/officeDocument/2006/relationships/hyperlink" Id="rId561" Target="https://doi.org/10.1016/j.actpsy.2017.11.008" TargetMode="External" /><Relationship Type="http://schemas.openxmlformats.org/officeDocument/2006/relationships/hyperlink" Id="rId513" Target="https://doi.org/10.1016/j.actpsy.2021.103356" TargetMode="External" /><Relationship Type="http://schemas.openxmlformats.org/officeDocument/2006/relationships/hyperlink" Id="rId321" Target="https://doi.org/10.1016/j.brat.2022.104201" TargetMode="External" /><Relationship Type="http://schemas.openxmlformats.org/officeDocument/2006/relationships/hyperlink" Id="rId267" Target="https://doi.org/10.1016/j.cognition.2010.10.004" TargetMode="External" /><Relationship Type="http://schemas.openxmlformats.org/officeDocument/2006/relationships/hyperlink" Id="rId406" Target="https://doi.org/10.1016/j.cognition.2019.104026" TargetMode="External" /><Relationship Type="http://schemas.openxmlformats.org/officeDocument/2006/relationships/hyperlink" Id="rId298" Target="https://doi.org/10.1016/j.cognition.2022.105163" TargetMode="External" /><Relationship Type="http://schemas.openxmlformats.org/officeDocument/2006/relationships/hyperlink" Id="rId290" Target="https://doi.org/10.1016/j.cogpsych.2021.101406" TargetMode="External" /><Relationship Type="http://schemas.openxmlformats.org/officeDocument/2006/relationships/hyperlink" Id="rId343" Target="https://doi.org/10.1016/j.cogpsych.2022.101491" TargetMode="External" /><Relationship Type="http://schemas.openxmlformats.org/officeDocument/2006/relationships/hyperlink" Id="rId259" Target="https://doi.org/10.1016/j.cub.2009.01.036" TargetMode="External" /><Relationship Type="http://schemas.openxmlformats.org/officeDocument/2006/relationships/hyperlink" Id="rId426" Target="https://doi.org/10.1016/j.cub.2023.01.011" TargetMode="External" /><Relationship Type="http://schemas.openxmlformats.org/officeDocument/2006/relationships/hyperlink" Id="rId288" Target="https://doi.org/10.1016/j.humov.2019.02.015" TargetMode="External" /><Relationship Type="http://schemas.openxmlformats.org/officeDocument/2006/relationships/hyperlink" Id="rId586" Target="https://doi.org/10.1016/j.jecp.2023.105829" TargetMode="External" /><Relationship Type="http://schemas.openxmlformats.org/officeDocument/2006/relationships/hyperlink" Id="rId497" Target="https://doi.org/10.1016/j.jesp.2023.104478" TargetMode="External" /><Relationship Type="http://schemas.openxmlformats.org/officeDocument/2006/relationships/hyperlink" Id="rId565" Target="https://doi.org/10.1016/j.jml.2011.11.004" TargetMode="External" /><Relationship Type="http://schemas.openxmlformats.org/officeDocument/2006/relationships/hyperlink" Id="rId263" Target="https://doi.org/10.1016/j.jml.2022.104352" TargetMode="External" /><Relationship Type="http://schemas.openxmlformats.org/officeDocument/2006/relationships/hyperlink" Id="rId387" Target="https://doi.org/10.1016/j.jmp.2008.01.009" TargetMode="External" /><Relationship Type="http://schemas.openxmlformats.org/officeDocument/2006/relationships/hyperlink" Id="rId541" Target="https://doi.org/10.1016/j.jmp.2012.02.005" TargetMode="External" /><Relationship Type="http://schemas.openxmlformats.org/officeDocument/2006/relationships/hyperlink" Id="rId539" Target="https://doi.org/10.1016/j.jmp.2014.10.001" TargetMode="External" /><Relationship Type="http://schemas.openxmlformats.org/officeDocument/2006/relationships/hyperlink" Id="rId382" Target="https://doi.org/10.1016/j.jmp.2020.102417" TargetMode="External" /><Relationship Type="http://schemas.openxmlformats.org/officeDocument/2006/relationships/hyperlink" Id="rId445" Target="https://doi.org/10.1016/j.jmp.2022.102691" TargetMode="External" /><Relationship Type="http://schemas.openxmlformats.org/officeDocument/2006/relationships/hyperlink" Id="rId495" Target="https://doi.org/10.1016/j.tics.2022.03.007" TargetMode="External" /><Relationship Type="http://schemas.openxmlformats.org/officeDocument/2006/relationships/hyperlink" Id="rId469" Target="https://doi.org/10.1016/j.visres.2007.11.019" TargetMode="External" /><Relationship Type="http://schemas.openxmlformats.org/officeDocument/2006/relationships/hyperlink" Id="rId563" Target="https://doi.org/10.1016/j.visres.2017.03.012" TargetMode="External" /><Relationship Type="http://schemas.openxmlformats.org/officeDocument/2006/relationships/hyperlink" Id="rId447" Target="https://doi.org/10.1016/j.visres.2019.09.005" TargetMode="External" /><Relationship Type="http://schemas.openxmlformats.org/officeDocument/2006/relationships/hyperlink" Id="rId365" Target="https://doi.org/10.1016/j.visres.2022.108128" TargetMode="External" /><Relationship Type="http://schemas.openxmlformats.org/officeDocument/2006/relationships/hyperlink" Id="rId323" Target="https://doi.org/10.1017/CBO9781316272503" TargetMode="External" /><Relationship Type="http://schemas.openxmlformats.org/officeDocument/2006/relationships/hyperlink" Id="rId473" Target="https://doi.org/10.1017/S0140525X00003356" TargetMode="External" /><Relationship Type="http://schemas.openxmlformats.org/officeDocument/2006/relationships/hyperlink" Id="rId535" Target="https://doi.org/10.1017/S0140525X01000061" TargetMode="External" /><Relationship Type="http://schemas.openxmlformats.org/officeDocument/2006/relationships/hyperlink" Id="rId526" Target="https://doi.org/10.1017/S0272263119000263" TargetMode="External" /><Relationship Type="http://schemas.openxmlformats.org/officeDocument/2006/relationships/hyperlink" Id="rId491" Target="https://doi.org/10.1027/1618-3169/a000469" TargetMode="External" /><Relationship Type="http://schemas.openxmlformats.org/officeDocument/2006/relationships/hyperlink" Id="rId530" Target="https://doi.org/10.1037//0278-7393.28.5.893" TargetMode="External" /><Relationship Type="http://schemas.openxmlformats.org/officeDocument/2006/relationships/hyperlink" Id="rId507" Target="https://doi.org/10.1037/0033-295X.102.1.28" TargetMode="External" /><Relationship Type="http://schemas.openxmlformats.org/officeDocument/2006/relationships/hyperlink" Id="rId418" Target="https://doi.org/10.1037/0033-295X.109.2.376" TargetMode="External" /><Relationship Type="http://schemas.openxmlformats.org/officeDocument/2006/relationships/hyperlink" Id="rId380" Target="https://doi.org/10.1037/0033-295X.111.4.1072" TargetMode="External" /><Relationship Type="http://schemas.openxmlformats.org/officeDocument/2006/relationships/hyperlink" Id="rId439" Target="https://doi.org/10.1037/0033-295X.85.3.207" TargetMode="External" /><Relationship Type="http://schemas.openxmlformats.org/officeDocument/2006/relationships/hyperlink" Id="rId416" Target="https://doi.org/10.1037/0033-295X.95.4.492" TargetMode="External" /><Relationship Type="http://schemas.openxmlformats.org/officeDocument/2006/relationships/hyperlink" Id="rId398" Target="https://doi.org/10.1037/0033-295X.99.1.22" TargetMode="External" /><Relationship Type="http://schemas.openxmlformats.org/officeDocument/2006/relationships/hyperlink" Id="rId459" Target="https://doi.org/10.1037/0096-3445.115.1.39" TargetMode="External" /><Relationship Type="http://schemas.openxmlformats.org/officeDocument/2006/relationships/hyperlink" Id="rId394" Target="https://doi.org/10.1037/0278-7393.17.5.811" TargetMode="External" /><Relationship Type="http://schemas.openxmlformats.org/officeDocument/2006/relationships/hyperlink" Id="rId361" Target="https://doi.org/10.1037/0278-7393.2.3.322" TargetMode="External" /><Relationship Type="http://schemas.openxmlformats.org/officeDocument/2006/relationships/hyperlink" Id="rId404" Target="https://doi.org/10.1037/0278-7393.20.5.1003" TargetMode="External" /><Relationship Type="http://schemas.openxmlformats.org/officeDocument/2006/relationships/hyperlink" Id="rId312" Target="https://doi.org/10.1037/0278-7393.23.4.968" TargetMode="External" /><Relationship Type="http://schemas.openxmlformats.org/officeDocument/2006/relationships/hyperlink" Id="rId487" Target="https://doi.org/10.1037/0278-7393.25.1.208" TargetMode="External" /><Relationship Type="http://schemas.openxmlformats.org/officeDocument/2006/relationships/hyperlink" Id="rId253" Target="https://doi.org/10.1037/0278-7393.30.1.38" TargetMode="External" /><Relationship Type="http://schemas.openxmlformats.org/officeDocument/2006/relationships/hyperlink" Id="rId400" Target="https://doi.org/10.1037/0278-7393.32.5.1019" TargetMode="External" /><Relationship Type="http://schemas.openxmlformats.org/officeDocument/2006/relationships/hyperlink" Id="rId435" Target="https://doi.org/10.1037/a0013982" TargetMode="External" /><Relationship Type="http://schemas.openxmlformats.org/officeDocument/2006/relationships/hyperlink" Id="rId304" Target="https://doi.org/10.1037/a0018390" TargetMode="External" /><Relationship Type="http://schemas.openxmlformats.org/officeDocument/2006/relationships/hyperlink" Id="rId356" Target="https://doi.org/10.1037/a0020666" TargetMode="External" /><Relationship Type="http://schemas.openxmlformats.org/officeDocument/2006/relationships/hyperlink" Id="rId372" Target="https://doi.org/10.1037/a0024386" TargetMode="External" /><Relationship Type="http://schemas.openxmlformats.org/officeDocument/2006/relationships/hyperlink" Id="rId402" Target="https://doi.org/10.1037/a0026639" TargetMode="External" /><Relationship Type="http://schemas.openxmlformats.org/officeDocument/2006/relationships/hyperlink" Id="rId437" Target="https://doi.org/10.1037/a0032184" TargetMode="External" /><Relationship Type="http://schemas.openxmlformats.org/officeDocument/2006/relationships/hyperlink" Id="rId269" Target="https://doi.org/10.1037/cep0000129" TargetMode="External" /><Relationship Type="http://schemas.openxmlformats.org/officeDocument/2006/relationships/hyperlink" Id="rId489" Target="https://doi.org/10.1037/h0025953" TargetMode="External" /><Relationship Type="http://schemas.openxmlformats.org/officeDocument/2006/relationships/hyperlink" Id="rId518" Target="https://doi.org/10.1037/h0076770" TargetMode="External" /><Relationship Type="http://schemas.openxmlformats.org/officeDocument/2006/relationships/hyperlink" Id="rId396" Target="https://doi.org/10.1037/rev0000160" TargetMode="External" /><Relationship Type="http://schemas.openxmlformats.org/officeDocument/2006/relationships/hyperlink" Id="rId559" Target="https://doi.org/10.1037/xhp0000301" TargetMode="External" /><Relationship Type="http://schemas.openxmlformats.org/officeDocument/2006/relationships/hyperlink" Id="rId501" Target="https://doi.org/10.1037/xhp0001057" TargetMode="External" /><Relationship Type="http://schemas.openxmlformats.org/officeDocument/2006/relationships/hyperlink" Id="rId420" Target="https://doi.org/10.1037/xlm0000779" TargetMode="External" /><Relationship Type="http://schemas.openxmlformats.org/officeDocument/2006/relationships/hyperlink" Id="rId255" Target="https://doi.org/10.1037/xlm0000824" TargetMode="External" /><Relationship Type="http://schemas.openxmlformats.org/officeDocument/2006/relationships/hyperlink" Id="rId282" Target="https://doi.org/10.1038/nrn3315" TargetMode="External" /><Relationship Type="http://schemas.openxmlformats.org/officeDocument/2006/relationships/hyperlink" Id="rId493" Target="https://doi.org/10.1038/s41539-024-00269-z" TargetMode="External" /><Relationship Type="http://schemas.openxmlformats.org/officeDocument/2006/relationships/hyperlink" Id="rId374" Target="https://doi.org/10.1038/s44159-022-00025-3" TargetMode="External" /><Relationship Type="http://schemas.openxmlformats.org/officeDocument/2006/relationships/hyperlink" Id="rId302" Target="https://doi.org/10.1073/pnas.1912789117" TargetMode="External" /><Relationship Type="http://schemas.openxmlformats.org/officeDocument/2006/relationships/hyperlink" Id="rId578" Target="https://doi.org/10.1073/pnas.2002903117" TargetMode="External" /><Relationship Type="http://schemas.openxmlformats.org/officeDocument/2006/relationships/hyperlink" Id="rId329" Target="https://doi.org/10.1073/pnas.93.9.3843" TargetMode="External" /><Relationship Type="http://schemas.openxmlformats.org/officeDocument/2006/relationships/hyperlink" Id="rId455" Target="https://doi.org/10.1080/00222895.1976.10735077" TargetMode="External" /><Relationship Type="http://schemas.openxmlformats.org/officeDocument/2006/relationships/hyperlink" Id="rId431" Target="https://doi.org/10.1080/00222895.1977.10735109" TargetMode="External" /><Relationship Type="http://schemas.openxmlformats.org/officeDocument/2006/relationships/hyperlink" Id="rId451" Target="https://doi.org/10.1080/00222895.1979.10735173" TargetMode="External" /><Relationship Type="http://schemas.openxmlformats.org/officeDocument/2006/relationships/hyperlink" Id="rId284" Target="https://doi.org/10.1080/00222895.1992.9941617" TargetMode="External" /><Relationship Type="http://schemas.openxmlformats.org/officeDocument/2006/relationships/hyperlink" Id="rId286" Target="https://doi.org/10.1080/00222895.1992.9941627" TargetMode="External" /><Relationship Type="http://schemas.openxmlformats.org/officeDocument/2006/relationships/hyperlink" Id="rId457" Target="https://doi.org/10.1080/02640414.2018.1522683" TargetMode="External" /><Relationship Type="http://schemas.openxmlformats.org/officeDocument/2006/relationships/hyperlink" Id="rId310" Target="https://doi.org/10.1080/02701367.1982.10605236" TargetMode="External" /><Relationship Type="http://schemas.openxmlformats.org/officeDocument/2006/relationships/hyperlink" Id="rId569" Target="https://doi.org/10.1080/02701367.1983.10605274" TargetMode="External" /><Relationship Type="http://schemas.openxmlformats.org/officeDocument/2006/relationships/hyperlink" Id="rId483" Target="https://doi.org/10.1080/02701367.1984.10605353" TargetMode="External" /><Relationship Type="http://schemas.openxmlformats.org/officeDocument/2006/relationships/hyperlink" Id="rId571" Target="https://doi.org/10.1080/02701367.1987.10608114" TargetMode="External" /><Relationship Type="http://schemas.openxmlformats.org/officeDocument/2006/relationships/hyperlink" Id="rId453" Target="https://doi.org/10.1080/02701367.2003.10609108" TargetMode="External" /><Relationship Type="http://schemas.openxmlformats.org/officeDocument/2006/relationships/hyperlink" Id="rId476" Target="https://doi.org/10.1080/02724980042000084" TargetMode="External" /><Relationship Type="http://schemas.openxmlformats.org/officeDocument/2006/relationships/hyperlink" Id="rId257" Target="https://doi.org/10.1080/07370008.2015.1067215" TargetMode="External" /><Relationship Type="http://schemas.openxmlformats.org/officeDocument/2006/relationships/hyperlink" Id="rId316" Target="https://doi.org/10.1080/09658211.2015.1086805" TargetMode="External" /><Relationship Type="http://schemas.openxmlformats.org/officeDocument/2006/relationships/hyperlink" Id="rId337" Target="https://doi.org/10.1080/20445911.2011.507187" TargetMode="External" /><Relationship Type="http://schemas.openxmlformats.org/officeDocument/2006/relationships/hyperlink" Id="rId479" Target="https://doi.org/10.1080/20445911.2011.613818" TargetMode="External" /><Relationship Type="http://schemas.openxmlformats.org/officeDocument/2006/relationships/hyperlink" Id="rId441" Target="https://doi.org/10.1080/23311908.2018.1493714" TargetMode="External" /><Relationship Type="http://schemas.openxmlformats.org/officeDocument/2006/relationships/hyperlink" Id="rId363" Target="https://doi.org/10.1080/713756773" TargetMode="External" /><Relationship Type="http://schemas.openxmlformats.org/officeDocument/2006/relationships/hyperlink" Id="rId573" Target="https://doi.org/10.1101/2020.01.21.914556" TargetMode="External" /><Relationship Type="http://schemas.openxmlformats.org/officeDocument/2006/relationships/hyperlink" Id="rId275" Target="https://doi.org/10.1111/cogs.12231" TargetMode="External" /><Relationship Type="http://schemas.openxmlformats.org/officeDocument/2006/relationships/hyperlink" Id="rId543" Target="https://doi.org/10.1111/cogs.12539" TargetMode="External" /><Relationship Type="http://schemas.openxmlformats.org/officeDocument/2006/relationships/hyperlink" Id="rId384" Target="https://doi.org/10.1111/cogs.12738" TargetMode="External" /><Relationship Type="http://schemas.openxmlformats.org/officeDocument/2006/relationships/hyperlink" Id="rId376" Target="https://doi.org/10.1111/cogs.12812" TargetMode="External" /><Relationship Type="http://schemas.openxmlformats.org/officeDocument/2006/relationships/hyperlink" Id="rId408" Target="https://doi.org/10.1111/j.1756-8765.2009.01044.x" TargetMode="External" /><Relationship Type="http://schemas.openxmlformats.org/officeDocument/2006/relationships/hyperlink" Id="rId300" Target="https://doi.org/10.1111/j.2044-8317.2011.02016.x" TargetMode="External" /><Relationship Type="http://schemas.openxmlformats.org/officeDocument/2006/relationships/hyperlink" Id="rId524" Target="https://doi.org/10.1126/science.3629243" TargetMode="External" /><Relationship Type="http://schemas.openxmlformats.org/officeDocument/2006/relationships/hyperlink" Id="rId461" Target="https://doi.org/10.1146/annurev.ps.43.020192.000325" TargetMode="External" /><Relationship Type="http://schemas.openxmlformats.org/officeDocument/2006/relationships/hyperlink" Id="rId505" Target="https://doi.org/10.1146/annurev.psych.52.1.453" TargetMode="External" /><Relationship Type="http://schemas.openxmlformats.org/officeDocument/2006/relationships/hyperlink" Id="rId250" Target="https://doi.org/10.1152/jn.00615.2013" TargetMode="External" /><Relationship Type="http://schemas.openxmlformats.org/officeDocument/2006/relationships/hyperlink" Id="rId485" Target="https://doi.org/10.1162/jocn_a_01738" TargetMode="External" /><Relationship Type="http://schemas.openxmlformats.org/officeDocument/2006/relationships/hyperlink" Id="rId520" Target="https://doi.org/10.1162/opmi_a_00032" TargetMode="External" /><Relationship Type="http://schemas.openxmlformats.org/officeDocument/2006/relationships/hyperlink" Id="rId389" Target="https://doi.org/10.1167/9.7.16" TargetMode="External" /><Relationship Type="http://schemas.openxmlformats.org/officeDocument/2006/relationships/hyperlink" Id="rId391" Target="https://doi.org/10.1177/003151257804600201" TargetMode="External" /><Relationship Type="http://schemas.openxmlformats.org/officeDocument/2006/relationships/hyperlink" Id="rId443" Target="https://doi.org/10.1177/0301006615599902" TargetMode="External" /><Relationship Type="http://schemas.openxmlformats.org/officeDocument/2006/relationships/hyperlink" Id="rId481" Target="https://doi.org/10.1177/0956797610389189" TargetMode="External" /><Relationship Type="http://schemas.openxmlformats.org/officeDocument/2006/relationships/hyperlink" Id="rId528" Target="https://doi.org/10.1177/1745691615569000" TargetMode="External" /><Relationship Type="http://schemas.openxmlformats.org/officeDocument/2006/relationships/hyperlink" Id="rId414" Target="https://doi.org/10.1177/1747021817739832" TargetMode="External" /><Relationship Type="http://schemas.openxmlformats.org/officeDocument/2006/relationships/hyperlink" Id="rId410" Target="https://doi.org/10.1177/1747021819857065" TargetMode="External" /><Relationship Type="http://schemas.openxmlformats.org/officeDocument/2006/relationships/hyperlink" Id="rId367" Target="https://doi.org/10.1177/17470218231210491" TargetMode="External" /><Relationship Type="http://schemas.openxmlformats.org/officeDocument/2006/relationships/hyperlink" Id="rId327" Target="https://doi.org/10.1371/journal.pcbi.1003425" TargetMode="External" /><Relationship Type="http://schemas.openxmlformats.org/officeDocument/2006/relationships/hyperlink" Id="rId545" Target="https://doi.org/10.1371/journal.pcbi.1004172" TargetMode="External" /><Relationship Type="http://schemas.openxmlformats.org/officeDocument/2006/relationships/hyperlink" Id="rId549" Target="https://doi.org/10.1371/journal.pcbi.1012471" TargetMode="External" /><Relationship Type="http://schemas.openxmlformats.org/officeDocument/2006/relationships/hyperlink" Id="rId352" Target="https://doi.org/10.1371/journal.pone.0269794" TargetMode="External" /><Relationship Type="http://schemas.openxmlformats.org/officeDocument/2006/relationships/hyperlink" Id="rId412" Target="https://doi.org/10.1521/soco.1993.11.1.92" TargetMode="External" /><Relationship Type="http://schemas.openxmlformats.org/officeDocument/2006/relationships/hyperlink" Id="rId335" Target="https://doi.org/10.1523/JNEUROSCI.16-21-07085.1996" TargetMode="External" /><Relationship Type="http://schemas.openxmlformats.org/officeDocument/2006/relationships/hyperlink" Id="rId537" Target="https://doi.org/10.1523/JNEUROSCI.1771-05.2005" TargetMode="External" /><Relationship Type="http://schemas.openxmlformats.org/officeDocument/2006/relationships/hyperlink" Id="rId273" Target="https://doi.org/10.18637/jss.v080.i01" TargetMode="External" /><Relationship Type="http://schemas.openxmlformats.org/officeDocument/2006/relationships/hyperlink" Id="rId424" Target="https://doi.org/10.21105/joss.01541" TargetMode="External" /><Relationship Type="http://schemas.openxmlformats.org/officeDocument/2006/relationships/hyperlink" Id="rId292" Target="https://doi.org/10.21105/joss.02535" TargetMode="External" /><Relationship Type="http://schemas.openxmlformats.org/officeDocument/2006/relationships/hyperlink" Id="rId280" Target="https://doi.org/10.2466/pms.1984.58.3.851" TargetMode="External" /><Relationship Type="http://schemas.openxmlformats.org/officeDocument/2006/relationships/hyperlink" Id="rId345" Target="https://doi.org/10.2466/pms.1995.81.3f.1275" TargetMode="External" /><Relationship Type="http://schemas.openxmlformats.org/officeDocument/2006/relationships/hyperlink" Id="rId341" Target="https://doi.org/10.2466/pms.1998.87.1.147" TargetMode="External" /><Relationship Type="http://schemas.openxmlformats.org/officeDocument/2006/relationships/hyperlink" Id="rId314" Target="https://doi.org/10.31234/osf.io/ygmcj" TargetMode="External" /><Relationship Type="http://schemas.openxmlformats.org/officeDocument/2006/relationships/hyperlink" Id="rId348" Target="https://doi.org/10.3200/JMBR.36.2.212-224" TargetMode="External" /><Relationship Type="http://schemas.openxmlformats.org/officeDocument/2006/relationships/hyperlink" Id="rId248" Target="https://doi.org/10.32614/RJ-2021-048" TargetMode="External" /><Relationship Type="http://schemas.openxmlformats.org/officeDocument/2006/relationships/hyperlink" Id="rId428" Target="https://doi.org/10.3389/fncom.2013.00100" TargetMode="External" /><Relationship Type="http://schemas.openxmlformats.org/officeDocument/2006/relationships/hyperlink" Id="rId532" Target="https://doi.org/10.3389/fnhum.2013.00171" TargetMode="External" /><Relationship Type="http://schemas.openxmlformats.org/officeDocument/2006/relationships/hyperlink" Id="rId580" Target="https://doi.org/10.3389/fpsyg.2014.01122" TargetMode="External" /><Relationship Type="http://schemas.openxmlformats.org/officeDocument/2006/relationships/hyperlink" Id="rId511" Target="https://doi.org/10.3389/fpsyg.2014.01318" TargetMode="External" /><Relationship Type="http://schemas.openxmlformats.org/officeDocument/2006/relationships/hyperlink" Id="rId306" Target="https://doi.org/10.3389/fpsyg.2021.639131" TargetMode="External" /><Relationship Type="http://schemas.openxmlformats.org/officeDocument/2006/relationships/hyperlink" Id="rId582" Target="https://doi.org/10.3758/BF03192940" TargetMode="External" /><Relationship Type="http://schemas.openxmlformats.org/officeDocument/2006/relationships/hyperlink" Id="rId354" Target="https://doi.org/10.3758/BF03195318" TargetMode="External" /><Relationship Type="http://schemas.openxmlformats.org/officeDocument/2006/relationships/hyperlink" Id="rId433" Target="https://doi.org/10.3758/BF03196347" TargetMode="External" /><Relationship Type="http://schemas.openxmlformats.org/officeDocument/2006/relationships/hyperlink" Id="rId358" Target="https://doi.org/10.3758/BF03202365" TargetMode="External" /><Relationship Type="http://schemas.openxmlformats.org/officeDocument/2006/relationships/hyperlink" Id="rId294" Target="https://doi.org/10.3758/BF03206386" TargetMode="External" /><Relationship Type="http://schemas.openxmlformats.org/officeDocument/2006/relationships/hyperlink" Id="rId325" Target="https://doi.org/10.3758/BRM.41.4.1149" TargetMode="External" /><Relationship Type="http://schemas.openxmlformats.org/officeDocument/2006/relationships/hyperlink" Id="rId515" Target="https://doi.org/10.3758/MC.36.6.1057" TargetMode="External" /><Relationship Type="http://schemas.openxmlformats.org/officeDocument/2006/relationships/hyperlink" Id="rId339" Target="https://doi.org/10.3758/PBR.15.3.662" TargetMode="External" /><Relationship Type="http://schemas.openxmlformats.org/officeDocument/2006/relationships/hyperlink" Id="rId422" Target="https://doi.org/10.3758/s13414-011-0101-2" TargetMode="External" /><Relationship Type="http://schemas.openxmlformats.org/officeDocument/2006/relationships/hyperlink" Id="rId331" Target="https://doi.org/10.3758/s13414-021-02338-6" TargetMode="External" /><Relationship Type="http://schemas.openxmlformats.org/officeDocument/2006/relationships/hyperlink" Id="rId555" Target="https://doi.org/10.3758/s13421-011-0180-2" TargetMode="External" /><Relationship Type="http://schemas.openxmlformats.org/officeDocument/2006/relationships/hyperlink" Id="rId378" Target="https://doi.org/10.3758/s13421-013-0306-9" TargetMode="External" /><Relationship Type="http://schemas.openxmlformats.org/officeDocument/2006/relationships/hyperlink" Id="rId370" Target="https://doi.org/10.3758/s13421-023-01516-1" TargetMode="External" /><Relationship Type="http://schemas.openxmlformats.org/officeDocument/2006/relationships/hyperlink" Id="rId467" Target="https://doi.org/10.3758/s13423-018-1508-8" TargetMode="External" /><Relationship Type="http://schemas.openxmlformats.org/officeDocument/2006/relationships/hyperlink" Id="rId584" Target="https://doi.org/10.3758/s13423-020-01780-1" TargetMode="External" /><Relationship Type="http://schemas.openxmlformats.org/officeDocument/2006/relationships/hyperlink" Id="rId499" Target="https://doi.org/10.3758/s13423-021-01878-0" TargetMode="External" /><Relationship Type="http://schemas.openxmlformats.org/officeDocument/2006/relationships/hyperlink" Id="rId333" Target="https://doi.org/10.3758/s13423-023-02252-y" TargetMode="External" /><Relationship Type="http://schemas.openxmlformats.org/officeDocument/2006/relationships/hyperlink" Id="rId308" Target="https://doi.org/10.3758/s13428-014-0458-y" TargetMode="External" /><Relationship Type="http://schemas.openxmlformats.org/officeDocument/2006/relationships/hyperlink" Id="rId557" Target="https://doi.org/10.3758/s13428-020-01405-4" TargetMode="External" /><Relationship Type="http://schemas.openxmlformats.org/officeDocument/2006/relationships/hyperlink" Id="rId553" Target="https://doi.org/10.5167/UZH-135898" TargetMode="External" /><Relationship Type="http://schemas.openxmlformats.org/officeDocument/2006/relationships/hyperlink" Id="rId39" Target="https://pcl.sitehost.iu.edu/tg/demos/igas_expt1_demo.html" TargetMode="External" /><Relationship Type="http://schemas.openxmlformats.org/officeDocument/2006/relationships/hyperlink" Id="rId108" Target="https://phaser.io/" TargetMode="External" /><Relationship Type="http://schemas.openxmlformats.org/officeDocument/2006/relationships/hyperlink" Id="rId245" Target="https://tegorman13.github.io/Dissertation/Sections/Appendix/Full_Appendix.html" TargetMode="External" /><Relationship Type="http://schemas.openxmlformats.org/officeDocument/2006/relationships/hyperlink" Id="rId350"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2024-10-12T08:08:45Z</dcterms:created>
  <dcterms:modified xsi:type="dcterms:W3CDTF">2024-10-12T08:08:45Z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