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31.png" ContentType="image/png"/>
  <Override PartName="/word/media/rId38.png" ContentType="image/png"/>
  <Override PartName="/word/media/rId59.png" ContentType="image/png"/>
  <Override PartName="/word/media/rId67.png" ContentType="image/png"/>
  <Override PartName="/word/media/rId52.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2025-01-09</w:t>
      </w:r>
    </w:p>
    <w:p>
      <w:pPr>
        <w:pStyle w:val="AbstractTitle"/>
      </w:pPr>
      <w:r>
        <w:t xml:space="preserve">Abstract</w:t>
      </w:r>
    </w:p>
    <w:p>
      <w:pPr>
        <w:pStyle w:val="Abstract"/>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bookmarkStart w:id="21" w:name="introduction"/>
    <w:p>
      <w:pPr>
        <w:pStyle w:val="Heading1"/>
      </w:pPr>
      <w:r>
        <w:t xml:space="preserve">Introduction</w:t>
      </w:r>
    </w:p>
    <w:bookmarkStart w:id="20" w:name="literature-review"/>
    <w:p>
      <w:pPr>
        <w:pStyle w:val="Heading3"/>
      </w:pPr>
      <w:r>
        <w:t xml:space="preserve">Literature Review</w:t>
      </w:r>
    </w:p>
    <w:p>
      <w:pPr>
        <w:pStyle w:val="FirstParagraph"/>
      </w:pPr>
      <w:r>
        <w:t xml:space="preserve">Energy costs often impose a significant burden on low-income households, leading to</w:t>
      </w:r>
      <w:r>
        <w:t xml:space="preserve"> </w:t>
      </w:r>
      <w:r>
        <w:t xml:space="preserve">“energy insecurity,”</w:t>
      </w:r>
      <w:r>
        <w:t xml:space="preserve"> </w:t>
      </w:r>
      <w:r>
        <w:t xml:space="preserve">where basic energy needs cannot be met (Bednar &amp; Reames, 2020). This burden can be disproportionately high for vulnerable families, necessitating difficult tradeoffs with essentials such as food or medicine</w:t>
      </w:r>
      <w:r>
        <w:t xml:space="preserve"> </w:t>
      </w:r>
      <w:r>
        <w:t xml:space="preserve">(Bednar &amp; Reames, 2020; Memmott et al., 2021)</w:t>
      </w:r>
      <w:r>
        <w:t xml:space="preserve">. Energy insecurity has been linked to health risks and unsafe coping strategies, disproportionately impacting racial and ethnic minorities through higher rates of disconnection</w:t>
      </w:r>
      <w:r>
        <w:t xml:space="preserve"> </w:t>
      </w:r>
      <w:r>
        <w:t xml:space="preserve">(Memmott et al., 2021)</w:t>
      </w:r>
      <w:r>
        <w:t xml:space="preserve">. While the broader context of climate change, partly driven by residential consumption</w:t>
      </w:r>
      <w:r>
        <w:t xml:space="preserve"> </w:t>
      </w:r>
      <w:r>
        <w:t xml:space="preserve">(Farghali et al., 2023)</w:t>
      </w:r>
      <w:r>
        <w:t xml:space="preserve">, underscores the need for sustainable solutions, the financial strain on vulnerable households remains a pressing concern. Promoting behavior change to reduce energy consumption is crucial. However, the success of such interventions may hinge on how effectively energy information is communicated, with format and presentation context significantly influencing understanding and action</w:t>
      </w:r>
      <w:r>
        <w:t xml:space="preserve"> </w:t>
      </w:r>
      <w:r>
        <w:t xml:space="preserve">(Canfield et al., 2017; Fischer, 2008)</w:t>
      </w:r>
      <w:r>
        <w:t xml:space="preserve">.</w:t>
      </w:r>
    </w:p>
    <w:p>
      <w:pPr>
        <w:pStyle w:val="BodyText"/>
      </w:pPr>
      <w:r>
        <w:t xml:space="preserve">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w:t>
      </w:r>
      <w:r>
        <w:t xml:space="preserve">(Gigerenzer &amp; Edwards, 2003; Reimer et al., 2015)</w:t>
      </w:r>
      <w:r>
        <w:t xml:space="preserve">. A substantial body of evidence suggests that presenting data in terms of absolute counts or frequencies, as opposed to probabilities or percentages, can promote more accurate comprehension and facilitate decision making. However, it’s important to note that even intuitive formats can pose challenges. For instance,</w:t>
      </w:r>
      <w:r>
        <w:t xml:space="preserve"> </w:t>
      </w:r>
      <w:r>
        <w:t xml:space="preserve">Weber et al. (2018)</w:t>
      </w:r>
      <w:r>
        <w:t xml:space="preserve"> </w:t>
      </w:r>
      <w:r>
        <w:t xml:space="preserve">found that individuals often struggle with reasoning tasks presented in natural frequencies because they inadvertently revert to more complex probabilistic thinking.</w:t>
      </w:r>
    </w:p>
    <w:p>
      <w:pPr>
        <w:pStyle w:val="BodyText"/>
      </w:pPr>
      <w:r>
        <w:t xml:space="preserve">The choice of units and the format in which information is presented have also been shown to exert a significant influence on decision-making specifically within the context of energy consumption and planning. For instance, tables are generally more effective than graphs for conveying specific electricity usage data because they facilitate straightforward point reading</w:t>
      </w:r>
      <w:r>
        <w:t xml:space="preserve"> </w:t>
      </w:r>
      <w:r>
        <w:t xml:space="preserve">(Canfield et al., 2017)</w:t>
      </w:r>
      <w:r>
        <w:t xml:space="preserve">. Furthermore, the framing of energy costs, such as displaying monthly rather than daily or yearly expenses, can significantly affect consumers’ choices</w:t>
      </w:r>
      <w:r>
        <w:t xml:space="preserve"> </w:t>
      </w:r>
      <w:r>
        <w:t xml:space="preserve">(Gill et al., 2022)</w:t>
      </w:r>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w:t>
      </w:r>
      <w:r>
        <w:t xml:space="preserve"> </w:t>
      </w:r>
      <w:r>
        <w:t xml:space="preserve">(Karjalainen, 2011; Nemati &amp; Penn, 2020)</w:t>
      </w:r>
      <w:r>
        <w:t xml:space="preserve">, as well as better long-term appliance selection with information presented in monetary terms</w:t>
      </w:r>
      <w:r>
        <w:t xml:space="preserve"> </w:t>
      </w:r>
      <w:r>
        <w:t xml:space="preserve">(Blasch et al., 2019)</w:t>
      </w:r>
      <w:r>
        <w:t xml:space="preserve">. However, it remains uncertain how these reported benefits might generalize to the more complex task of household energy planning, where usage patterns are multifaceted and subject to a variety of contextual influences.</w:t>
      </w:r>
    </w:p>
    <w:p>
      <w:pPr>
        <w:pStyle w:val="BodyText"/>
      </w:pPr>
      <w:r>
        <w:t xml:space="preserve">Although many individuals express a desire to conserve energy, research consistently shows that abstract goals (e.g.,</w:t>
      </w:r>
      <w:r>
        <w:t xml:space="preserve"> </w:t>
      </w:r>
      <w:r>
        <w:t xml:space="preserve">“reduce overall usage by 15%”</w:t>
      </w:r>
      <w:r>
        <w:t xml:space="preserve">) often fail to translate into effective behavior change unless accompanied by specific, actionable steps</w:t>
      </w:r>
      <w:r>
        <w:t xml:space="preserve"> </w:t>
      </w:r>
      <w:r>
        <w:t xml:space="preserve">(Abrahamse et al., 2005; Nemati &amp; Penn, 2020)</w:t>
      </w:r>
      <w:r>
        <w:t xml:space="preserve">. For instance,</w:t>
      </w:r>
      <w:r>
        <w:t xml:space="preserve"> </w:t>
      </w:r>
      <w:r>
        <w:t xml:space="preserve">Abrahamse et al. (2005)</w:t>
      </w:r>
      <w:r>
        <w:t xml:space="preserve"> </w:t>
      </w:r>
      <w:r>
        <w:t xml:space="preserve">demonstrated that merely providing general information about energy savings rarely alters consumption patterns unless consumers also receive concrete instructions or tailored feedback. Similarly,</w:t>
      </w:r>
      <w:r>
        <w:t xml:space="preserve"> </w:t>
      </w:r>
      <w:r>
        <w:t xml:space="preserve">Tonke (2024)</w:t>
      </w:r>
      <w:r>
        <w:t xml:space="preserve"> </w:t>
      </w:r>
      <w:r>
        <w:t xml:space="preserve">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w:t>
      </w:r>
      <w:r>
        <w:t xml:space="preserve"> </w:t>
      </w:r>
      <w:r>
        <w:t xml:space="preserve">(Attari et al., 2010)</w:t>
      </w:r>
      <w:r>
        <w:t xml:space="preserve">. Additionally, meta-analytic findings suggest that people respond more robustly to household-level feedback that situates their usage within a personalized framework, thereby reducing the cognitive burden of determining next steps</w:t>
      </w:r>
      <w:r>
        <w:t xml:space="preserve"> </w:t>
      </w:r>
      <w:r>
        <w:t xml:space="preserve">(Nemati &amp; Penn, 2020)</w:t>
      </w:r>
      <w:r>
        <w:t xml:space="preserve">.</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bookmarkEnd w:id="20"/>
    <w:bookmarkEnd w:id="21"/>
    <w:bookmarkStart w:id="49"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29" w:name="methods"/>
    <w:p>
      <w:pPr>
        <w:pStyle w:val="Heading2"/>
      </w:pPr>
      <w:r>
        <w:t xml:space="preserve">Methods</w:t>
      </w:r>
    </w:p>
    <w:bookmarkStart w:id="22"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initially recruited. Data from 17 participants were corrupted due to experimenter error, and six participants were excluded due to deviant performance on the task, resulting in a final sample of 229 participants (146 males, 92 females, 1 not specified). The average age of participants was 34.3 years (SD = 10.2). Most participants (76%) reported using a calculator to complete the task.</w:t>
      </w:r>
    </w:p>
    <w:bookmarkEnd w:id="22"/>
    <w:bookmarkStart w:id="23"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Average utility use data for each state was obtained from the CITE SOURCE FOR STATE AVGS? Participants also completed an 8-item questionnaire assessing participants’ knowledge of energy consumption and conversion</w:t>
      </w:r>
      <w:r>
        <w:t xml:space="preserve"> </w:t>
      </w:r>
      <w:r>
        <w:t xml:space="preserve">(DeWaters &amp; Powers, 2011)</w:t>
      </w:r>
      <w:r>
        <w:t xml:space="preserve">, and a question indicating whether they used a calculator for the task.</w:t>
      </w:r>
    </w:p>
    <w:bookmarkEnd w:id="23"/>
    <w:bookmarkStart w:id="28" w:name="procedure"/>
    <w:p>
      <w:pPr>
        <w:pStyle w:val="Heading3"/>
      </w:pPr>
      <w:r>
        <w:t xml:space="preserve">Procedure</w:t>
      </w:r>
    </w:p>
    <w:p>
      <w:pPr>
        <w:pStyle w:val="FirstParagraph"/>
      </w:pPr>
      <w:r>
        <w:t xml:space="preserve">Participants were provided with energy usage data for two hypothetical families and tasked with creating action plans to meet specified energy reduction goals. These goals were implementing by allocating usage across five appliance categories: heating, cooling, water heating, refrigerator, and other appliances (e.g., TV, lighting). Participants were informed at the start of the task 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washer/dryer).For each family scenario, participants were shown a table containing the families utility usage from the prior year, alongside the state averages for each appliance category (see</w:t>
      </w:r>
      <w:r>
        <w:t xml:space="preserve"> </w:t>
      </w:r>
      <w:hyperlink w:anchor="fig-task">
        <w:r>
          <w:rPr>
            <w:rStyle w:val="Hyperlink"/>
          </w:rPr>
          <w:t xml:space="preserve">Figure 1</w:t>
        </w:r>
      </w:hyperlink>
      <w:r>
        <w:t xml:space="preserve">). For each scenario, participants were asked to create two possible action plans to achieve the target reduction in total household energy usage . Depending on their reference class condition, the target reduction amount presented either in kilowatt-hours (kWh), as a percentage of total household usage, or in U.S. dollars. In all conditions, the target reduction was equivalent to a 15% reduction in total household kWh.</w:t>
      </w:r>
    </w:p>
    <w:tbl>
      <w:tblPr>
        <w:tblStyle w:val="Table"/>
        <w:tblW w:type="pct" w:w="5000"/>
        <w:tblLayout w:type="fixed"/>
        <w:tblLook w:firstRow="0" w:lastRow="0" w:firstColumn="0" w:lastColumn="0" w:noHBand="0" w:noVBand="0" w:val="0000"/>
      </w:tblPr>
      <w:tblGrid>
        <w:gridCol w:w="7920"/>
      </w:tblGrid>
      <w:tr>
        <w:tc>
          <w:tcPr/>
          <w:bookmarkStart w:id="27" w:name="fig-task"/>
          <w:p>
            <w:pPr>
              <w:pStyle w:val="Compact"/>
              <w:jc w:val="center"/>
            </w:pPr>
            <w:r>
              <w:drawing>
                <wp:inline>
                  <wp:extent cx="5334000" cy="6098079"/>
                  <wp:effectExtent b="0" l="0" r="0" t="0"/>
                  <wp:docPr descr="" title="" id="25" name="Picture"/>
                  <a:graphic>
                    <a:graphicData uri="http://schemas.openxmlformats.org/drawingml/2006/picture">
                      <pic:pic>
                        <pic:nvPicPr>
                          <pic:cNvPr descr="./assets/images/wells10e_pub.png" id="26" name="Picture"/>
                          <pic:cNvPicPr>
                            <a:picLocks noChangeArrowheads="1" noChangeAspect="1"/>
                          </pic:cNvPicPr>
                        </pic:nvPicPr>
                        <pic:blipFill>
                          <a:blip r:embed="rId24"/>
                          <a:stretch>
                            <a:fillRect/>
                          </a:stretch>
                        </pic:blipFill>
                        <pic:spPr bwMode="auto">
                          <a:xfrm>
                            <a:off x="0" y="0"/>
                            <a:ext cx="5334000" cy="60980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energy planning task trial. Participants saw a table with a family’s previous year electricity usage (here for the Wells family in Colorado) and were asked to allocate energy usage to meet a 15% reduction goal. The format of the reduction goal was manipulated to be either a percentage (15% given as goal reduction), kilowatt hours (5965 kWh given), or USD ($656). Participants in the USD condition were provided with the conversion rate between kwH and USD.</w:t>
            </w:r>
          </w:p>
          <w:bookmarkEnd w:id="27"/>
        </w:tc>
      </w:tr>
    </w:tbl>
    <w:bookmarkEnd w:id="28"/>
    <w:bookmarkEnd w:id="29"/>
    <w:bookmarkStart w:id="47" w:name="results"/>
    <w:p>
      <w:pPr>
        <w:pStyle w:val="Heading2"/>
      </w:pPr>
      <w:r>
        <w:t xml:space="preserve">Results</w:t>
      </w:r>
    </w:p>
    <w:bookmarkStart w:id="46" w:name="data-analysis"/>
    <w:p>
      <w:pPr>
        <w:pStyle w:val="Heading3"/>
      </w:pPr>
      <w:r>
        <w:t xml:space="preserve">Data Analysis</w:t>
      </w:r>
    </w:p>
    <w:p>
      <w:pPr>
        <w:pStyle w:val="FirstParagraph"/>
      </w:pPr>
      <w:r>
        <w:t xml:space="preserve">All preprocessing and analyses were carried out in R</w:t>
      </w:r>
      <w:r>
        <w:t xml:space="preserve"> </w:t>
      </w:r>
      <w:r>
        <w:t xml:space="preserve">(Team, 2020)</w:t>
      </w:r>
      <w:r>
        <w:t xml:space="preserve"> </w:t>
      </w:r>
      <w:r>
        <w:t xml:space="preserve">and the Tidyverse package</w:t>
      </w:r>
      <w:r>
        <w:t xml:space="preserve"> </w:t>
      </w:r>
      <w:r>
        <w:t xml:space="preserve">(Wickham et al., 2019)</w:t>
      </w:r>
      <w:r>
        <w:t xml:space="preserve">. Mixed Bayesian regressions were fit using the brms package</w:t>
      </w:r>
      <w:r>
        <w:t xml:space="preserve"> </w:t>
      </w:r>
      <w:r>
        <w:t xml:space="preserve">(Bürkner, 2017)</w:t>
      </w:r>
      <w:r>
        <w:t xml:space="preserve">, with participants and family scenario (states) set as random effects.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(dplyr,purrr,tidyr,stringr,here,tibble,brms,rstan,bayestestR,emmeans,tidybayes,</w:t>
      </w:r>
      <w:r>
        <w:br/>
      </w:r>
      <w:r>
        <w:rPr>
          <w:rStyle w:val="NormalTok"/>
        </w:rPr>
        <w:t xml:space="preserve">    ggplot2,gt,knitr,kableExtra,ggh4x,patchwork, ggridges,ggstance,lme4,flextable,pander,marginaleffects)</w:t>
      </w:r>
      <w:r>
        <w:br/>
      </w:r>
      <w:r>
        <w:br/>
      </w: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scipen=</w:t>
      </w:r>
      <w:r>
        <w:rPr>
          <w:rStyle w:val="DecValTok"/>
        </w:rPr>
        <w:t xml:space="preserve">999</w:t>
      </w:r>
      <w:r>
        <w:rPr>
          <w:rStyle w:val="NormalTok"/>
        </w:rPr>
        <w:t xml:space="preserve">, </w:t>
      </w:r>
      <w:r>
        <w:rPr>
          <w:rStyle w:val="AttributeTok"/>
        </w:rPr>
        <w:t xml:space="preserve">dplyr.summarise.inform=</w:t>
      </w:r>
      <w:r>
        <w:rPr>
          <w:rStyle w:val="ConstantTok"/>
        </w:rPr>
        <w:t xml:space="preserve">FALSE</w:t>
      </w:r>
      <w:r>
        <w:rPr>
          <w:rStyle w:val="NormalTok"/>
        </w:rPr>
        <w:t xml:space="preserve">)</w:t>
      </w:r>
      <w:r>
        <w:br/>
      </w:r>
      <w:r>
        <w:br/>
      </w:r>
      <w:r>
        <w:rPr>
          <w:rStyle w:val="FunctionTok"/>
        </w:rPr>
        <w:t xml:space="preserve">walk</w:t>
      </w:r>
      <w:r>
        <w:rPr>
          <w:rStyle w:val="NormalTok"/>
        </w:rPr>
        <w:t xml:space="preserve">(</w:t>
      </w:r>
      <w:r>
        <w:rPr>
          <w:rStyle w:val="FunctionTok"/>
        </w:rPr>
        <w:t xml:space="preserve">c</w:t>
      </w:r>
      <w:r>
        <w:rPr>
          <w:rStyle w:val="NormalTok"/>
        </w:rPr>
        <w:t xml:space="preserve">(</w:t>
      </w:r>
      <w:r>
        <w:rPr>
          <w:rStyle w:val="StringTok"/>
        </w:rPr>
        <w:t xml:space="preserve">"fun_plot"</w:t>
      </w:r>
      <w:r>
        <w:rPr>
          <w:rStyle w:val="NormalTok"/>
        </w:rPr>
        <w:t xml:space="preserve">), </w:t>
      </w:r>
      <w:r>
        <w:rPr>
          <w:rStyle w:val="SpecialCharTok"/>
        </w:rPr>
        <w:t xml:space="preserve">~</w:t>
      </w:r>
      <w:r>
        <w:rPr>
          <w:rStyle w:val="NormalTok"/>
        </w:rPr>
        <w:t xml:space="preserve"> </w:t>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FunctionTok"/>
        </w:rPr>
        <w:t xml:space="preserve">paste0</w:t>
      </w:r>
      <w:r>
        <w:rPr>
          <w:rStyle w:val="NormalTok"/>
        </w:rPr>
        <w:t xml:space="preserve">(</w:t>
      </w:r>
      <w:r>
        <w:rPr>
          <w:rStyle w:val="StringTok"/>
        </w:rPr>
        <w:t xml:space="preserve">"scripts/"</w:t>
      </w:r>
      <w:r>
        <w:rPr>
          <w:rStyle w:val="NormalTok"/>
        </w:rPr>
        <w:t xml:space="preserve">, .x, </w:t>
      </w:r>
      <w:r>
        <w:rPr>
          <w:rStyle w:val="StringTok"/>
        </w:rPr>
        <w:t xml:space="preserve">".R"</w:t>
      </w:r>
      <w:r>
        <w:rPr>
          <w:rStyle w:val="NormalTok"/>
        </w:rPr>
        <w:t xml:space="preserve">))))</w:t>
      </w:r>
      <w:r>
        <w:br/>
      </w:r>
      <w:r>
        <w:br/>
      </w:r>
      <w:r>
        <w:rPr>
          <w:rStyle w:val="FunctionTok"/>
        </w:rPr>
        <w:t xml:space="preserve">theme_set</w:t>
      </w:r>
      <w:r>
        <w:rPr>
          <w:rStyle w:val="NormalTok"/>
        </w:rPr>
        <w:t xml:space="preserve">(</w:t>
      </w:r>
      <w:r>
        <w:rPr>
          <w:rStyle w:val="FunctionTok"/>
        </w:rPr>
        <w:t xml:space="preserve">theme_nice</w:t>
      </w:r>
      <w:r>
        <w:rPr>
          <w:rStyle w:val="NormalTok"/>
        </w:rPr>
        <w:t xml:space="preserve">())</w:t>
      </w:r>
      <w:r>
        <w:br/>
      </w:r>
      <w:r>
        <w:br/>
      </w:r>
      <w:r>
        <w:rPr>
          <w:rStyle w:val="NormalTok"/>
        </w:rPr>
        <w:t xml:space="preserve">s1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"data/s1_processed.rds"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"data/s1_discrep_ids.rds"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"data/s1_grp_outlier_ids.rds"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refClass =</w:t>
      </w:r>
      <w:r>
        <w:rPr>
          <w:rStyle w:val="NormalTok"/>
        </w:rPr>
        <w:t xml:space="preserve"> </w:t>
      </w:r>
      <w:r>
        <w:rPr>
          <w:rStyle w:val="FunctionTok"/>
        </w:rPr>
        <w:t xml:space="preserve">factor</w:t>
      </w:r>
      <w:r>
        <w:rPr>
          <w:rStyle w:val="NormalTok"/>
        </w:rPr>
        <w:t xml:space="preserve">(refClass, </w:t>
      </w:r>
      <w:r>
        <w:rPr>
          <w:rStyle w:val="AttributeTok"/>
        </w:rPr>
        <w:t xml:space="preserve">levels=</w:t>
      </w:r>
      <w:r>
        <w:rPr>
          <w:rStyle w:val="FunctionTok"/>
        </w:rPr>
        <w:t xml:space="preserve">c</w:t>
      </w:r>
      <w:r>
        <w:rPr>
          <w:rStyle w:val="NormalTok"/>
        </w:rPr>
        <w:t xml:space="preserve">(</w:t>
      </w:r>
      <w:r>
        <w:rPr>
          <w:rStyle w:val="StringTok"/>
        </w:rPr>
        <w:t xml:space="preserve">"kWh"</w:t>
      </w:r>
      <w:r>
        <w:rPr>
          <w:rStyle w:val="NormalTok"/>
        </w:rPr>
        <w:t xml:space="preserve">,</w:t>
      </w:r>
      <w:r>
        <w:rPr>
          <w:rStyle w:val="StringTok"/>
        </w:rPr>
        <w:t xml:space="preserve">"Percentage"</w:t>
      </w:r>
      <w:r>
        <w:rPr>
          <w:rStyle w:val="NormalTok"/>
        </w:rPr>
        <w:t xml:space="preserve">,</w:t>
      </w:r>
      <w:r>
        <w:rPr>
          <w:rStyle w:val="StringTok"/>
        </w:rPr>
        <w:t xml:space="preserve">"USD"</w:t>
      </w:r>
      <w:r>
        <w:rPr>
          <w:rStyle w:val="NormalTok"/>
        </w:rPr>
        <w:t xml:space="preserve">)))</w:t>
      </w:r>
      <w:r>
        <w:br/>
      </w:r>
      <w:r>
        <w:br/>
      </w:r>
      <w:r>
        <w:rPr>
          <w:rStyle w:val="NormalTok"/>
        </w:rPr>
        <w:t xml:space="preserve">s2_long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"data/s2_processed.rds"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"data/s2_discrep_ids.rds"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"data/s2_grp_outlier_ids.rds"</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refClass =</w:t>
      </w:r>
      <w:r>
        <w:rPr>
          <w:rStyle w:val="NormalTok"/>
        </w:rPr>
        <w:t xml:space="preserve"> </w:t>
      </w:r>
      <w:r>
        <w:rPr>
          <w:rStyle w:val="FunctionTok"/>
        </w:rPr>
        <w:t xml:space="preserve">factor</w:t>
      </w:r>
      <w:r>
        <w:rPr>
          <w:rStyle w:val="NormalTok"/>
        </w:rPr>
        <w:t xml:space="preserve">(refClass, </w:t>
      </w:r>
      <w:r>
        <w:rPr>
          <w:rStyle w:val="AttributeTok"/>
        </w:rPr>
        <w:t xml:space="preserve">levels=</w:t>
      </w:r>
      <w:r>
        <w:rPr>
          <w:rStyle w:val="FunctionTok"/>
        </w:rPr>
        <w:t xml:space="preserve">c</w:t>
      </w:r>
      <w:r>
        <w:rPr>
          <w:rStyle w:val="NormalTok"/>
        </w:rPr>
        <w:t xml:space="preserve">(</w:t>
      </w:r>
      <w:r>
        <w:rPr>
          <w:rStyle w:val="StringTok"/>
        </w:rPr>
        <w:t xml:space="preserve">"kWh"</w:t>
      </w:r>
      <w:r>
        <w:rPr>
          <w:rStyle w:val="NormalTok"/>
        </w:rPr>
        <w:t xml:space="preserve">,</w:t>
      </w:r>
      <w:r>
        <w:rPr>
          <w:rStyle w:val="StringTok"/>
        </w:rPr>
        <w:t xml:space="preserve">"Percentage"</w:t>
      </w:r>
      <w:r>
        <w:rPr>
          <w:rStyle w:val="NormalTok"/>
        </w:rPr>
        <w:t xml:space="preserve">,</w:t>
      </w:r>
      <w:r>
        <w:rPr>
          <w:rStyle w:val="StringTok"/>
        </w:rPr>
        <w:t xml:space="preserve">"USD"</w:t>
      </w:r>
      <w:r>
        <w:rPr>
          <w:rStyle w:val="NormalTok"/>
        </w:rPr>
        <w:t xml:space="preserve">)))</w:t>
      </w:r>
    </w:p>
    <w:p>
      <w:pPr>
        <w:pStyle w:val="SourceCode"/>
      </w:pPr>
      <w:r>
        <w:rPr>
          <w:rStyle w:val="NormalTok"/>
        </w:rPr>
        <w:t xml:space="preserve">s1_agg </w:t>
      </w:r>
      <w:r>
        <w:rPr>
          <w:rStyle w:val="OtherTok"/>
        </w:rPr>
        <w:t xml:space="preserve">&lt;-</w:t>
      </w:r>
      <w:r>
        <w:rPr>
          <w:rStyle w:val="NormalTok"/>
        </w:rPr>
        <w:t xml:space="preserve"> s1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(appliance </w:t>
      </w:r>
      <w:r>
        <w:rPr>
          <w:rStyle w:val="SpecialCharTok"/>
        </w:rPr>
        <w:t xml:space="preserve">!=</w:t>
      </w:r>
      <w:r>
        <w:rPr>
          <w:rStyle w:val="StringTok"/>
        </w:rPr>
        <w:t xml:space="preserve">"Total kWh"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(id,refClass,state,block,plan,edu,pct_goal,calc)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total_kWh =</w:t>
      </w:r>
      <w:r>
        <w:rPr>
          <w:rStyle w:val="NormalTok"/>
        </w:rPr>
        <w:t xml:space="preserve"> </w:t>
      </w:r>
      <w:r>
        <w:rPr>
          <w:rStyle w:val="FunctionTok"/>
        </w:rPr>
        <w:t xml:space="preserve">sum</w:t>
      </w:r>
      <w:r>
        <w:rPr>
          <w:rStyle w:val="NormalTok"/>
        </w:rPr>
        <w:t xml:space="preserve">(value),</w:t>
      </w:r>
      <w:r>
        <w:rPr>
          <w:rStyle w:val="AttributeTok"/>
        </w:rPr>
        <w:t xml:space="preserve">orig_kWh=</w:t>
      </w:r>
      <w:r>
        <w:rPr>
          <w:rStyle w:val="FunctionTok"/>
        </w:rPr>
        <w:t xml:space="preserve">sum</w:t>
      </w:r>
      <w:r>
        <w:rPr>
          <w:rStyle w:val="NormalTok"/>
        </w:rPr>
        <w:t xml:space="preserve">(family), </w:t>
      </w:r>
      <w:r>
        <w:br/>
      </w:r>
      <w:r>
        <w:rPr>
          <w:rStyle w:val="NormalTok"/>
        </w:rPr>
        <w:t xml:space="preserve">                </w:t>
      </w:r>
      <w:r>
        <w:rPr>
          <w:rStyle w:val="AttributeTok"/>
        </w:rPr>
        <w:t xml:space="preserve">pct_change =</w:t>
      </w:r>
      <w:r>
        <w:rPr>
          <w:rStyle w:val="NormalTok"/>
        </w:rPr>
        <w:t xml:space="preserve"> </w:t>
      </w:r>
      <w:r>
        <w:rPr>
          <w:rStyle w:val="FunctionTok"/>
        </w:rPr>
        <w:t xml:space="preserve">abs</w:t>
      </w:r>
      <w:r>
        <w:rPr>
          <w:rStyle w:val="NormalTok"/>
        </w:rPr>
        <w:t xml:space="preserve">(</w:t>
      </w:r>
      <w:r>
        <w:rPr>
          <w:rStyle w:val="FunctionTok"/>
        </w:rPr>
        <w:t xml:space="preserve">round</w:t>
      </w:r>
      <w:r>
        <w:rPr>
          <w:rStyle w:val="NormalTok"/>
        </w:rPr>
        <w:t xml:space="preserve">((orig_kWh</w:t>
      </w:r>
      <w:r>
        <w:rPr>
          <w:rStyle w:val="SpecialCharTok"/>
        </w:rPr>
        <w:t xml:space="preserve">-</w:t>
      </w:r>
      <w:r>
        <w:rPr>
          <w:rStyle w:val="NormalTok"/>
        </w:rPr>
        <w:t xml:space="preserve">total_kWh)</w:t>
      </w:r>
      <w:r>
        <w:rPr>
          <w:rStyle w:val="SpecialCharTok"/>
        </w:rPr>
        <w:t xml:space="preserve">/</w:t>
      </w:r>
      <w:r>
        <w:rPr>
          <w:rStyle w:val="NormalTok"/>
        </w:rPr>
        <w:t xml:space="preserve">orig_kWh,</w:t>
      </w:r>
      <w:r>
        <w:rPr>
          <w:rStyle w:val="DecValTok"/>
        </w:rPr>
        <w:t xml:space="preserve">3</w:t>
      </w:r>
      <w:r>
        <w:rPr>
          <w:rStyle w:val="NormalTok"/>
        </w:rPr>
        <w:t xml:space="preserve">)), </w:t>
      </w:r>
      <w:r>
        <w:br/>
      </w:r>
      <w:r>
        <w:rPr>
          <w:rStyle w:val="NormalTok"/>
        </w:rPr>
        <w:t xml:space="preserve">                </w:t>
      </w:r>
      <w:r>
        <w:rPr>
          <w:rStyle w:val="AttributeTok"/>
        </w:rPr>
        <w:t xml:space="preserve">n_change =</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NormalTok"/>
        </w:rPr>
        <w:t xml:space="preserve">family),</w:t>
      </w:r>
      <w:r>
        <w:br/>
      </w:r>
      <w:r>
        <w:rPr>
          <w:rStyle w:val="NormalTok"/>
        </w:rPr>
        <w:t xml:space="preserve">                </w:t>
      </w:r>
      <w:r>
        <w:rPr>
          <w:rStyle w:val="AttributeTok"/>
        </w:rPr>
        <w:t xml:space="preserve">state_p_dif=</w:t>
      </w:r>
      <w:r>
        <w:rPr>
          <w:rStyle w:val="FunctionTok"/>
        </w:rPr>
        <w:t xml:space="preserve">mean</w:t>
      </w:r>
      <w:r>
        <w:rPr>
          <w:rStyle w:val="NormalTok"/>
        </w:rPr>
        <w:t xml:space="preserve">(state_p_dif),</w:t>
      </w:r>
      <w:r>
        <w:br/>
      </w:r>
      <w:r>
        <w:rPr>
          <w:rStyle w:val="NormalTok"/>
        </w:rPr>
        <w:t xml:space="preserve">                </w:t>
      </w:r>
      <w:r>
        <w:rPr>
          <w:rStyle w:val="AttributeTok"/>
        </w:rPr>
        <w:t xml:space="preserve">state_f_dif=</w:t>
      </w:r>
      <w:r>
        <w:rPr>
          <w:rStyle w:val="FunctionTok"/>
        </w:rPr>
        <w:t xml:space="preserve">mean</w:t>
      </w:r>
      <w:r>
        <w:rPr>
          <w:rStyle w:val="NormalTok"/>
        </w:rPr>
        <w:t xml:space="preserve">(state_f_dif),</w:t>
      </w:r>
      <w:r>
        <w:br/>
      </w:r>
      <w:r>
        <w:rPr>
          <w:rStyle w:val="NormalTok"/>
        </w:rPr>
        <w:t xml:space="preserve">                </w:t>
      </w:r>
      <w:r>
        <w:rPr>
          <w:rStyle w:val="AttributeTok"/>
        </w:rPr>
        <w:t xml:space="preserve">n_less_avg =</w:t>
      </w:r>
      <w:r>
        <w:rPr>
          <w:rStyle w:val="NormalTok"/>
        </w:rPr>
        <w:t xml:space="preserve"> </w:t>
      </w:r>
      <w:r>
        <w:rPr>
          <w:rStyle w:val="FunctionTok"/>
        </w:rPr>
        <w:t xml:space="preserve">sum</w:t>
      </w:r>
      <w:r>
        <w:rPr>
          <w:rStyle w:val="NormalTok"/>
        </w:rPr>
        <w:t xml:space="preserve">(less_avg),</w:t>
      </w:r>
      <w:r>
        <w:br/>
      </w:r>
      <w:r>
        <w:rPr>
          <w:rStyle w:val="NormalTok"/>
        </w:rPr>
        <w:t xml:space="preserve">                </w:t>
      </w:r>
      <w:r>
        <w:rPr>
          <w:rStyle w:val="AttributeTok"/>
        </w:rPr>
        <w:t xml:space="preserve">duration=</w:t>
      </w:r>
      <w:r>
        <w:rPr>
          <w:rStyle w:val="FunctionTok"/>
        </w:rPr>
        <w:t xml:space="preserve">first</w:t>
      </w:r>
      <w:r>
        <w:rPr>
          <w:rStyle w:val="NormalTok"/>
        </w:rPr>
        <w:t xml:space="preserve">(duration),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matched_goal =</w:t>
      </w:r>
      <w:r>
        <w:rPr>
          <w:rStyle w:val="NormalTok"/>
        </w:rPr>
        <w:t xml:space="preserve"> (pct_change </w:t>
      </w:r>
      <w:r>
        <w:rPr>
          <w:rStyle w:val="SpecialCharTok"/>
        </w:rPr>
        <w:t xml:space="preserve">==</w:t>
      </w:r>
      <w:r>
        <w:rPr>
          <w:rStyle w:val="NormalTok"/>
        </w:rPr>
        <w:t xml:space="preserve"> pct_goal), </w:t>
      </w:r>
      <w:r>
        <w:br/>
      </w:r>
      <w:r>
        <w:rPr>
          <w:rStyle w:val="NormalTok"/>
        </w:rPr>
        <w:t xml:space="preserve">                </w:t>
      </w:r>
      <w:r>
        <w:rPr>
          <w:rStyle w:val="AttributeTok"/>
        </w:rPr>
        <w:t xml:space="preserve">error =</w:t>
      </w:r>
      <w:r>
        <w:rPr>
          <w:rStyle w:val="NormalTok"/>
        </w:rPr>
        <w:t xml:space="preserve"> pct_change </w:t>
      </w:r>
      <w:r>
        <w:rPr>
          <w:rStyle w:val="SpecialCharTok"/>
        </w:rPr>
        <w:t xml:space="preserve">-</w:t>
      </w:r>
      <w:r>
        <w:rPr>
          <w:rStyle w:val="NormalTok"/>
        </w:rPr>
        <w:t xml:space="preserve"> pct_goal,</w:t>
      </w:r>
      <w:r>
        <w:br/>
      </w:r>
      <w:r>
        <w:rPr>
          <w:rStyle w:val="NormalTok"/>
        </w:rPr>
        <w:t xml:space="preserve">                </w:t>
      </w:r>
      <w:r>
        <w:rPr>
          <w:rStyle w:val="AttributeTok"/>
        </w:rPr>
        <w:t xml:space="preserve">abs_error =</w:t>
      </w:r>
      <w:r>
        <w:rPr>
          <w:rStyle w:val="NormalTok"/>
        </w:rPr>
        <w:t xml:space="preserve"> </w:t>
      </w:r>
      <w:r>
        <w:rPr>
          <w:rStyle w:val="FunctionTok"/>
        </w:rPr>
        <w:t xml:space="preserve">abs</w:t>
      </w:r>
      <w:r>
        <w:rPr>
          <w:rStyle w:val="NormalTok"/>
        </w:rPr>
        <w:t xml:space="preserve">(error),</w:t>
      </w:r>
      <w:r>
        <w:br/>
      </w:r>
      <w:r>
        <w:rPr>
          <w:rStyle w:val="NormalTok"/>
        </w:rPr>
        <w:t xml:space="preserve">                </w:t>
      </w:r>
      <w:r>
        <w:rPr>
          <w:rStyle w:val="AttributeTok"/>
        </w:rPr>
        <w:t xml:space="preserve">log_abs_error=</w:t>
      </w:r>
      <w:r>
        <w:rPr>
          <w:rStyle w:val="FunctionTok"/>
        </w:rPr>
        <w:t xml:space="preserve">log</w:t>
      </w:r>
      <w:r>
        <w:rPr>
          <w:rStyle w:val="NormalTok"/>
        </w:rPr>
        <w:t xml:space="preserve">(</w:t>
      </w:r>
      <w:r>
        <w:rPr>
          <w:rStyle w:val="FunctionTok"/>
        </w:rPr>
        <w:t xml:space="preserve">abs</w:t>
      </w:r>
      <w:r>
        <w:rPr>
          <w:rStyle w:val="NormalTok"/>
        </w:rPr>
        <w:t xml:space="preserve">(error)</w:t>
      </w:r>
      <w:r>
        <w:rPr>
          <w:rStyle w:val="SpecialCharTok"/>
        </w:rPr>
        <w:t xml:space="preserve">+</w:t>
      </w:r>
      <w:r>
        <w:rPr>
          <w:rStyle w:val="NormalTok"/>
        </w:rPr>
        <w:t xml:space="preserve">.</w:t>
      </w:r>
      <w:r>
        <w:rPr>
          <w:rStyle w:val="DecValTok"/>
        </w:rPr>
        <w:t xml:space="preserve">007</w:t>
      </w:r>
      <w:r>
        <w:rPr>
          <w:rStyle w:val="NormalTok"/>
        </w:rPr>
        <w:t xml:space="preserve">), </w:t>
      </w:r>
      <w:r>
        <w:br/>
      </w:r>
      <w:r>
        <w:rPr>
          <w:rStyle w:val="NormalTok"/>
        </w:rPr>
        <w:t xml:space="preserve">                </w:t>
      </w:r>
      <w:r>
        <w:rPr>
          <w:rStyle w:val="AttributeTok"/>
        </w:rPr>
        <w:t xml:space="preserve">close_match =</w:t>
      </w:r>
      <w:r>
        <w:rPr>
          <w:rStyle w:val="NormalTok"/>
        </w:rPr>
        <w:t xml:space="preserve"> 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abs_error </w:t>
      </w:r>
      <w:r>
        <w:rPr>
          <w:rStyle w:val="SpecialCharTok"/>
        </w:rPr>
        <w:t xml:space="preserve">==</w:t>
      </w:r>
      <w:r>
        <w:rPr>
          <w:rStyle w:val="NormalTok"/>
        </w:rPr>
        <w:t xml:space="preserve"> </w:t>
      </w:r>
      <w:r>
        <w:rPr>
          <w:rStyle w:val="FloatTok"/>
        </w:rPr>
        <w:t xml:space="preserve">0.00</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(accuracy_level, </w:t>
      </w:r>
      <w:r>
        <w:rPr>
          <w:rStyle w:val="AttributeTok"/>
        </w:rPr>
        <w:t xml:space="preserve">.after=</w:t>
      </w:r>
      <w:r>
        <w:rPr>
          <w:rStyle w:val="NormalTok"/>
        </w:rPr>
        <w:t xml:space="preserve"> </w:t>
      </w:r>
      <w:r>
        <w:rPr>
          <w:rStyle w:val="StringTok"/>
        </w:rPr>
        <w:t xml:space="preserve">"pct_change"</w:t>
      </w:r>
      <w:r>
        <w:rPr>
          <w:rStyle w:val="NormalTok"/>
        </w:rPr>
        <w:t xml:space="preserve">)</w:t>
      </w:r>
      <w:r>
        <w:br/>
      </w:r>
      <w:r>
        <w:br/>
      </w:r>
      <w:r>
        <w:br/>
      </w:r>
      <w:r>
        <w:br/>
      </w:r>
      <w:r>
        <w:br/>
      </w:r>
      <w:r>
        <w:rPr>
          <w:rStyle w:val="NormalTok"/>
        </w:rPr>
        <w:t xml:space="preserve">s1_agg4 </w:t>
      </w:r>
      <w:r>
        <w:rPr>
          <w:rStyle w:val="OtherTok"/>
        </w:rPr>
        <w:t xml:space="preserve">&lt;-</w:t>
      </w:r>
      <w:r>
        <w:rPr>
          <w:rStyle w:val="NormalTok"/>
        </w:rPr>
        <w:t xml:space="preserve"> s1_agg </w:t>
      </w:r>
      <w:r>
        <w:rPr>
          <w:rStyle w:val="SpecialCharTok"/>
        </w:rPr>
        <w:t xml:space="preserve">|&gt;</w:t>
      </w:r>
      <w:r>
        <w:rPr>
          <w:rStyle w:val="NormalTok"/>
        </w:rPr>
        <w:t xml:space="preserve"> </w:t>
      </w:r>
      <w:r>
        <w:rPr>
          <w:rStyle w:val="FunctionTok"/>
        </w:rPr>
        <w:t xml:space="preserve">group_by</w:t>
      </w:r>
      <w:r>
        <w:rPr>
          <w:rStyle w:val="NormalTok"/>
        </w:rPr>
        <w:t xml:space="preserve">(id,refClass,calc)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n_accuracy =</w:t>
      </w:r>
      <w:r>
        <w:rPr>
          <w:rStyle w:val="NormalTok"/>
        </w:rPr>
        <w:t xml:space="preserve"> </w:t>
      </w:r>
      <w:r>
        <w:rPr>
          <w:rStyle w:val="FunctionTok"/>
        </w:rPr>
        <w:t xml:space="preserve">n_distinct</w:t>
      </w:r>
      <w:r>
        <w:rPr>
          <w:rStyle w:val="NormalTok"/>
        </w:rPr>
        <w:t xml:space="preserve">(accuracy_level))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mg=</w:t>
      </w:r>
      <w:r>
        <w:rPr>
          <w:rStyle w:val="FunctionTok"/>
        </w:rPr>
        <w:t xml:space="preserve">sum</w:t>
      </w:r>
      <w:r>
        <w:rPr>
          <w:rStyle w:val="NormalTok"/>
        </w:rPr>
        <w:t xml:space="preserve">(matched_goal),</w:t>
      </w:r>
      <w:r>
        <w:br/>
      </w:r>
      <w:r>
        <w:rPr>
          <w:rStyle w:val="NormalTok"/>
        </w:rPr>
        <w:t xml:space="preserve">    </w:t>
      </w:r>
      <w:r>
        <w:rPr>
          <w:rStyle w:val="AttributeTok"/>
        </w:rPr>
        <w:t xml:space="preserve">mgc=</w:t>
      </w:r>
      <w:r>
        <w:rPr>
          <w:rStyle w:val="FunctionTok"/>
        </w:rPr>
        <w:t xml:space="preserve">sum</w:t>
      </w:r>
      <w:r>
        <w:rPr>
          <w:rStyle w:val="NormalTok"/>
        </w:rPr>
        <w:t xml:space="preserve">(close_match),</w:t>
      </w:r>
      <w:r>
        <w:br/>
      </w:r>
      <w:r>
        <w:rPr>
          <w:rStyle w:val="NormalTok"/>
        </w:rPr>
        <w:t xml:space="preserve">    </w:t>
      </w:r>
      <w:r>
        <w:rPr>
          <w:rStyle w:val="AttributeTok"/>
        </w:rPr>
        <w:t xml:space="preserve">n=</w:t>
      </w:r>
      <w:r>
        <w:rPr>
          <w:rStyle w:val="FunctionTok"/>
        </w:rPr>
        <w:t xml:space="preserve">n</w:t>
      </w:r>
      <w:r>
        <w:rPr>
          <w:rStyle w:val="NormalTok"/>
        </w:rPr>
        <w:t xml:space="preserve">(), </w:t>
      </w:r>
      <w:r>
        <w:br/>
      </w:r>
      <w:r>
        <w:rPr>
          <w:rStyle w:val="NormalTok"/>
        </w:rPr>
        <w:t xml:space="preserve">    </w:t>
      </w:r>
      <w:r>
        <w:rPr>
          <w:rStyle w:val="AttributeTok"/>
        </w:rPr>
        <w:t xml:space="preserve">pct=</w:t>
      </w:r>
      <w:r>
        <w:rPr>
          <w:rStyle w:val="NormalTok"/>
        </w:rPr>
        <w:t xml:space="preserve">mg</w:t>
      </w:r>
      <w:r>
        <w:rPr>
          <w:rStyle w:val="SpecialCharTok"/>
        </w:rPr>
        <w:t xml:space="preserve">/</w:t>
      </w:r>
      <w:r>
        <w:rPr>
          <w:rStyle w:val="NormalTok"/>
        </w:rPr>
        <w:t xml:space="preserve">n,</w:t>
      </w:r>
      <w:r>
        <w:br/>
      </w:r>
      <w:r>
        <w:rPr>
          <w:rStyle w:val="NormalTok"/>
        </w:rPr>
        <w:t xml:space="preserve">    </w:t>
      </w:r>
      <w:r>
        <w:rPr>
          <w:rStyle w:val="AttributeTok"/>
        </w:rPr>
        <w:t xml:space="preserve">pct_close=</w:t>
      </w:r>
      <w:r>
        <w:rPr>
          <w:rStyle w:val="NormalTok"/>
        </w:rPr>
        <w:t xml:space="preserve">mgc</w:t>
      </w:r>
      <w:r>
        <w:rPr>
          <w:rStyle w:val="SpecialCharTok"/>
        </w:rPr>
        <w:t xml:space="preserve">/</w:t>
      </w:r>
      <w:r>
        <w:rPr>
          <w:rStyle w:val="NormalTok"/>
        </w:rPr>
        <w:t xml:space="preserve">n,</w:t>
      </w:r>
      <w:r>
        <w:br/>
      </w:r>
      <w:r>
        <w:rPr>
          <w:rStyle w:val="NormalTok"/>
        </w:rPr>
        <w:t xml:space="preserve">    </w:t>
      </w:r>
      <w:r>
        <w:rPr>
          <w:rStyle w:val="AttributeTok"/>
        </w:rPr>
        <w:t xml:space="preserve">mean_pct_change=</w:t>
      </w:r>
      <w:r>
        <w:rPr>
          <w:rStyle w:val="FunctionTok"/>
        </w:rPr>
        <w:t xml:space="preserve">mean</w:t>
      </w:r>
      <w:r>
        <w:rPr>
          <w:rStyle w:val="NormalTok"/>
        </w:rPr>
        <w:t xml:space="preserve">(pct_change),</w:t>
      </w:r>
      <w:r>
        <w:br/>
      </w:r>
      <w:r>
        <w:rPr>
          <w:rStyle w:val="NormalTok"/>
        </w:rPr>
        <w:t xml:space="preserve">    </w:t>
      </w:r>
      <w:r>
        <w:rPr>
          <w:rStyle w:val="AttributeTok"/>
        </w:rPr>
        <w:t xml:space="preserve">mean_abs_error=</w:t>
      </w:r>
      <w:r>
        <w:rPr>
          <w:rStyle w:val="FunctionTok"/>
        </w:rPr>
        <w:t xml:space="preserve">mean</w:t>
      </w:r>
      <w:r>
        <w:rPr>
          <w:rStyle w:val="NormalTok"/>
        </w:rPr>
        <w:t xml:space="preserve">(abs_error),</w:t>
      </w:r>
      <w:r>
        <w:br/>
      </w:r>
      <w:r>
        <w:rPr>
          <w:rStyle w:val="NormalTok"/>
        </w:rPr>
        <w:t xml:space="preserve">    </w:t>
      </w:r>
      <w:r>
        <w:rPr>
          <w:rStyle w:val="AttributeTok"/>
        </w:rPr>
        <w:t xml:space="preserve">mean_log_abs_error=</w:t>
      </w:r>
      <w:r>
        <w:rPr>
          <w:rStyle w:val="FunctionTok"/>
        </w:rPr>
        <w:t xml:space="preserve">mean</w:t>
      </w:r>
      <w:r>
        <w:rPr>
          <w:rStyle w:val="NormalTok"/>
        </w:rPr>
        <w:t xml:space="preserve">(log_abs_error))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p>
    <w:p>
      <w:pPr>
        <w:pStyle w:val="SourceCode"/>
      </w:pPr>
      <w:r>
        <w:rPr>
          <w:rStyle w:val="DocumentationTok"/>
        </w:rPr>
        <w:t xml:space="preserve">##| label: tbl-s1-agg</w:t>
      </w:r>
      <w:r>
        <w:br/>
      </w:r>
      <w:r>
        <w:rPr>
          <w:rStyle w:val="DocumentationTok"/>
        </w:rPr>
        <w:t xml:space="preserve">##| tbl-cap: "Study 1: Summary of planning accuracy by reference class. The table shows performance as both the % of trials where participants matched the goal, and the mean absolute error from the target reduction goal."</w:t>
      </w:r>
      <w:r>
        <w:br/>
      </w:r>
      <w:r>
        <w:br/>
      </w:r>
      <w:r>
        <w:rPr>
          <w:rStyle w:val="CommentTok"/>
        </w:rPr>
        <w:t xml:space="preserve"># overall pct of subjects who matched their goal</w:t>
      </w:r>
      <w:r>
        <w:br/>
      </w:r>
      <w:r>
        <w:rPr>
          <w:rStyle w:val="NormalTok"/>
        </w:rPr>
        <w:t xml:space="preserve">s1_agg4 </w:t>
      </w:r>
      <w:r>
        <w:rPr>
          <w:rStyle w:val="SpecialCharTok"/>
        </w:rPr>
        <w:t xml:space="preserve">|&gt;</w:t>
      </w:r>
      <w:r>
        <w:rPr>
          <w:rStyle w:val="NormalTok"/>
        </w:rPr>
        <w:t xml:space="preserve"> </w:t>
      </w:r>
      <w:r>
        <w:rPr>
          <w:rStyle w:val="FunctionTok"/>
        </w:rPr>
        <w:t xml:space="preserve">group_by</w:t>
      </w:r>
      <w:r>
        <w:rPr>
          <w:rStyle w:val="NormalTok"/>
        </w:rPr>
        <w:t xml:space="preserve">(</w:t>
      </w:r>
      <w:r>
        <w:rPr>
          <w:rStyle w:val="StringTok"/>
        </w:rPr>
        <w:t xml:space="preserve">'Reference Class'</w:t>
      </w:r>
      <w:r>
        <w:rPr>
          <w:rStyle w:val="NormalTok"/>
        </w:rPr>
        <w:t xml:space="preserve"> </w:t>
      </w:r>
      <w:r>
        <w:rPr>
          <w:rStyle w:val="OtherTok"/>
        </w:rPr>
        <w:t xml:space="preserve">=</w:t>
      </w:r>
      <w:r>
        <w:rPr>
          <w:rStyle w:val="NormalTok"/>
        </w:rPr>
        <w:t xml:space="preserve"> refClass)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'Avg. % Change'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(mean_pct_change),</w:t>
      </w:r>
      <w:r>
        <w:br/>
      </w:r>
      <w:r>
        <w:rPr>
          <w:rStyle w:val="NormalTok"/>
        </w:rPr>
        <w:t xml:space="preserve">    </w:t>
      </w:r>
      <w:r>
        <w:rPr>
          <w:rStyle w:val="StringTok"/>
        </w:rPr>
        <w:t xml:space="preserve">'% meeting goal (exact)'</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w:t>
      </w:r>
      <w:r>
        <w:br/>
      </w:r>
      <w:r>
        <w:rPr>
          <w:rStyle w:val="NormalTok"/>
        </w:rPr>
        <w:t xml:space="preserve">    </w:t>
      </w:r>
      <w:r>
        <w:rPr>
          <w:rStyle w:val="StringTok"/>
        </w:rPr>
        <w:t xml:space="preserve">'% meeting goal (close match)'</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(pct_close),</w:t>
      </w:r>
      <w:r>
        <w:br/>
      </w:r>
      <w:r>
        <w:rPr>
          <w:rStyle w:val="NormalTok"/>
        </w:rPr>
        <w:t xml:space="preserve">    </w:t>
      </w:r>
      <w:r>
        <w:rPr>
          <w:rStyle w:val="StringTok"/>
        </w:rPr>
        <w:t xml:space="preserve">'Abs.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(mean_abs_error),</w:t>
      </w:r>
      <w:r>
        <w:br/>
      </w:r>
      <w:r>
        <w:rPr>
          <w:rStyle w:val="NormalTok"/>
        </w:rPr>
        <w:t xml:space="preserve">    </w:t>
      </w:r>
      <w:r>
        <w:rPr>
          <w:rStyle w:val="StringTok"/>
        </w:rPr>
        <w:t xml:space="preserve">'Log 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(mean_log_abs_error)),</w:t>
      </w:r>
      <w:r>
        <w:br/>
      </w:r>
      <w:r>
        <w:rPr>
          <w:rStyle w:val="NormalTok"/>
        </w:rPr>
        <w:t xml:space="preserve">    </w:t>
      </w:r>
      <w:r>
        <w:rPr>
          <w:rStyle w:val="CommentTok"/>
        </w:rPr>
        <w:t xml:space="preserve"># sd = sd(pct),</w:t>
      </w:r>
      <w:r>
        <w:br/>
      </w:r>
      <w:r>
        <w:rPr>
          <w:rStyle w:val="NormalTok"/>
        </w:rPr>
        <w:t xml:space="preserve">    </w:t>
      </w:r>
      <w:r>
        <w:rPr>
          <w:rStyle w:val="CommentTok"/>
        </w:rPr>
        <w:t xml:space="preserve"># n = n(),</w:t>
      </w:r>
      <w:r>
        <w:br/>
      </w:r>
      <w:r>
        <w:rPr>
          <w:rStyle w:val="NormalTok"/>
        </w:rPr>
        <w:t xml:space="preserve">    </w:t>
      </w:r>
      <w:r>
        <w:rPr>
          <w:rStyle w:val="CommentTok"/>
        </w:rPr>
        <w:t xml:space="preserve">#se=sd(pct)/sqrt(n)</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\(x)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r>
        <w:br/>
      </w:r>
      <w:r>
        <w:br/>
      </w:r>
      <w:r>
        <w:rPr>
          <w:rStyle w:val="CommentTok"/>
        </w:rPr>
        <w:t xml:space="preserve">#pander::pandoc.table(caption="Study 1: Proportion of participants who matched their goal overall")</w:t>
      </w:r>
    </w:p>
    <w:tbl>
      <w:tblPr>
        <w:tblStyle w:val="Table"/>
        <w:tblW w:type="pct" w:w="5000"/>
        <w:tblLayout w:type="fixed"/>
        <w:tblLook w:firstRow="0" w:lastRow="0" w:firstColumn="0" w:lastColumn="0" w:noHBand="0" w:noVBand="0" w:val="0000"/>
      </w:tblPr>
      <w:tblGrid>
        <w:gridCol w:w="7920"/>
      </w:tblGrid>
      <w:tr>
        <w:tc>
          <w:tcPr/>
          <w:bookmarkStart w:id="30" w:name="tbl-s1-agg"/>
          <w:p>
            <w:pPr>
              <w:jc w:val="center"/>
            </w:pPr>
            <w:pPr>
              <w:jc w:val="start"/>
              <w:spacing w:before="200"/>
              <w:pStyle w:val="ImageCaption"/>
            </w:pPr>
            <w:r>
              <w:t xml:space="preserve">Table 1: Study 1: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jc w:val="center"/>
                  </w:pPr>
                  <w:r>
                    <w:t xml:space="preserve">Reference Class</w:t>
                  </w:r>
                </w:p>
              </w:tc>
              <w:tc>
                <w:tcPr/>
                <w:p>
                  <w:pPr>
                    <w:pStyle w:val="Compact"/>
                    <w:jc w:val="left"/>
                    <w:jc w:val="center"/>
                  </w:pPr>
                  <w:r>
                    <w:t xml:space="preserve">Avg. % Change</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0.22</w:t>
                  </w:r>
                </w:p>
              </w:tc>
              <w:tc>
                <w:tcPr/>
                <w:p>
                  <w:pPr>
                    <w:pStyle w:val="Compact"/>
                    <w:jc w:val="left"/>
                    <w:jc w:val="center"/>
                  </w:pPr>
                  <w:r>
                    <w:t xml:space="preserve">0.38</w:t>
                  </w:r>
                </w:p>
              </w:tc>
              <w:tc>
                <w:tcPr/>
                <w:p>
                  <w:pPr>
                    <w:pStyle w:val="Compact"/>
                    <w:jc w:val="left"/>
                    <w:jc w:val="center"/>
                  </w:pPr>
                  <w:r>
                    <w:t xml:space="preserve">0.54</w:t>
                  </w:r>
                </w:p>
              </w:tc>
              <w:tc>
                <w:tcPr/>
                <w:p>
                  <w:pPr>
                    <w:pStyle w:val="Compact"/>
                    <w:jc w:val="left"/>
                    <w:jc w:val="center"/>
                  </w:pPr>
                  <w:r>
                    <w:t xml:space="preserve">0.03</w:t>
                  </w:r>
                </w:p>
              </w:tc>
              <w:tc>
                <w:tcPr/>
                <w:p>
                  <w:pPr>
                    <w:pStyle w:val="Compact"/>
                    <w:jc w:val="left"/>
                    <w:jc w:val="center"/>
                  </w:pPr>
                  <w:r>
                    <w:t xml:space="preserve">-3.7</w:t>
                  </w:r>
                </w:p>
              </w:tc>
            </w:tr>
            <w:tr>
              <w:tc>
                <w:tcPr/>
                <w:p>
                  <w:pPr>
                    <w:pStyle w:val="Compact"/>
                    <w:jc w:val="left"/>
                    <w:jc w:val="center"/>
                  </w:pPr>
                  <w:r>
                    <w:t xml:space="preserve">Percentage</w:t>
                  </w:r>
                </w:p>
              </w:tc>
              <w:tc>
                <w:tcPr/>
                <w:p>
                  <w:pPr>
                    <w:pStyle w:val="Compact"/>
                    <w:jc w:val="left"/>
                    <w:jc w:val="center"/>
                  </w:pPr>
                  <w:r>
                    <w:t xml:space="preserve">0.21</w:t>
                  </w:r>
                </w:p>
              </w:tc>
              <w:tc>
                <w:tcPr/>
                <w:p>
                  <w:pPr>
                    <w:pStyle w:val="Compact"/>
                    <w:jc w:val="left"/>
                    <w:jc w:val="center"/>
                  </w:pPr>
                  <w:r>
                    <w:t xml:space="preserve">0.22</w:t>
                  </w:r>
                </w:p>
              </w:tc>
              <w:tc>
                <w:tcPr/>
                <w:p>
                  <w:pPr>
                    <w:pStyle w:val="Compact"/>
                    <w:jc w:val="left"/>
                    <w:jc w:val="center"/>
                  </w:pPr>
                  <w:r>
                    <w:t xml:space="preserve">0.40</w:t>
                  </w:r>
                </w:p>
              </w:tc>
              <w:tc>
                <w:tcPr/>
                <w:p>
                  <w:pPr>
                    <w:pStyle w:val="Compact"/>
                    <w:jc w:val="left"/>
                    <w:jc w:val="center"/>
                  </w:pPr>
                  <w:r>
                    <w:t xml:space="preserve">0.06</w:t>
                  </w:r>
                </w:p>
              </w:tc>
              <w:tc>
                <w:tcPr/>
                <w:p>
                  <w:pPr>
                    <w:pStyle w:val="Compact"/>
                    <w:jc w:val="left"/>
                    <w:jc w:val="center"/>
                  </w:pPr>
                  <w:r>
                    <w:t xml:space="preserve">-3.1</w:t>
                  </w:r>
                </w:p>
              </w:tc>
            </w:tr>
            <w:tr>
              <w:tc>
                <w:tcPr/>
                <w:p>
                  <w:pPr>
                    <w:pStyle w:val="Compact"/>
                    <w:jc w:val="left"/>
                    <w:jc w:val="center"/>
                  </w:pPr>
                  <w:r>
                    <w:t xml:space="preserve">USD</w:t>
                  </w:r>
                </w:p>
              </w:tc>
              <w:tc>
                <w:tcPr/>
                <w:p>
                  <w:pPr>
                    <w:pStyle w:val="Compact"/>
                    <w:jc w:val="left"/>
                    <w:jc w:val="center"/>
                  </w:pPr>
                  <w:r>
                    <w:t xml:space="preserve">0.23</w:t>
                  </w:r>
                </w:p>
              </w:tc>
              <w:tc>
                <w:tcPr/>
                <w:p>
                  <w:pPr>
                    <w:pStyle w:val="Compact"/>
                    <w:jc w:val="left"/>
                    <w:jc w:val="center"/>
                  </w:pPr>
                  <w:r>
                    <w:t xml:space="preserve">0.10</w:t>
                  </w:r>
                </w:p>
              </w:tc>
              <w:tc>
                <w:tcPr/>
                <w:p>
                  <w:pPr>
                    <w:pStyle w:val="Compact"/>
                    <w:jc w:val="left"/>
                    <w:jc w:val="center"/>
                  </w:pPr>
                  <w:r>
                    <w:t xml:space="preserve">0.22</w:t>
                  </w:r>
                </w:p>
              </w:tc>
              <w:tc>
                <w:tcPr/>
                <w:p>
                  <w:pPr>
                    <w:pStyle w:val="Compact"/>
                    <w:jc w:val="left"/>
                    <w:jc w:val="center"/>
                  </w:pPr>
                  <w:r>
                    <w:t xml:space="preserve">0.10</w:t>
                  </w:r>
                </w:p>
              </w:tc>
              <w:tc>
                <w:tcPr/>
                <w:p>
                  <w:pPr>
                    <w:pStyle w:val="Compact"/>
                    <w:jc w:val="left"/>
                    <w:jc w:val="center"/>
                  </w:pPr>
                  <w:r>
                    <w:t xml:space="preserve">-2.4</w:t>
                  </w:r>
                </w:p>
              </w:tc>
            </w:tr>
          </w:tbl>
          <w:bookmarkEnd w:id="30"/>
          <w:p/>
        </w:tc>
      </w:tr>
    </w:tbl>
    <w:p>
      <w:pPr>
        <w:pStyle w:val="BodyText"/>
      </w:pPr>
      <w:hyperlink w:anchor="tbl-s1-agg">
        <w:r>
          <w:rPr>
            <w:rStyle w:val="Hyperlink"/>
          </w:rPr>
          <w:t xml:space="preserve">Table 1</w:t>
        </w:r>
      </w:hyperlink>
      <w:r>
        <w:t xml:space="preserve"> </w:t>
      </w:r>
      <w:r>
        <w:t xml:space="preserve">shows that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p>
      <w:pPr>
        <w:pStyle w:val="SourceCode"/>
      </w:pPr>
      <w:r>
        <w:rPr>
          <w:rStyle w:val="NormalTok"/>
        </w:rPr>
        <w:t xml:space="preserve">s1_ld </w:t>
      </w:r>
      <w:r>
        <w:rPr>
          <w:rStyle w:val="OtherTok"/>
        </w:rPr>
        <w:t xml:space="preserve">&lt;-</w:t>
      </w:r>
      <w:r>
        <w:rPr>
          <w:rStyle w:val="NormalTok"/>
        </w:rPr>
        <w:t xml:space="preserve"> </w:t>
      </w:r>
      <w:r>
        <w:rPr>
          <w:rStyle w:val="FunctionTok"/>
        </w:rPr>
        <w:t xml:space="preserve">ggplot</w:t>
      </w:r>
      <w:r>
        <w:rPr>
          <w:rStyle w:val="NormalTok"/>
        </w:rPr>
        <w:t xml:space="preserve">(s1_agg,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refClass))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refClass),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#scale_y_discrete(expand = expansion(mult = c(0.2, 0.4))) +</w:t>
      </w:r>
      <w:r>
        <w:br/>
      </w:r>
      <w:r>
        <w:rPr>
          <w:rStyle w:val="NormalTok"/>
        </w:rPr>
        <w:t xml:space="preserve"> </w:t>
      </w:r>
      <w:r>
        <w:rPr>
          <w:rStyle w:val="CommentTok"/>
        </w:rPr>
        <w:t xml:space="preserve"># guides(fill = "none", color = guide_legend(reverse = TRUE))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"Reference Class"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br/>
      </w:r>
      <w:r>
        <w:rPr>
          <w:rStyle w:val="NormalTok"/>
        </w:rPr>
        <w:t xml:space="preserve">s1_ldc </w:t>
      </w:r>
      <w:r>
        <w:rPr>
          <w:rStyle w:val="OtherTok"/>
        </w:rPr>
        <w:t xml:space="preserve">&lt;-</w:t>
      </w:r>
      <w:r>
        <w:rPr>
          <w:rStyle w:val="NormalTok"/>
        </w:rPr>
        <w:t xml:space="preserve"> </w:t>
      </w:r>
      <w:r>
        <w:rPr>
          <w:rStyle w:val="FunctionTok"/>
        </w:rPr>
        <w:t xml:space="preserve">ggplot</w:t>
      </w:r>
      <w:r>
        <w:rPr>
          <w:rStyle w:val="NormalTok"/>
        </w:rPr>
        <w:t xml:space="preserve">(s1_agg,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calc))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calc),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 </w:t>
      </w:r>
      <w:r>
        <w:rPr>
          <w:rStyle w:val="AttributeTok"/>
        </w:rPr>
        <w:t xml:space="preserve">point_size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NormalTok"/>
        </w:rPr>
        <w:t xml:space="preserve">s1_ld </w:t>
      </w:r>
      <w:r>
        <w:rPr>
          <w:rStyle w:val="SpecialCharTok"/>
        </w:rPr>
        <w:t xml:space="preserve">|</w:t>
      </w:r>
      <w:r>
        <w:rPr>
          <w:rStyle w:val="NormalTok"/>
        </w:rPr>
        <w:t xml:space="preserve"> s1_ldc</w:t>
      </w:r>
    </w:p>
    <w:tbl>
      <w:tblPr>
        <w:tblStyle w:val="Table"/>
        <w:tblW w:type="pct" w:w="5000"/>
        <w:tblLayout w:type="fixed"/>
        <w:tblLook w:firstRow="0" w:lastRow="0" w:firstColumn="0" w:lastColumn="0" w:noHBand="0" w:noVBand="0" w:val="0000"/>
      </w:tblPr>
      <w:tblGrid>
        <w:gridCol w:w="7920"/>
      </w:tblGrid>
      <w:tr>
        <w:tc>
          <w:tcPr/>
          <w:bookmarkStart w:id="34" w:name="fig-s1-log-dist"/>
          <w:p>
            <w:pPr>
              <w:pStyle w:val="Compact"/>
              <w:jc w:val="center"/>
            </w:pPr>
            <w:r>
              <w:drawing>
                <wp:inline>
                  <wp:extent cx="5334000" cy="3879272"/>
                  <wp:effectExtent b="0" l="0" r="0" t="0"/>
                  <wp:docPr descr="" title="" id="32" name="Picture"/>
                  <a:graphic>
                    <a:graphicData uri="http://schemas.openxmlformats.org/drawingml/2006/picture">
                      <pic:pic>
                        <pic:nvPicPr>
                          <pic:cNvPr descr="manuscript_files/figure-docx/fig-s1-log-dist-1.png" id="33" name="Picture"/>
                          <pic:cNvPicPr>
                            <a:picLocks noChangeArrowheads="1" noChangeAspect="1"/>
                          </pic:cNvPicPr>
                        </pic:nvPicPr>
                        <pic:blipFill>
                          <a:blip r:embed="rId31"/>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Experiment 1: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bookmarkEnd w:id="34"/>
        </w:tc>
      </w:tr>
    </w:tbl>
    <w:p>
      <w:pPr>
        <w:pStyle w:val="SourceCode"/>
      </w:pPr>
      <w:r>
        <w:rPr>
          <w:rStyle w:val="CommentTok"/>
        </w:rPr>
        <w:t xml:space="preserve"># compute percentage of subjects per accuracy level per group</w:t>
      </w:r>
      <w:r>
        <w:br/>
      </w:r>
      <w:r>
        <w:rPr>
          <w:rStyle w:val="NormalTok"/>
        </w:rPr>
        <w:t xml:space="preserve">observed_props_s1 </w:t>
      </w:r>
      <w:r>
        <w:rPr>
          <w:rStyle w:val="OtherTok"/>
        </w:rPr>
        <w:t xml:space="preserve">&lt;-</w:t>
      </w:r>
      <w:r>
        <w:rPr>
          <w:rStyle w:val="NormalTok"/>
        </w:rPr>
        <w:t xml:space="preserve"> s1_agg </w:t>
      </w:r>
      <w:r>
        <w:rPr>
          <w:rStyle w:val="SpecialCharTok"/>
        </w:rPr>
        <w:t xml:space="preserve">|&gt;</w:t>
      </w:r>
      <w:r>
        <w:br/>
      </w:r>
      <w:r>
        <w:rPr>
          <w:rStyle w:val="NormalTok"/>
        </w:rPr>
        <w:t xml:space="preserve">  </w:t>
      </w:r>
      <w:r>
        <w:rPr>
          <w:rStyle w:val="FunctionTok"/>
        </w:rPr>
        <w:t xml:space="preserve">group_by</w:t>
      </w:r>
      <w:r>
        <w:rPr>
          <w:rStyle w:val="NormalTok"/>
        </w:rPr>
        <w:t xml:space="preserve">(refClass, accuracy_level)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(refClass)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n_prop=</w:t>
      </w:r>
      <w:r>
        <w:rPr>
          <w:rStyle w:val="FunctionTok"/>
        </w:rPr>
        <w:t xml:space="preserve">paste0</w:t>
      </w:r>
      <w:r>
        <w:rPr>
          <w:rStyle w:val="NormalTok"/>
        </w:rPr>
        <w:t xml:space="preserve">(n,</w:t>
      </w:r>
      <w:r>
        <w:rPr>
          <w:rStyle w:val="StringTok"/>
        </w:rPr>
        <w:t xml:space="preserve">" ("</w:t>
      </w:r>
      <w:r>
        <w:rPr>
          <w:rStyle w:val="NormalTok"/>
        </w:rPr>
        <w:t xml:space="preserve">,</w:t>
      </w:r>
      <w:r>
        <w:rPr>
          <w:rStyle w:val="FunctionTok"/>
        </w:rPr>
        <w:t xml:space="preserve">round</w:t>
      </w:r>
      <w:r>
        <w:rPr>
          <w:rStyle w:val="NormalTok"/>
        </w:rPr>
        <w:t xml:space="preserve">(prop</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 </w:t>
      </w:r>
      <w:r>
        <w:rPr>
          <w:rStyle w:val="AttributeTok"/>
        </w:rPr>
        <w:t xml:space="preserve">pct_grp=</w:t>
      </w:r>
      <w:r>
        <w:rPr>
          <w:rStyle w:val="FunctionTok"/>
        </w:rPr>
        <w:t xml:space="preserve">paste0</w:t>
      </w:r>
      <w:r>
        <w:rPr>
          <w:rStyle w:val="NormalTok"/>
        </w:rPr>
        <w:t xml:space="preserve">(</w:t>
      </w:r>
      <w:r>
        <w:rPr>
          <w:rStyle w:val="FunctionTok"/>
        </w:rPr>
        <w:t xml:space="preserve">round</w:t>
      </w:r>
      <w:r>
        <w:rPr>
          <w:rStyle w:val="NormalTok"/>
        </w:rPr>
        <w:t xml:space="preserve">(prop</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br/>
      </w:r>
      <w:r>
        <w:rPr>
          <w:rStyle w:val="NormalTok"/>
        </w:rPr>
        <w:t xml:space="preserve">observed_props_s1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n_total=</w:t>
      </w:r>
      <w:r>
        <w:rPr>
          <w:rStyle w:val="FunctionTok"/>
        </w:rPr>
        <w:t xml:space="preserve">sum</w:t>
      </w:r>
      <w:r>
        <w:rPr>
          <w:rStyle w:val="NormalTok"/>
        </w:rPr>
        <w:t xml:space="preserve">(n)</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(accuracy_level)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ns=</w:t>
      </w:r>
      <w:r>
        <w:rPr>
          <w:rStyle w:val="FunctionTok"/>
        </w:rPr>
        <w:t xml:space="preserve">sum</w:t>
      </w:r>
      <w:r>
        <w:rPr>
          <w:rStyle w:val="NormalTok"/>
        </w:rPr>
        <w:t xml:space="preserve">(n)</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(ns</w:t>
      </w:r>
      <w:r>
        <w:rPr>
          <w:rStyle w:val="SpecialCharTok"/>
        </w:rPr>
        <w:t xml:space="preserve">/</w:t>
      </w:r>
      <w:r>
        <w:rPr>
          <w:rStyle w:val="NormalTok"/>
        </w:rPr>
        <w:t xml:space="preserve">n_total</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'Reference Class'</w:t>
      </w:r>
      <w:r>
        <w:rPr>
          <w:rStyle w:val="OtherTok"/>
        </w:rPr>
        <w:t xml:space="preserve">=</w:t>
      </w:r>
      <w:r>
        <w:rPr>
          <w:rStyle w:val="NormalTok"/>
        </w:rPr>
        <w:t xml:space="preserve">refClass, </w:t>
      </w:r>
      <w:r>
        <w:rPr>
          <w:rStyle w:val="StringTok"/>
        </w:rPr>
        <w:t xml:space="preserve">'Accuracy Level'</w:t>
      </w:r>
      <w:r>
        <w:rPr>
          <w:rStyle w:val="OtherTok"/>
        </w:rPr>
        <w:t xml:space="preserve">=</w:t>
      </w:r>
      <w:r>
        <w:rPr>
          <w:rStyle w:val="NormalTok"/>
        </w:rPr>
        <w:t xml:space="preserve">accuracy_level, </w:t>
      </w:r>
      <w:r>
        <w:rPr>
          <w:rStyle w:val="StringTok"/>
        </w:rPr>
        <w:t xml:space="preserve">'% in Group'</w:t>
      </w:r>
      <w:r>
        <w:rPr>
          <w:rStyle w:val="OtherTok"/>
        </w:rPr>
        <w:t xml:space="preserve">=</w:t>
      </w:r>
      <w:r>
        <w:rPr>
          <w:rStyle w:val="NormalTok"/>
        </w:rPr>
        <w:t xml:space="preserve">pct_grp, </w:t>
      </w:r>
      <w:r>
        <w:rPr>
          <w:rStyle w:val="StringTok"/>
        </w:rPr>
        <w:t xml:space="preserve">"Combined Groups %"</w:t>
      </w:r>
      <w:r>
        <w:rPr>
          <w:rStyle w:val="NormalTok"/>
        </w:rPr>
        <w:t xml:space="preserve"> </w:t>
      </w:r>
      <w:r>
        <w:rPr>
          <w:rStyle w:val="OtherTok"/>
        </w:rPr>
        <w:t xml:space="preserve">=</w:t>
      </w:r>
      <w:r>
        <w:rPr>
          <w:rStyle w:val="NormalTok"/>
        </w:rPr>
        <w:t xml:space="preserve">Total)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w:t>
      </w:r>
      <w:r>
        <w:rPr>
          <w:rStyle w:val="StringTok"/>
        </w:rPr>
        <w:t xml:space="preserve">'Reference Class'</w:t>
      </w:r>
      <w:r>
        <w:rPr>
          <w:rStyle w:val="NormalTok"/>
        </w:rPr>
        <w:t xml:space="preserve">,</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w:t>
      </w:r>
      <w:r>
        <w:rPr>
          <w:rStyle w:val="StringTok"/>
        </w:rPr>
        <w:t xml:space="preserve">'% in Group'</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rPr>
          <w:rStyle w:val="StringTok"/>
        </w:rPr>
        <w:t xml:space="preserve">"Combined Groups %"</w:t>
      </w:r>
      <w:r>
        <w:rPr>
          <w:rStyle w:val="NormalTok"/>
        </w:rPr>
        <w:t xml:space="preserve"> , </w:t>
      </w:r>
      <w:r>
        <w:rPr>
          <w:rStyle w:val="AttributeTok"/>
        </w:rPr>
        <w:t xml:space="preserve">.after=</w:t>
      </w:r>
      <w:r>
        <w:rPr>
          <w:rStyle w:val="FunctionTok"/>
        </w:rPr>
        <w:t xml:space="preserve">last_col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35" w:name="tbl-s1-prop"/>
          <w:p>
            <w:pPr>
              <w:jc w:val="center"/>
            </w:pPr>
            <w:pPr>
              <w:jc w:val="start"/>
              <w:spacing w:before="200"/>
              <w:pStyle w:val="ImageCaption"/>
            </w:pPr>
            <w:r>
              <w:t xml:space="preserve">Table 2: Study 1: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38.5%</w:t>
                  </w:r>
                </w:p>
              </w:tc>
              <w:tc>
                <w:tcPr/>
                <w:p>
                  <w:pPr>
                    <w:pStyle w:val="Compact"/>
                    <w:jc w:val="left"/>
                    <w:jc w:val="center"/>
                  </w:pPr>
                  <w:r>
                    <w:t xml:space="preserve">22.4%</w:t>
                  </w:r>
                </w:p>
              </w:tc>
              <w:tc>
                <w:tcPr/>
                <w:p>
                  <w:pPr>
                    <w:pStyle w:val="Compact"/>
                    <w:jc w:val="left"/>
                    <w:jc w:val="center"/>
                  </w:pPr>
                  <w:r>
                    <w:t xml:space="preserve">10.2%</w:t>
                  </w:r>
                </w:p>
              </w:tc>
              <w:tc>
                <w:tcPr/>
                <w:p>
                  <w:pPr>
                    <w:pStyle w:val="Compact"/>
                    <w:jc w:val="left"/>
                    <w:jc w:val="center"/>
                  </w:pPr>
                  <w:r>
                    <w:t xml:space="preserve">23.1%</w:t>
                  </w:r>
                </w:p>
              </w:tc>
            </w:tr>
            <w:tr>
              <w:tc>
                <w:tcPr/>
                <w:p>
                  <w:pPr>
                    <w:pStyle w:val="Compact"/>
                    <w:jc w:val="left"/>
                    <w:jc w:val="center"/>
                  </w:pPr>
                  <w:r>
                    <w:t xml:space="preserve">0.01-5% error</w:t>
                  </w:r>
                </w:p>
              </w:tc>
              <w:tc>
                <w:tcPr/>
                <w:p>
                  <w:pPr>
                    <w:pStyle w:val="Compact"/>
                    <w:jc w:val="left"/>
                    <w:jc w:val="center"/>
                  </w:pPr>
                  <w:r>
                    <w:t xml:space="preserve">22.7%</w:t>
                  </w:r>
                </w:p>
              </w:tc>
              <w:tc>
                <w:tcPr/>
                <w:p>
                  <w:pPr>
                    <w:pStyle w:val="Compact"/>
                    <w:jc w:val="left"/>
                    <w:jc w:val="center"/>
                  </w:pPr>
                  <w:r>
                    <w:t xml:space="preserve">29.5%</w:t>
                  </w:r>
                </w:p>
              </w:tc>
              <w:tc>
                <w:tcPr/>
                <w:p>
                  <w:pPr>
                    <w:pStyle w:val="Compact"/>
                    <w:jc w:val="left"/>
                    <w:jc w:val="center"/>
                  </w:pPr>
                  <w:r>
                    <w:t xml:space="preserve">25%</w:t>
                  </w:r>
                </w:p>
              </w:tc>
              <w:tc>
                <w:tcPr/>
                <w:p>
                  <w:pPr>
                    <w:pStyle w:val="Compact"/>
                    <w:jc w:val="left"/>
                    <w:jc w:val="center"/>
                  </w:pPr>
                  <w:r>
                    <w:t xml:space="preserve">25.5%</w:t>
                  </w:r>
                </w:p>
              </w:tc>
            </w:tr>
            <w:tr>
              <w:tc>
                <w:tcPr/>
                <w:p>
                  <w:pPr>
                    <w:pStyle w:val="Compact"/>
                    <w:jc w:val="left"/>
                    <w:jc w:val="center"/>
                  </w:pPr>
                  <w:r>
                    <w:t xml:space="preserve">Over 5% error</w:t>
                  </w:r>
                </w:p>
              </w:tc>
              <w:tc>
                <w:tcPr/>
                <w:p>
                  <w:pPr>
                    <w:pStyle w:val="Compact"/>
                    <w:jc w:val="left"/>
                    <w:jc w:val="center"/>
                  </w:pPr>
                  <w:r>
                    <w:t xml:space="preserve">38.8%</w:t>
                  </w:r>
                </w:p>
              </w:tc>
              <w:tc>
                <w:tcPr/>
                <w:p>
                  <w:pPr>
                    <w:pStyle w:val="Compact"/>
                    <w:jc w:val="left"/>
                    <w:jc w:val="center"/>
                  </w:pPr>
                  <w:r>
                    <w:t xml:space="preserve">48.1%</w:t>
                  </w:r>
                </w:p>
              </w:tc>
              <w:tc>
                <w:tcPr/>
                <w:p>
                  <w:pPr>
                    <w:pStyle w:val="Compact"/>
                    <w:jc w:val="left"/>
                    <w:jc w:val="center"/>
                  </w:pPr>
                  <w:r>
                    <w:t xml:space="preserve">64.8%</w:t>
                  </w:r>
                </w:p>
              </w:tc>
              <w:tc>
                <w:tcPr/>
                <w:p>
                  <w:pPr>
                    <w:pStyle w:val="Compact"/>
                    <w:jc w:val="left"/>
                    <w:jc w:val="center"/>
                  </w:pPr>
                  <w:r>
                    <w:t xml:space="preserve">51.3%</w:t>
                  </w:r>
                </w:p>
              </w:tc>
            </w:tr>
          </w:tbl>
          <w:bookmarkEnd w:id="35"/>
          <w:p/>
        </w:tc>
      </w:tr>
    </w:tbl>
    <w:p>
      <w:pPr>
        <w:pStyle w:val="BodyText"/>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we specified weakly informative priors for the regression coefficients (normal distributions with mean 0 and standard deviation of 1) and for the cutpoints (normal distributions with a mean of zero and a standard deviation of 4.0). The approach allows us to estimate threshold parameters and regression coefficients that characterize how changes in predictor variables (such as the reference class: kWh, percentage, or USD) relate to probabilities of being in each accuracy category.</w:t>
      </w:r>
    </w:p>
    <w:p>
      <w:pPr>
        <w:pStyle w:val="SourceCode"/>
      </w:pPr>
      <w:r>
        <w:rPr>
          <w:rStyle w:val="DocumentationTok"/>
        </w:rPr>
        <w:t xml:space="preserve">##| label: tbl-s1-ord</w:t>
      </w:r>
      <w:r>
        <w:br/>
      </w:r>
      <w:r>
        <w:rPr>
          <w:rStyle w:val="DocumentationTok"/>
        </w:rPr>
        <w:t xml:space="preserve">##| tbl-cap: "Study 1: Ordinal Regression Model Results."</w:t>
      </w:r>
      <w:r>
        <w:br/>
      </w:r>
      <w:r>
        <w:br/>
      </w:r>
      <w:r>
        <w:br/>
      </w:r>
      <w:r>
        <w:rPr>
          <w:rStyle w:val="NormalTok"/>
        </w:rPr>
        <w:t xml:space="preserve">ordinal_model_s1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accuracy_level </w:t>
      </w:r>
      <w:r>
        <w:rPr>
          <w:rStyle w:val="SpecialCharTok"/>
        </w:rPr>
        <w:t xml:space="preserve">~</w:t>
      </w:r>
      <w:r>
        <w:rPr>
          <w:rStyle w:val="NormalTok"/>
        </w:rPr>
        <w:t xml:space="preserve"> refClass </w:t>
      </w:r>
      <w:r>
        <w:rPr>
          <w:rStyle w:val="SpecialCharTok"/>
        </w:rPr>
        <w:t xml:space="preserve">+</w:t>
      </w:r>
      <w:r>
        <w:rPr>
          <w:rStyle w:val="NormalTok"/>
        </w:rPr>
        <w:t xml:space="preserve">calc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s1_agg,</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4000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0.98</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's1_acc3_add.rds'</w:t>
      </w:r>
      <w:r>
        <w:rPr>
          <w:rStyle w:val="NormalTok"/>
        </w:rPr>
        <w:t xml:space="preserve">)) </w:t>
      </w:r>
      <w:r>
        <w:br/>
      </w:r>
      <w:r>
        <w:rPr>
          <w:rStyle w:val="NormalTok"/>
        </w:rPr>
        <w:t xml:space="preserve">)</w:t>
      </w:r>
      <w:r>
        <w:br/>
      </w:r>
      <w:r>
        <w:br/>
      </w:r>
      <w:r>
        <w:rPr>
          <w:rStyle w:val="NormalTok"/>
        </w:rPr>
        <w:t xml:space="preserve">t1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describe_posterior</w:t>
      </w:r>
      <w:r>
        <w:rPr>
          <w:rStyle w:val="NormalTok"/>
        </w:rPr>
        <w:t xml:space="preserve">(ordinal_model_s1, </w:t>
      </w:r>
      <w:r>
        <w:rPr>
          <w:rStyle w:val="AttributeTok"/>
        </w:rPr>
        <w:t xml:space="preserve">centrality =</w:t>
      </w:r>
      <w:r>
        <w:rPr>
          <w:rStyle w:val="NormalTok"/>
        </w:rPr>
        <w:t xml:space="preserve"> </w:t>
      </w:r>
      <w:r>
        <w:rPr>
          <w:rStyle w:val="StringTok"/>
        </w:rPr>
        <w:t xml:space="preserve">"Mean"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"Parameter"</w:t>
      </w:r>
      <w:r>
        <w:rPr>
          <w:rStyle w:val="NormalTok"/>
        </w:rPr>
        <w:t xml:space="preserve">, </w:t>
      </w:r>
      <w:r>
        <w:rPr>
          <w:rStyle w:val="StringTok"/>
        </w:rPr>
        <w:t xml:space="preserve">"Estimate"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 </w:t>
      </w:r>
      <w:r>
        <w:rPr>
          <w:rStyle w:val="StringTok"/>
        </w:rPr>
        <w:t xml:space="preserve">"pd"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Parameter =</w:t>
      </w:r>
      <w:r>
        <w:rPr>
          <w:rStyle w:val="NormalTok"/>
        </w:rPr>
        <w:t xml:space="preserve"> stringr</w:t>
      </w:r>
      <w:r>
        <w:rPr>
          <w:rStyle w:val="SpecialCharTok"/>
        </w:rPr>
        <w:t xml:space="preserve">::</w:t>
      </w:r>
      <w:r>
        <w:rPr>
          <w:rStyle w:val="FunctionTok"/>
        </w:rPr>
        <w:t xml:space="preserve">str_remove</w:t>
      </w:r>
      <w:r>
        <w:rPr>
          <w:rStyle w:val="NormalTok"/>
        </w:rPr>
        <w:t xml:space="preserve">(Parameter, </w:t>
      </w:r>
      <w:r>
        <w:rPr>
          <w:rStyle w:val="StringTok"/>
        </w:rPr>
        <w:t xml:space="preserve">"b_"</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Get predicted probabilities</w:t>
      </w:r>
      <w:r>
        <w:br/>
      </w:r>
      <w:r>
        <w:rPr>
          <w:rStyle w:val="CommentTok"/>
        </w:rPr>
        <w:t xml:space="preserve"># pred_summary &lt;- ordinal_model_s1 |&gt;</w:t>
      </w:r>
      <w:r>
        <w:br/>
      </w:r>
      <w:r>
        <w:rPr>
          <w:rStyle w:val="CommentTok"/>
        </w:rPr>
        <w:t xml:space="preserve">#     epred_draws(newdata = data.frame(refClass = c("kWh", "Percentage", "USD")),</w:t>
      </w:r>
      <w:r>
        <w:br/>
      </w:r>
      <w:r>
        <w:rPr>
          <w:rStyle w:val="CommentTok"/>
        </w:rPr>
        <w:t xml:space="preserve">#                 ndraws = 1000, re_formula = NA) |&gt;</w:t>
      </w:r>
      <w:r>
        <w:br/>
      </w:r>
      <w:r>
        <w:rPr>
          <w:rStyle w:val="CommentTok"/>
        </w:rPr>
        <w:t xml:space="preserve">#     group_by(refClass, Category=.category) |&gt;</w:t>
      </w:r>
      <w:r>
        <w:br/>
      </w:r>
      <w:r>
        <w:rPr>
          <w:rStyle w:val="CommentTok"/>
        </w:rPr>
        <w:t xml:space="preserve">#     summarise(</w:t>
      </w:r>
      <w:r>
        <w:br/>
      </w:r>
      <w:r>
        <w:rPr>
          <w:rStyle w:val="CommentTok"/>
        </w:rPr>
        <w:t xml:space="preserve">#         mean_prob = mean(.epred),</w:t>
      </w:r>
      <w:r>
        <w:br/>
      </w:r>
      <w:r>
        <w:rPr>
          <w:rStyle w:val="CommentTok"/>
        </w:rPr>
        <w:t xml:space="preserve">#         lower_ci = quantile(.epred, 0.025),</w:t>
      </w:r>
      <w:r>
        <w:br/>
      </w:r>
      <w:r>
        <w:rPr>
          <w:rStyle w:val="CommentTok"/>
        </w:rPr>
        <w:t xml:space="preserve">#         upper_ci = quantile(.epred, 0.975)</w:t>
      </w:r>
      <w:r>
        <w:br/>
      </w:r>
      <w:r>
        <w:rPr>
          <w:rStyle w:val="CommentTok"/>
        </w:rPr>
        <w:t xml:space="preserve">#     )</w:t>
      </w:r>
      <w:r>
        <w:br/>
      </w:r>
      <w:r>
        <w:rPr>
          <w:rStyle w:val="CommentTok"/>
        </w:rPr>
        <w:t xml:space="preserve">#pred_summary |&gt; pander::pandoc.table(caption="Study 1: Predicted probabilities of accuracy")</w:t>
      </w:r>
      <w:r>
        <w:br/>
      </w:r>
      <w:r>
        <w:br/>
      </w:r>
      <w:r>
        <w:rPr>
          <w:rStyle w:val="CommentTok"/>
        </w:rPr>
        <w:t xml:space="preserve">#odds ratios of fixed effects</w:t>
      </w:r>
      <w:r>
        <w:br/>
      </w:r>
      <w:r>
        <w:rPr>
          <w:rStyle w:val="CommentTok"/>
        </w:rPr>
        <w:t xml:space="preserve"># as.data.frame(fixef(ordinal_model_s1)[,-2])|&gt; as.data.frame() %&gt;%</w:t>
      </w:r>
      <w:r>
        <w:br/>
      </w:r>
      <w:r>
        <w:rPr>
          <w:rStyle w:val="CommentTok"/>
        </w:rPr>
        <w:t xml:space="preserve">#     rownames_to_column(var = "Parameter") %&gt;%</w:t>
      </w:r>
      <w:r>
        <w:br/>
      </w:r>
      <w:r>
        <w:rPr>
          <w:rStyle w:val="CommentTok"/>
        </w:rPr>
        <w:t xml:space="preserve">#     mutate(across(where(is.numeric), exp)) |&gt;</w:t>
      </w:r>
      <w:r>
        <w:br/>
      </w:r>
      <w:r>
        <w:rPr>
          <w:rStyle w:val="CommentTok"/>
        </w:rPr>
        <w:t xml:space="preserve">#     filter(!stringr::str_detect(Parameter, "Intercept")) |&gt; </w:t>
      </w:r>
      <w:r>
        <w:br/>
      </w:r>
      <w:r>
        <w:rPr>
          <w:rStyle w:val="CommentTok"/>
        </w:rPr>
        <w:t xml:space="preserve">#     filter(!stringr::str_detect(Parameter, "calc")) |&gt; </w:t>
      </w:r>
      <w:r>
        <w:br/>
      </w:r>
      <w:r>
        <w:rPr>
          <w:rStyle w:val="CommentTok"/>
        </w:rPr>
        <w:t xml:space="preserve">#     # rename columns to |comparison           | odds_ratio| ci_lower| ci_upper|</w:t>
      </w:r>
      <w:r>
        <w:br/>
      </w:r>
      <w:r>
        <w:rPr>
          <w:rStyle w:val="CommentTok"/>
        </w:rPr>
        <w:t xml:space="preserve">#     rename(Comparison = Parameter, odds_ratio = Estimate, ci_lower = Q2.5, ci_upper = Q97.5) |&gt;</w:t>
      </w:r>
      <w:r>
        <w:br/>
      </w:r>
      <w:r>
        <w:rPr>
          <w:rStyle w:val="CommentTok"/>
        </w:rPr>
        <w:t xml:space="preserve">#     # rename levels to Percentage vs kWh; USD vs kWh; </w:t>
      </w:r>
      <w:r>
        <w:br/>
      </w:r>
      <w:r>
        <w:rPr>
          <w:rStyle w:val="CommentTok"/>
        </w:rPr>
        <w:t xml:space="preserve">#     mutate(Comparison = case_when(</w:t>
      </w:r>
      <w:r>
        <w:br/>
      </w:r>
      <w:r>
        <w:rPr>
          <w:rStyle w:val="CommentTok"/>
        </w:rPr>
        <w:t xml:space="preserve">#         str_detect(Comparison, "refClassPercentage") ~ "Percentage vs kWh",</w:t>
      </w:r>
      <w:r>
        <w:br/>
      </w:r>
      <w:r>
        <w:rPr>
          <w:rStyle w:val="CommentTok"/>
        </w:rPr>
        <w:t xml:space="preserve">#         str_detect(Comparison, "refClassUSD") ~ "USD vs kWh",</w:t>
      </w:r>
      <w:r>
        <w:br/>
      </w:r>
      <w:r>
        <w:rPr>
          <w:rStyle w:val="CommentTok"/>
        </w:rPr>
        <w:t xml:space="preserve">#         TRUE ~ Comparison</w:t>
      </w:r>
      <w:r>
        <w:br/>
      </w:r>
      <w:r>
        <w:rPr>
          <w:rStyle w:val="CommentTok"/>
        </w:rPr>
        <w:t xml:space="preserve">#     )) |&gt; kable(escape=FALSE,booktabs=TRUE,align=c("l")) </w:t>
      </w:r>
    </w:p>
    <w:tbl>
      <w:tblPr>
        <w:tblStyle w:val="Table"/>
        <w:tblW w:type="pct" w:w="5000"/>
        <w:tblLayout w:type="fixed"/>
        <w:tblLook w:firstRow="0" w:lastRow="0" w:firstColumn="0" w:lastColumn="0" w:noHBand="0" w:noVBand="0" w:val="0000"/>
      </w:tblPr>
      <w:tblGrid>
        <w:gridCol w:w="7920"/>
      </w:tblGrid>
      <w:tr>
        <w:tc>
          <w:tcPr/>
          <w:bookmarkStart w:id="36" w:name="tbl-s1-reg"/>
          <w:p>
            <w:pPr>
              <w:jc w:val="center"/>
            </w:pPr>
            <w:pPr>
              <w:jc w:val="start"/>
              <w:spacing w:before="200"/>
              <w:pStyle w:val="ImageCaption"/>
            </w:pPr>
            <w:r>
              <w:t xml:space="preserve">Table 3:</w:t>
            </w:r>
            <w:r>
              <w:t xml:space="preserve"> </w:t>
            </w:r>
            <w:r>
              <w:rPr>
                <w:b/>
                <w:bCs/>
              </w:rPr>
              <w:t xml:space="preserve">Experiment 1</w:t>
            </w:r>
            <w:r>
              <w:t xml:space="preserve">: Ordinal Regression results. Ordinal regression results. Positive coefficients for the reference class predictors indicate that those conditions are associated with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-4.21</w:t>
                  </w:r>
                </w:p>
              </w:tc>
              <w:tc>
                <w:tcPr/>
                <w:p>
                  <w:pPr>
                    <w:pStyle w:val="Compact"/>
                    <w:jc w:val="left"/>
                    <w:jc w:val="center"/>
                  </w:pPr>
                  <w:r>
                    <w:t xml:space="preserve">-5.90</w:t>
                  </w:r>
                </w:p>
              </w:tc>
              <w:tc>
                <w:tcPr/>
                <w:p>
                  <w:pPr>
                    <w:pStyle w:val="Compact"/>
                    <w:jc w:val="left"/>
                    <w:jc w:val="center"/>
                  </w:pPr>
                  <w:r>
                    <w:t xml:space="preserve">-2.58</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-0.89</w:t>
                  </w:r>
                </w:p>
              </w:tc>
              <w:tc>
                <w:tcPr/>
                <w:p>
                  <w:pPr>
                    <w:pStyle w:val="Compact"/>
                    <w:jc w:val="left"/>
                    <w:jc w:val="center"/>
                  </w:pPr>
                  <w:r>
                    <w:t xml:space="preserve">-2.49</w:t>
                  </w:r>
                </w:p>
              </w:tc>
              <w:tc>
                <w:tcPr/>
                <w:p>
                  <w:pPr>
                    <w:pStyle w:val="Compact"/>
                    <w:jc w:val="left"/>
                    <w:jc w:val="center"/>
                  </w:pPr>
                  <w:r>
                    <w:t xml:space="preserve">0.71</w:t>
                  </w:r>
                </w:p>
              </w:tc>
              <w:tc>
                <w:tcPr/>
                <w:p>
                  <w:pPr>
                    <w:pStyle w:val="Compact"/>
                    <w:jc w:val="left"/>
                    <w:jc w:val="center"/>
                  </w:pPr>
                  <w:r>
                    <w:t xml:space="preserve">0.87</w:t>
                  </w:r>
                </w:p>
              </w:tc>
            </w:tr>
            <w:tr>
              <w:tc>
                <w:tcPr/>
                <w:p>
                  <w:pPr>
                    <w:pStyle w:val="Compact"/>
                    <w:jc w:val="left"/>
                    <w:jc w:val="center"/>
                  </w:pPr>
                  <w:r>
                    <w:t xml:space="preserve">refClassPercentage</w:t>
                  </w:r>
                </w:p>
              </w:tc>
              <w:tc>
                <w:tcPr/>
                <w:p>
                  <w:pPr>
                    <w:pStyle w:val="Compact"/>
                    <w:jc w:val="left"/>
                    <w:jc w:val="center"/>
                  </w:pPr>
                  <w:r>
                    <w:t xml:space="preserve">1.44</w:t>
                  </w:r>
                </w:p>
              </w:tc>
              <w:tc>
                <w:tcPr/>
                <w:p>
                  <w:pPr>
                    <w:pStyle w:val="Compact"/>
                    <w:jc w:val="left"/>
                    <w:jc w:val="center"/>
                  </w:pPr>
                  <w:r>
                    <w:t xml:space="preserve">0.07</w:t>
                  </w:r>
                </w:p>
              </w:tc>
              <w:tc>
                <w:tcPr/>
                <w:p>
                  <w:pPr>
                    <w:pStyle w:val="Compact"/>
                    <w:jc w:val="left"/>
                    <w:jc w:val="center"/>
                  </w:pPr>
                  <w:r>
                    <w:t xml:space="preserve">2.88</w:t>
                  </w:r>
                </w:p>
              </w:tc>
              <w:tc>
                <w:tcPr/>
                <w:p>
                  <w:pPr>
                    <w:pStyle w:val="Compact"/>
                    <w:jc w:val="left"/>
                    <w:jc w:val="center"/>
                  </w:pPr>
                  <w:r>
                    <w:t xml:space="preserve">0.98</w:t>
                  </w:r>
                </w:p>
              </w:tc>
            </w:tr>
            <w:tr>
              <w:tc>
                <w:tcPr/>
                <w:p>
                  <w:pPr>
                    <w:pStyle w:val="Compact"/>
                    <w:jc w:val="left"/>
                    <w:jc w:val="center"/>
                  </w:pPr>
                  <w:r>
                    <w:t xml:space="preserve">refClassUSD</w:t>
                  </w:r>
                </w:p>
              </w:tc>
              <w:tc>
                <w:tcPr/>
                <w:p>
                  <w:pPr>
                    <w:pStyle w:val="Compact"/>
                    <w:jc w:val="left"/>
                    <w:jc w:val="center"/>
                  </w:pPr>
                  <w:r>
                    <w:t xml:space="preserve">3.13</w:t>
                  </w:r>
                </w:p>
              </w:tc>
              <w:tc>
                <w:tcPr/>
                <w:p>
                  <w:pPr>
                    <w:pStyle w:val="Compact"/>
                    <w:jc w:val="left"/>
                    <w:jc w:val="center"/>
                  </w:pPr>
                  <w:r>
                    <w:t xml:space="preserve">1.81</w:t>
                  </w:r>
                </w:p>
              </w:tc>
              <w:tc>
                <w:tcPr/>
                <w:p>
                  <w:pPr>
                    <w:pStyle w:val="Compact"/>
                    <w:jc w:val="left"/>
                    <w:jc w:val="center"/>
                  </w:pPr>
                  <w:r>
                    <w:t xml:space="preserve">4.50</w:t>
                  </w:r>
                </w:p>
              </w:tc>
              <w:tc>
                <w:tcPr/>
                <w:p>
                  <w:pPr>
                    <w:pStyle w:val="Compact"/>
                    <w:jc w:val="left"/>
                    <w:jc w:val="center"/>
                  </w:pPr>
                  <w:r>
                    <w:t xml:space="preserve">1.00</w:t>
                  </w:r>
                </w:p>
              </w:tc>
            </w:tr>
            <w:tr>
              <w:tc>
                <w:tcPr/>
                <w:p>
                  <w:pPr>
                    <w:pStyle w:val="Compact"/>
                    <w:jc w:val="left"/>
                    <w:jc w:val="center"/>
                  </w:pPr>
                  <w:r>
                    <w:t xml:space="preserve">calcUsedCalculator</w:t>
                  </w:r>
                </w:p>
              </w:tc>
              <w:tc>
                <w:tcPr/>
                <w:p>
                  <w:pPr>
                    <w:pStyle w:val="Compact"/>
                    <w:jc w:val="left"/>
                    <w:jc w:val="center"/>
                  </w:pPr>
                  <w:r>
                    <w:t xml:space="preserve">-3.30</w:t>
                  </w:r>
                </w:p>
              </w:tc>
              <w:tc>
                <w:tcPr/>
                <w:p>
                  <w:pPr>
                    <w:pStyle w:val="Compact"/>
                    <w:jc w:val="left"/>
                    <w:jc w:val="center"/>
                  </w:pPr>
                  <w:r>
                    <w:t xml:space="preserve">-4.80</w:t>
                  </w:r>
                </w:p>
              </w:tc>
              <w:tc>
                <w:tcPr/>
                <w:p>
                  <w:pPr>
                    <w:pStyle w:val="Compact"/>
                    <w:jc w:val="left"/>
                    <w:jc w:val="center"/>
                  </w:pPr>
                  <w:r>
                    <w:t xml:space="preserve">-1.92</w:t>
                  </w:r>
                </w:p>
              </w:tc>
              <w:tc>
                <w:tcPr/>
                <w:p>
                  <w:pPr>
                    <w:pStyle w:val="Compact"/>
                    <w:jc w:val="left"/>
                    <w:jc w:val="center"/>
                  </w:pPr>
                  <w:r>
                    <w:t xml:space="preserve">1.00</w:t>
                  </w:r>
                </w:p>
              </w:tc>
            </w:tr>
          </w:tbl>
          <w:bookmarkEnd w:id="3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7" w:name="tbl-s1-ord"/>
          <w:p>
            <w:pPr>
              <w:jc w:val="center"/>
            </w:pPr>
            <w:pPr>
              <w:jc w:val="start"/>
              <w:spacing w:before="200"/>
              <w:pStyle w:val="ImageCaption"/>
            </w:pPr>
            <w:r>
              <w:t xml:space="preserve">Table 4:</w:t>
            </w:r>
            <w:r>
              <w:t xml:space="preserve"> </w:t>
            </w:r>
            <w:r>
              <w:rPr>
                <w:b/>
                <w:bCs/>
              </w:rPr>
              <w:t xml:space="preserve">Experiment 1</w:t>
            </w:r>
            <w:r>
              <w:t xml:space="preserve">: Odds ratios for group comparisons. Odds ratios greater than 1 indicate increased odds of falling into a worse accuracy category compared to the kWh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4.2</w:t>
                  </w:r>
                </w:p>
              </w:tc>
              <w:tc>
                <w:tcPr/>
                <w:p>
                  <w:pPr>
                    <w:pStyle w:val="Compact"/>
                    <w:jc w:val="left"/>
                    <w:jc w:val="center"/>
                  </w:pPr>
                  <w:r>
                    <w:t xml:space="preserve">1.1</w:t>
                  </w:r>
                </w:p>
              </w:tc>
              <w:tc>
                <w:tcPr/>
                <w:p>
                  <w:pPr>
                    <w:pStyle w:val="Compact"/>
                    <w:jc w:val="left"/>
                    <w:jc w:val="center"/>
                  </w:pPr>
                  <w:r>
                    <w:t xml:space="preserve">18</w:t>
                  </w:r>
                </w:p>
              </w:tc>
            </w:tr>
            <w:tr>
              <w:tc>
                <w:tcPr/>
                <w:p>
                  <w:pPr>
                    <w:pStyle w:val="Compact"/>
                    <w:jc w:val="left"/>
                    <w:jc w:val="center"/>
                  </w:pPr>
                  <w:r>
                    <w:t xml:space="preserve">USD vs kWh</w:t>
                  </w:r>
                </w:p>
              </w:tc>
              <w:tc>
                <w:tcPr/>
                <w:p>
                  <w:pPr>
                    <w:pStyle w:val="Compact"/>
                    <w:jc w:val="left"/>
                    <w:jc w:val="center"/>
                  </w:pPr>
                  <w:r>
                    <w:t xml:space="preserve">22.9</w:t>
                  </w:r>
                </w:p>
              </w:tc>
              <w:tc>
                <w:tcPr/>
                <w:p>
                  <w:pPr>
                    <w:pStyle w:val="Compact"/>
                    <w:jc w:val="left"/>
                    <w:jc w:val="center"/>
                  </w:pPr>
                  <w:r>
                    <w:t xml:space="preserve">6.1</w:t>
                  </w:r>
                </w:p>
              </w:tc>
              <w:tc>
                <w:tcPr/>
                <w:p>
                  <w:pPr>
                    <w:pStyle w:val="Compact"/>
                    <w:jc w:val="left"/>
                    <w:jc w:val="center"/>
                  </w:pPr>
                  <w:r>
                    <w:t xml:space="preserve">90</w:t>
                  </w:r>
                </w:p>
              </w:tc>
            </w:tr>
          </w:tbl>
          <w:bookmarkEnd w:id="37"/>
          <w:p/>
        </w:tc>
      </w:tr>
    </w:tbl>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1.3, 95% CI: 0.01 to 2.66, pd = 0.98) and USD (Estimate = 2.8, 95% CI: 1.52 to 4.04,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15.7), while the Percentage condition also demonstrated increased odds (OR = 3.7)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p>
      <w:pPr>
        <w:pStyle w:val="SourceCode"/>
      </w:pPr>
      <w:r>
        <w:rPr>
          <w:rStyle w:val="FunctionTok"/>
        </w:rPr>
        <w:t xml:space="preserve">pp_check</w:t>
      </w:r>
      <w:r>
        <w:rPr>
          <w:rStyle w:val="NormalTok"/>
        </w:rPr>
        <w:t xml:space="preserve">(ordinal_model_s1, </w:t>
      </w:r>
      <w:r>
        <w:rPr>
          <w:rStyle w:val="AttributeTok"/>
        </w:rPr>
        <w:t xml:space="preserve">type =</w:t>
      </w:r>
      <w:r>
        <w:rPr>
          <w:rStyle w:val="NormalTok"/>
        </w:rPr>
        <w:t xml:space="preserve"> </w:t>
      </w:r>
      <w:r>
        <w:rPr>
          <w:rStyle w:val="StringTok"/>
        </w:rPr>
        <w:t xml:space="preserve">"bars_grouped"</w:t>
      </w:r>
      <w:r>
        <w:rPr>
          <w:rStyle w:val="NormalTok"/>
        </w:rPr>
        <w:t xml:space="preserve">, </w:t>
      </w:r>
      <w:r>
        <w:rPr>
          <w:rStyle w:val="AttributeTok"/>
        </w:rPr>
        <w:t xml:space="preserve">group=</w:t>
      </w:r>
      <w:r>
        <w:rPr>
          <w:rStyle w:val="StringTok"/>
        </w:rPr>
        <w:t xml:space="preserve">"refClass"</w:t>
      </w:r>
      <w:r>
        <w:rPr>
          <w:rStyle w:val="NormalTok"/>
        </w:rPr>
        <w:t xml:space="preserve">, </w:t>
      </w:r>
      <w:r>
        <w:rPr>
          <w:rStyle w:val="AttributeTok"/>
        </w:rPr>
        <w:t xml:space="preserve">fatten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"Response Category"</w:t>
      </w:r>
      <w:r>
        <w:rPr>
          <w:rStyle w:val="NormalTok"/>
        </w:rPr>
        <w:t xml:space="preserve">, </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"Exact"</w:t>
      </w:r>
      <w:r>
        <w:rPr>
          <w:rStyle w:val="NormalTok"/>
        </w:rPr>
        <w:t xml:space="preserve">, </w:t>
      </w:r>
      <w:r>
        <w:rPr>
          <w:rStyle w:val="StringTok"/>
        </w:rPr>
        <w:t xml:space="preserve">"0.01-5%"</w:t>
      </w:r>
      <w:r>
        <w:rPr>
          <w:rStyle w:val="NormalTok"/>
        </w:rPr>
        <w:t xml:space="preserve">, </w:t>
      </w:r>
      <w:r>
        <w:rPr>
          <w:rStyle w:val="StringTok"/>
        </w:rPr>
        <w:t xml:space="preserve">"&gt;5%"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"Posterior Predictive Check by Reference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41" w:name="fig-s1-ppd"/>
          <w:p>
            <w:pPr>
              <w:pStyle w:val="Compact"/>
              <w:jc w:val="center"/>
            </w:pPr>
            <w:r>
              <w:drawing>
                <wp:inline>
                  <wp:extent cx="5334000" cy="4267200"/>
                  <wp:effectExtent b="0" l="0" r="0" t="0"/>
                  <wp:docPr descr="" title="" id="39" name="Picture"/>
                  <a:graphic>
                    <a:graphicData uri="http://schemas.openxmlformats.org/drawingml/2006/picture">
                      <pic:pic>
                        <pic:nvPicPr>
                          <pic:cNvPr descr="manuscript_files/figure-docx/fig-s1-ppd-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Experiment 1: Posterior predictive check for frequency of trials at each accuracy level, faceted by reference class (kWh, Percentage, USD). Bars show observed, dots show model predicted proportions. Better accuracy is indicated by higher proportions in the</w:t>
            </w:r>
            <w:r>
              <w:t xml:space="preserve"> </w:t>
            </w:r>
            <w:r>
              <w:t xml:space="preserve">‘Exact Match’</w:t>
            </w:r>
            <w:r>
              <w:t xml:space="preserve"> </w:t>
            </w:r>
            <w:r>
              <w:t xml:space="preserve">and</w:t>
            </w:r>
            <w:r>
              <w:t xml:space="preserve"> </w:t>
            </w:r>
            <w:r>
              <w:t xml:space="preserve">‘0.01-5% error’</w:t>
            </w:r>
            <w:r>
              <w:t xml:space="preserve"> </w:t>
            </w:r>
            <w:r>
              <w:t xml:space="preserve">categories.</w:t>
            </w:r>
          </w:p>
          <w:bookmarkEnd w:id="41"/>
        </w:tc>
      </w:tr>
    </w:tbl>
    <w:p>
      <w:pPr>
        <w:pStyle w:val="SourceCode"/>
      </w:pPr>
      <w:r>
        <w:rPr>
          <w:rStyle w:val="NormalTok"/>
        </w:rPr>
        <w:t xml:space="preserve">s1_els_log_error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log_abs_error </w:t>
      </w:r>
      <w:r>
        <w:rPr>
          <w:rStyle w:val="SpecialCharTok"/>
        </w:rPr>
        <w:t xml:space="preserve">~</w:t>
      </w:r>
      <w:r>
        <w:rPr>
          <w:rStyle w:val="NormalTok"/>
        </w:rPr>
        <w:t xml:space="preserve"> els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s1_agg,</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0.97</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's1_els_log_error.rds'</w:t>
      </w:r>
      <w:r>
        <w:rPr>
          <w:rStyle w:val="NormalTok"/>
        </w:rPr>
        <w:t xml:space="preserve">)) </w:t>
      </w:r>
      <w:r>
        <w:br/>
      </w:r>
      <w:r>
        <w:rPr>
          <w:rStyle w:val="NormalTok"/>
        </w:rPr>
        <w:t xml:space="preserve">)</w:t>
      </w:r>
      <w:r>
        <w:br/>
      </w:r>
      <w:r>
        <w:br/>
      </w:r>
      <w:r>
        <w:rPr>
          <w:rStyle w:val="CommentTok"/>
        </w:rPr>
        <w:t xml:space="preserve"># summary(s1_els_log_error)</w:t>
      </w:r>
      <w:r>
        <w:br/>
      </w:r>
      <w:r>
        <w:rPr>
          <w:rStyle w:val="CommentTok"/>
        </w:rPr>
        <w:t xml:space="preserve"># conditional_effects(s1_els_log_error)</w:t>
      </w:r>
      <w:r>
        <w:br/>
      </w:r>
      <w:r>
        <w:br/>
      </w:r>
      <w:r>
        <w:br/>
      </w:r>
      <w:r>
        <w:rPr>
          <w:rStyle w:val="CommentTok"/>
        </w:rPr>
        <w:t xml:space="preserve"># Create the conditional effects plot</w:t>
      </w:r>
      <w:r>
        <w:br/>
      </w:r>
      <w:r>
        <w:rPr>
          <w:rStyle w:val="NormalTok"/>
        </w:rPr>
        <w:t xml:space="preserve">conditional_effects_plot </w:t>
      </w:r>
      <w:r>
        <w:rPr>
          <w:rStyle w:val="OtherTok"/>
        </w:rPr>
        <w:t xml:space="preserve">&lt;-</w:t>
      </w:r>
      <w:r>
        <w:rPr>
          <w:rStyle w:val="NormalTok"/>
        </w:rPr>
        <w:t xml:space="preserve"> </w:t>
      </w:r>
      <w:r>
        <w:rPr>
          <w:rStyle w:val="FunctionTok"/>
        </w:rPr>
        <w:t xml:space="preserve">conditional_effects</w:t>
      </w:r>
      <w:r>
        <w:rPr>
          <w:rStyle w:val="NormalTok"/>
        </w:rPr>
        <w:t xml:space="preserve">(s1_els_log_error)</w:t>
      </w:r>
      <w:r>
        <w:br/>
      </w:r>
      <w:r>
        <w:br/>
      </w:r>
      <w:r>
        <w:rPr>
          <w:rStyle w:val="CommentTok"/>
        </w:rPr>
        <w:t xml:space="preserve"># Extract the data for plotting</w:t>
      </w:r>
      <w:r>
        <w:br/>
      </w:r>
      <w:r>
        <w:rPr>
          <w:rStyle w:val="NormalTok"/>
        </w:rPr>
        <w:t xml:space="preserve">plot_data </w:t>
      </w:r>
      <w:r>
        <w:rPr>
          <w:rStyle w:val="OtherTok"/>
        </w:rPr>
        <w:t xml:space="preserve">&lt;-</w:t>
      </w:r>
      <w:r>
        <w:rPr>
          <w:rStyle w:val="NormalTok"/>
        </w:rPr>
        <w:t xml:space="preserve"> conditional_effects_plot[[</w:t>
      </w:r>
      <w:r>
        <w:rPr>
          <w:rStyle w:val="DecValTok"/>
        </w:rPr>
        <w:t xml:space="preserve">1</w:t>
      </w:r>
      <w:r>
        <w:rPr>
          <w:rStyle w:val="NormalTok"/>
        </w:rPr>
        <w:t xml:space="preserve">]]</w:t>
      </w:r>
      <w:r>
        <w:br/>
      </w:r>
      <w:r>
        <w:br/>
      </w:r>
      <w:r>
        <w:rPr>
          <w:rStyle w:val="CommentTok"/>
        </w:rPr>
        <w:t xml:space="preserve"># Create the plot</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els, </w:t>
      </w:r>
      <w:r>
        <w:rPr>
          <w:rStyle w:val="AttributeTok"/>
        </w:rPr>
        <w:t xml:space="preserve">y =</w:t>
      </w:r>
      <w:r>
        <w:rPr>
          <w:rStyle w:val="NormalTok"/>
        </w:rPr>
        <w:t xml:space="preserve"> estimate__))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lower__, </w:t>
      </w:r>
      <w:r>
        <w:rPr>
          <w:rStyle w:val="AttributeTok"/>
        </w:rPr>
        <w:t xml:space="preserve">ymax =</w:t>
      </w:r>
      <w:r>
        <w:rPr>
          <w:rStyle w:val="NormalTok"/>
        </w:rPr>
        <w:t xml:space="preserve"> upper__),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"Energy Literacy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Absolute Error"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"Conditional Effect of Energy Literacy on Log Absolute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5" w:name="fig-s1-els"/>
          <w:p>
            <w:pPr>
              <w:pStyle w:val="Compact"/>
              <w:jc w:val="center"/>
            </w:pPr>
            <w:r>
              <w:drawing>
                <wp:inline>
                  <wp:extent cx="5334000" cy="4267200"/>
                  <wp:effectExtent b="0" l="0" r="0" t="0"/>
                  <wp:docPr descr="" title="" id="43" name="Picture"/>
                  <a:graphic>
                    <a:graphicData uri="http://schemas.openxmlformats.org/drawingml/2006/picture">
                      <pic:pic>
                        <pic:nvPicPr>
                          <pic:cNvPr descr="manuscript_files/figure-docx/fig-s1-el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Experiment 1.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45"/>
        </w:tc>
      </w:tr>
    </w:tbl>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(DeWaters &amp; Powers, 2011)</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46"/>
    <w:bookmarkEnd w:id="47"/>
    <w:bookmarkStart w:id="48"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48"/>
    <w:bookmarkEnd w:id="49"/>
    <w:bookmarkStart w:id="73" w:name="experiment-2"/>
    <w:p>
      <w:pPr>
        <w:pStyle w:val="Heading1"/>
      </w:pPr>
      <w:r>
        <w:t xml:space="preserve">Experiment 2</w:t>
      </w:r>
    </w:p>
    <w:bookmarkStart w:id="50" w:name="methods-1"/>
    <w:p>
      <w:pPr>
        <w:pStyle w:val="Heading2"/>
      </w:pPr>
      <w:r>
        <w:t xml:space="preserve">Methods</w:t>
      </w:r>
    </w:p>
    <w:p>
      <w:pPr>
        <w:pStyle w:val="FirstParagraph"/>
      </w:pPr>
      <w:r>
        <w:t xml:space="preserve">In Experiment 2, We recruited 206 participants from Amazon Mechanical Turk, but data from 10 participants were corrupted due to experimenter error, and six excluded due to deviant behavior, leaving a final sample of 190 participants (102 male; 88 female. Average age = 35.5, SD=9.5)</w:t>
      </w:r>
    </w:p>
    <w:p>
      <w:pPr>
        <w:pStyle w:val="BodyText"/>
      </w:pPr>
      <w:r>
        <w:t xml:space="preserve">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state conditions was counterbalanced across participants. As in Experiment 1, each participant completed the energy reduction planning task for two different family-state scenarios. In the</w:t>
      </w:r>
      <w:r>
        <w:t xml:space="preserve"> </w:t>
      </w:r>
      <w:r>
        <w:t xml:space="preserve">“rounded”</w:t>
      </w:r>
      <w:r>
        <w:t xml:space="preserve"> </w:t>
      </w:r>
      <w:r>
        <w:t xml:space="preserve">condition, both the family’s previous year usage and the state averages were rounded to the nearest whole number.</w:t>
      </w:r>
    </w:p>
    <w:bookmarkEnd w:id="50"/>
    <w:bookmarkStart w:id="71" w:name="results-1"/>
    <w:p>
      <w:pPr>
        <w:pStyle w:val="Heading2"/>
      </w:pPr>
      <w:r>
        <w:t xml:space="preserve">Results</w:t>
      </w:r>
    </w:p>
    <w:p>
      <w:pPr>
        <w:pStyle w:val="SourceCode"/>
      </w:pPr>
      <w:r>
        <w:rPr>
          <w:rStyle w:val="NormalTok"/>
        </w:rPr>
        <w:t xml:space="preserve">s2_agg </w:t>
      </w:r>
      <w:r>
        <w:rPr>
          <w:rStyle w:val="OtherTok"/>
        </w:rPr>
        <w:t xml:space="preserve">&lt;-</w:t>
      </w:r>
      <w:r>
        <w:rPr>
          <w:rStyle w:val="NormalTok"/>
        </w:rPr>
        <w:t xml:space="preserve"> s2_long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(appliance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(id,refClass,calc, state,pct,pct_goal,plan,rounded)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total_kWh =</w:t>
      </w:r>
      <w:r>
        <w:rPr>
          <w:rStyle w:val="NormalTok"/>
        </w:rPr>
        <w:t xml:space="preserve"> </w:t>
      </w:r>
      <w:r>
        <w:rPr>
          <w:rStyle w:val="FunctionTok"/>
        </w:rPr>
        <w:t xml:space="preserve">sum</w:t>
      </w:r>
      <w:r>
        <w:rPr>
          <w:rStyle w:val="NormalTok"/>
        </w:rPr>
        <w:t xml:space="preserve">(value),</w:t>
      </w:r>
      <w:r>
        <w:br/>
      </w:r>
      <w:r>
        <w:rPr>
          <w:rStyle w:val="NormalTok"/>
        </w:rPr>
        <w:t xml:space="preserve">    </w:t>
      </w:r>
      <w:r>
        <w:rPr>
          <w:rStyle w:val="AttributeTok"/>
        </w:rPr>
        <w:t xml:space="preserve">orig_kWh =</w:t>
      </w:r>
      <w:r>
        <w:rPr>
          <w:rStyle w:val="NormalTok"/>
        </w:rPr>
        <w:t xml:space="preserve"> </w:t>
      </w:r>
      <w:r>
        <w:rPr>
          <w:rStyle w:val="FunctionTok"/>
        </w:rPr>
        <w:t xml:space="preserve">sum</w:t>
      </w:r>
      <w:r>
        <w:rPr>
          <w:rStyle w:val="NormalTok"/>
        </w:rPr>
        <w:t xml:space="preserve">(family),</w:t>
      </w:r>
      <w:r>
        <w:br/>
      </w:r>
      <w:r>
        <w:rPr>
          <w:rStyle w:val="NormalTok"/>
        </w:rPr>
        <w:t xml:space="preserve">    </w:t>
      </w:r>
      <w:r>
        <w:rPr>
          <w:rStyle w:val="AttributeTok"/>
        </w:rPr>
        <w:t xml:space="preserve">pct_change =</w:t>
      </w:r>
      <w:r>
        <w:rPr>
          <w:rStyle w:val="NormalTok"/>
        </w:rPr>
        <w:t xml:space="preserve"> </w:t>
      </w:r>
      <w:r>
        <w:rPr>
          <w:rStyle w:val="FunctionTok"/>
        </w:rPr>
        <w:t xml:space="preserve">round</w:t>
      </w:r>
      <w:r>
        <w:rPr>
          <w:rStyle w:val="NormalTok"/>
        </w:rPr>
        <w:t xml:space="preserve">((orig_kWh </w:t>
      </w:r>
      <w:r>
        <w:rPr>
          <w:rStyle w:val="SpecialCharTok"/>
        </w:rPr>
        <w:t xml:space="preserve">-</w:t>
      </w:r>
      <w:r>
        <w:rPr>
          <w:rStyle w:val="NormalTok"/>
        </w:rPr>
        <w:t xml:space="preserve"> total_kWh) </w:t>
      </w:r>
      <w:r>
        <w:rPr>
          <w:rStyle w:val="SpecialCharTok"/>
        </w:rPr>
        <w:t xml:space="preserve">/</w:t>
      </w:r>
      <w:r>
        <w:rPr>
          <w:rStyle w:val="NormalTok"/>
        </w:rPr>
        <w:t xml:space="preserve"> orig_kWh, </w:t>
      </w:r>
      <w:r>
        <w:rPr>
          <w:rStyle w:val="DecValTok"/>
        </w:rPr>
        <w:t xml:space="preserve">3</w:t>
      </w:r>
      <w:r>
        <w:rPr>
          <w:rStyle w:val="NormalTok"/>
        </w:rPr>
        <w:t xml:space="preserve">),</w:t>
      </w:r>
      <w:r>
        <w:br/>
      </w:r>
      <w:r>
        <w:rPr>
          <w:rStyle w:val="NormalTok"/>
        </w:rPr>
        <w:t xml:space="preserve">    </w:t>
      </w:r>
      <w:r>
        <w:rPr>
          <w:rStyle w:val="AttributeTok"/>
        </w:rPr>
        <w:t xml:space="preserve">state_dif =</w:t>
      </w:r>
      <w:r>
        <w:rPr>
          <w:rStyle w:val="NormalTok"/>
        </w:rPr>
        <w:t xml:space="preserve"> </w:t>
      </w:r>
      <w:r>
        <w:rPr>
          <w:rStyle w:val="FunctionTok"/>
        </w:rPr>
        <w:t xml:space="preserve">mean</w:t>
      </w:r>
      <w:r>
        <w:rPr>
          <w:rStyle w:val="NormalTok"/>
        </w:rPr>
        <w:t xml:space="preserve">(state_dif),</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matched_goal =</w:t>
      </w:r>
      <w:r>
        <w:rPr>
          <w:rStyle w:val="NormalTok"/>
        </w:rPr>
        <w:t xml:space="preserve"> (pct_change </w:t>
      </w:r>
      <w:r>
        <w:rPr>
          <w:rStyle w:val="SpecialCharTok"/>
        </w:rPr>
        <w:t xml:space="preserve">==</w:t>
      </w:r>
      <w:r>
        <w:rPr>
          <w:rStyle w:val="NormalTok"/>
        </w:rPr>
        <w:t xml:space="preserve"> pct),</w:t>
      </w:r>
      <w:r>
        <w:br/>
      </w:r>
      <w:r>
        <w:rPr>
          <w:rStyle w:val="NormalTok"/>
        </w:rPr>
        <w:t xml:space="preserve">    </w:t>
      </w:r>
      <w:r>
        <w:rPr>
          <w:rStyle w:val="AttributeTok"/>
        </w:rPr>
        <w:t xml:space="preserve">close_match =</w:t>
      </w:r>
      <w:r>
        <w:rPr>
          <w:rStyle w:val="NormalTok"/>
        </w:rPr>
        <w:t xml:space="preserve"> </w:t>
      </w:r>
      <w:r>
        <w:rPr>
          <w:rStyle w:val="FunctionTok"/>
        </w:rPr>
        <w:t xml:space="preserve">abs</w:t>
      </w:r>
      <w:r>
        <w:rPr>
          <w:rStyle w:val="NormalTok"/>
        </w:rPr>
        <w:t xml:space="preserve">(pct_change </w:t>
      </w:r>
      <w:r>
        <w:rPr>
          <w:rStyle w:val="SpecialCharTok"/>
        </w:rPr>
        <w:t xml:space="preserve">-</w:t>
      </w:r>
      <w:r>
        <w:rPr>
          <w:rStyle w:val="NormalTok"/>
        </w:rPr>
        <w:t xml:space="preserve"> pct) </w:t>
      </w:r>
      <w:r>
        <w:rPr>
          <w:rStyle w:val="SpecialCharTok"/>
        </w:rPr>
        <w:t xml:space="preserve">&lt;=</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error =</w:t>
      </w:r>
      <w:r>
        <w:rPr>
          <w:rStyle w:val="NormalTok"/>
        </w:rPr>
        <w:t xml:space="preserve"> pct_change </w:t>
      </w:r>
      <w:r>
        <w:rPr>
          <w:rStyle w:val="SpecialCharTok"/>
        </w:rPr>
        <w:t xml:space="preserve">-</w:t>
      </w:r>
      <w:r>
        <w:rPr>
          <w:rStyle w:val="NormalTok"/>
        </w:rPr>
        <w:t xml:space="preserve"> pct,</w:t>
      </w:r>
      <w:r>
        <w:br/>
      </w:r>
      <w:r>
        <w:rPr>
          <w:rStyle w:val="NormalTok"/>
        </w:rPr>
        <w:t xml:space="preserve">                </w:t>
      </w:r>
      <w:r>
        <w:rPr>
          <w:rStyle w:val="AttributeTok"/>
        </w:rPr>
        <w:t xml:space="preserve">abs_error =</w:t>
      </w:r>
      <w:r>
        <w:rPr>
          <w:rStyle w:val="NormalTok"/>
        </w:rPr>
        <w:t xml:space="preserve"> </w:t>
      </w:r>
      <w:r>
        <w:rPr>
          <w:rStyle w:val="FunctionTok"/>
        </w:rPr>
        <w:t xml:space="preserve">abs</w:t>
      </w:r>
      <w:r>
        <w:rPr>
          <w:rStyle w:val="NormalTok"/>
        </w:rPr>
        <w:t xml:space="preserve">(error),</w:t>
      </w:r>
      <w:r>
        <w:br/>
      </w:r>
      <w:r>
        <w:rPr>
          <w:rStyle w:val="NormalTok"/>
        </w:rPr>
        <w:t xml:space="preserve">                </w:t>
      </w:r>
      <w:r>
        <w:rPr>
          <w:rStyle w:val="AttributeTok"/>
        </w:rPr>
        <w:t xml:space="preserve">log_abs_error=</w:t>
      </w:r>
      <w:r>
        <w:rPr>
          <w:rStyle w:val="FunctionTok"/>
        </w:rPr>
        <w:t xml:space="preserve">log</w:t>
      </w:r>
      <w:r>
        <w:rPr>
          <w:rStyle w:val="NormalTok"/>
        </w:rPr>
        <w:t xml:space="preserve">(</w:t>
      </w:r>
      <w:r>
        <w:rPr>
          <w:rStyle w:val="FunctionTok"/>
        </w:rPr>
        <w:t xml:space="preserve">abs</w:t>
      </w:r>
      <w:r>
        <w:rPr>
          <w:rStyle w:val="NormalTok"/>
        </w:rPr>
        <w:t xml:space="preserve">(error)</w:t>
      </w:r>
      <w:r>
        <w:rPr>
          <w:rStyle w:val="SpecialCharTok"/>
        </w:rPr>
        <w:t xml:space="preserve">+</w:t>
      </w:r>
      <w:r>
        <w:rPr>
          <w:rStyle w:val="NormalTok"/>
        </w:rPr>
        <w:t xml:space="preserve">.</w:t>
      </w:r>
      <w:r>
        <w:rPr>
          <w:rStyle w:val="DecValTok"/>
        </w:rPr>
        <w:t xml:space="preserve">007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abs_error </w:t>
      </w:r>
      <w:r>
        <w:rPr>
          <w:rStyle w:val="SpecialCharTok"/>
        </w:rPr>
        <w:t xml:space="preserve">==</w:t>
      </w:r>
      <w:r>
        <w:rPr>
          <w:rStyle w:val="NormalTok"/>
        </w:rPr>
        <w:t xml:space="preserve"> </w:t>
      </w:r>
      <w:r>
        <w:rPr>
          <w:rStyle w:val="FloatTok"/>
        </w:rPr>
        <w:t xml:space="preserve">0.00</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w:t>
      </w:r>
      <w:r>
        <w:rPr>
          <w:rStyle w:val="StringTok"/>
        </w:rPr>
        <w:t xml:space="preserve">"0.01-5%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br/>
      </w:r>
      <w:r>
        <w:rPr>
          <w:rStyle w:val="NormalTok"/>
        </w:rPr>
        <w:t xml:space="preserve">s2_agg4 </w:t>
      </w:r>
      <w:r>
        <w:rPr>
          <w:rStyle w:val="OtherTok"/>
        </w:rPr>
        <w:t xml:space="preserve">&lt;-</w:t>
      </w:r>
      <w:r>
        <w:rPr>
          <w:rStyle w:val="NormalTok"/>
        </w:rPr>
        <w:t xml:space="preserve"> s2_agg </w:t>
      </w:r>
      <w:r>
        <w:rPr>
          <w:rStyle w:val="SpecialCharTok"/>
        </w:rPr>
        <w:t xml:space="preserve">|&gt;</w:t>
      </w:r>
      <w:r>
        <w:rPr>
          <w:rStyle w:val="NormalTok"/>
        </w:rPr>
        <w:t xml:space="preserve"> </w:t>
      </w:r>
      <w:r>
        <w:rPr>
          <w:rStyle w:val="FunctionTok"/>
        </w:rPr>
        <w:t xml:space="preserve">group_by</w:t>
      </w:r>
      <w:r>
        <w:rPr>
          <w:rStyle w:val="NormalTok"/>
        </w:rPr>
        <w:t xml:space="preserve">(id,refClass,calc)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n_accuracy =</w:t>
      </w:r>
      <w:r>
        <w:rPr>
          <w:rStyle w:val="NormalTok"/>
        </w:rPr>
        <w:t xml:space="preserve"> </w:t>
      </w:r>
      <w:r>
        <w:rPr>
          <w:rStyle w:val="FunctionTok"/>
        </w:rPr>
        <w:t xml:space="preserve">n_distinct</w:t>
      </w:r>
      <w:r>
        <w:rPr>
          <w:rStyle w:val="NormalTok"/>
        </w:rPr>
        <w:t xml:space="preserve">(accuracy_level))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mg=</w:t>
      </w:r>
      <w:r>
        <w:rPr>
          <w:rStyle w:val="FunctionTok"/>
        </w:rPr>
        <w:t xml:space="preserve">sum</w:t>
      </w:r>
      <w:r>
        <w:rPr>
          <w:rStyle w:val="NormalTok"/>
        </w:rPr>
        <w:t xml:space="preserve">(matched_goal),</w:t>
      </w:r>
      <w:r>
        <w:br/>
      </w:r>
      <w:r>
        <w:rPr>
          <w:rStyle w:val="NormalTok"/>
        </w:rPr>
        <w:t xml:space="preserve">    </w:t>
      </w:r>
      <w:r>
        <w:rPr>
          <w:rStyle w:val="AttributeTok"/>
        </w:rPr>
        <w:t xml:space="preserve">mgc=</w:t>
      </w:r>
      <w:r>
        <w:rPr>
          <w:rStyle w:val="FunctionTok"/>
        </w:rPr>
        <w:t xml:space="preserve">sum</w:t>
      </w:r>
      <w:r>
        <w:rPr>
          <w:rStyle w:val="NormalTok"/>
        </w:rPr>
        <w:t xml:space="preserve">(close_match),</w:t>
      </w:r>
      <w:r>
        <w:br/>
      </w:r>
      <w:r>
        <w:rPr>
          <w:rStyle w:val="NormalTok"/>
        </w:rPr>
        <w:t xml:space="preserve">    </w:t>
      </w:r>
      <w:r>
        <w:rPr>
          <w:rStyle w:val="AttributeTok"/>
        </w:rPr>
        <w:t xml:space="preserve">n=</w:t>
      </w:r>
      <w:r>
        <w:rPr>
          <w:rStyle w:val="FunctionTok"/>
        </w:rPr>
        <w:t xml:space="preserve">n</w:t>
      </w:r>
      <w:r>
        <w:rPr>
          <w:rStyle w:val="NormalTok"/>
        </w:rPr>
        <w:t xml:space="preserve">(), </w:t>
      </w:r>
      <w:r>
        <w:br/>
      </w:r>
      <w:r>
        <w:rPr>
          <w:rStyle w:val="NormalTok"/>
        </w:rPr>
        <w:t xml:space="preserve">    </w:t>
      </w:r>
      <w:r>
        <w:rPr>
          <w:rStyle w:val="AttributeTok"/>
        </w:rPr>
        <w:t xml:space="preserve">pct=</w:t>
      </w:r>
      <w:r>
        <w:rPr>
          <w:rStyle w:val="NormalTok"/>
        </w:rPr>
        <w:t xml:space="preserve">mg</w:t>
      </w:r>
      <w:r>
        <w:rPr>
          <w:rStyle w:val="SpecialCharTok"/>
        </w:rPr>
        <w:t xml:space="preserve">/</w:t>
      </w:r>
      <w:r>
        <w:rPr>
          <w:rStyle w:val="NormalTok"/>
        </w:rPr>
        <w:t xml:space="preserve">n,</w:t>
      </w:r>
      <w:r>
        <w:br/>
      </w:r>
      <w:r>
        <w:rPr>
          <w:rStyle w:val="NormalTok"/>
        </w:rPr>
        <w:t xml:space="preserve">    </w:t>
      </w:r>
      <w:r>
        <w:rPr>
          <w:rStyle w:val="AttributeTok"/>
        </w:rPr>
        <w:t xml:space="preserve">pct_close=</w:t>
      </w:r>
      <w:r>
        <w:rPr>
          <w:rStyle w:val="NormalTok"/>
        </w:rPr>
        <w:t xml:space="preserve">mgc</w:t>
      </w:r>
      <w:r>
        <w:rPr>
          <w:rStyle w:val="SpecialCharTok"/>
        </w:rPr>
        <w:t xml:space="preserve">/</w:t>
      </w:r>
      <w:r>
        <w:rPr>
          <w:rStyle w:val="NormalTok"/>
        </w:rPr>
        <w:t xml:space="preserve">n,</w:t>
      </w:r>
      <w:r>
        <w:br/>
      </w:r>
      <w:r>
        <w:rPr>
          <w:rStyle w:val="NormalTok"/>
        </w:rPr>
        <w:t xml:space="preserve">    </w:t>
      </w:r>
      <w:r>
        <w:rPr>
          <w:rStyle w:val="AttributeTok"/>
        </w:rPr>
        <w:t xml:space="preserve">mean_pct_change=</w:t>
      </w:r>
      <w:r>
        <w:rPr>
          <w:rStyle w:val="FunctionTok"/>
        </w:rPr>
        <w:t xml:space="preserve">mean</w:t>
      </w:r>
      <w:r>
        <w:rPr>
          <w:rStyle w:val="NormalTok"/>
        </w:rPr>
        <w:t xml:space="preserve">(pct_change),</w:t>
      </w:r>
      <w:r>
        <w:br/>
      </w:r>
      <w:r>
        <w:rPr>
          <w:rStyle w:val="NormalTok"/>
        </w:rPr>
        <w:t xml:space="preserve">    </w:t>
      </w:r>
      <w:r>
        <w:rPr>
          <w:rStyle w:val="AttributeTok"/>
        </w:rPr>
        <w:t xml:space="preserve">mean_abs_error=</w:t>
      </w:r>
      <w:r>
        <w:rPr>
          <w:rStyle w:val="FunctionTok"/>
        </w:rPr>
        <w:t xml:space="preserve">mean</w:t>
      </w:r>
      <w:r>
        <w:rPr>
          <w:rStyle w:val="NormalTok"/>
        </w:rPr>
        <w:t xml:space="preserve">(abs_error),</w:t>
      </w:r>
      <w:r>
        <w:br/>
      </w:r>
      <w:r>
        <w:rPr>
          <w:rStyle w:val="NormalTok"/>
        </w:rPr>
        <w:t xml:space="preserve">    </w:t>
      </w:r>
      <w:r>
        <w:rPr>
          <w:rStyle w:val="AttributeTok"/>
        </w:rPr>
        <w:t xml:space="preserve">mean_log_abs_error=</w:t>
      </w:r>
      <w:r>
        <w:rPr>
          <w:rStyle w:val="FunctionTok"/>
        </w:rPr>
        <w:t xml:space="preserve">mean</w:t>
      </w:r>
      <w:r>
        <w:rPr>
          <w:rStyle w:val="NormalTok"/>
        </w:rPr>
        <w:t xml:space="preserve">(log_abs_error))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p>
    <w:p>
      <w:pPr>
        <w:pStyle w:val="SourceCode"/>
      </w:pPr>
      <w:r>
        <w:rPr>
          <w:rStyle w:val="DocumentationTok"/>
        </w:rPr>
        <w:t xml:space="preserve">##| label: tbl-s2-agg</w:t>
      </w:r>
      <w:r>
        <w:br/>
      </w:r>
      <w:r>
        <w:rPr>
          <w:rStyle w:val="DocumentationTok"/>
        </w:rPr>
        <w:t xml:space="preserve">##| tbl-cap: "Study 2: Summary of planning accuracy by reference class. The table shows performance as both the % of trials where participants matched the goal, and the mean absolute error from the target reduction goal."</w:t>
      </w:r>
      <w:r>
        <w:br/>
      </w:r>
      <w:r>
        <w:br/>
      </w:r>
      <w:r>
        <w:br/>
      </w:r>
      <w:r>
        <w:rPr>
          <w:rStyle w:val="CommentTok"/>
        </w:rPr>
        <w:t xml:space="preserve"># overall pct of subjects who matched their goal</w:t>
      </w:r>
      <w:r>
        <w:br/>
      </w:r>
      <w:r>
        <w:rPr>
          <w:rStyle w:val="NormalTok"/>
        </w:rPr>
        <w:t xml:space="preserve">s2_agg4 </w:t>
      </w:r>
      <w:r>
        <w:rPr>
          <w:rStyle w:val="SpecialCharTok"/>
        </w:rPr>
        <w:t xml:space="preserve">|&gt;</w:t>
      </w:r>
      <w:r>
        <w:rPr>
          <w:rStyle w:val="NormalTok"/>
        </w:rPr>
        <w:t xml:space="preserve"> </w:t>
      </w:r>
      <w:r>
        <w:rPr>
          <w:rStyle w:val="FunctionTok"/>
        </w:rPr>
        <w:t xml:space="preserve">group_by</w:t>
      </w:r>
      <w:r>
        <w:rPr>
          <w:rStyle w:val="NormalTok"/>
        </w:rPr>
        <w:t xml:space="preserve">(</w:t>
      </w:r>
      <w:r>
        <w:rPr>
          <w:rStyle w:val="StringTok"/>
        </w:rPr>
        <w:t xml:space="preserve">'Reference Class'</w:t>
      </w:r>
      <w:r>
        <w:rPr>
          <w:rStyle w:val="NormalTok"/>
        </w:rPr>
        <w:t xml:space="preserve"> </w:t>
      </w:r>
      <w:r>
        <w:rPr>
          <w:rStyle w:val="OtherTok"/>
        </w:rPr>
        <w:t xml:space="preserve">=</w:t>
      </w:r>
      <w:r>
        <w:rPr>
          <w:rStyle w:val="NormalTok"/>
        </w:rPr>
        <w:t xml:space="preserve"> refClass)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#'Avg. % Change' = mean(mean_pct_change),</w:t>
      </w:r>
      <w:r>
        <w:br/>
      </w:r>
      <w:r>
        <w:rPr>
          <w:rStyle w:val="NormalTok"/>
        </w:rPr>
        <w:t xml:space="preserve">    </w:t>
      </w:r>
      <w:r>
        <w:rPr>
          <w:rStyle w:val="StringTok"/>
        </w:rPr>
        <w:t xml:space="preserve">'% meeting goal (exact)'</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w:t>
      </w:r>
      <w:r>
        <w:br/>
      </w:r>
      <w:r>
        <w:rPr>
          <w:rStyle w:val="NormalTok"/>
        </w:rPr>
        <w:t xml:space="preserve">    </w:t>
      </w:r>
      <w:r>
        <w:rPr>
          <w:rStyle w:val="StringTok"/>
        </w:rPr>
        <w:t xml:space="preserve">'% meeting goal (close match)'</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(pct_close),</w:t>
      </w:r>
      <w:r>
        <w:br/>
      </w:r>
      <w:r>
        <w:rPr>
          <w:rStyle w:val="NormalTok"/>
        </w:rPr>
        <w:t xml:space="preserve">    </w:t>
      </w:r>
      <w:r>
        <w:rPr>
          <w:rStyle w:val="StringTok"/>
        </w:rPr>
        <w:t xml:space="preserve">'Abs.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(mean_abs_error),</w:t>
      </w:r>
      <w:r>
        <w:br/>
      </w:r>
      <w:r>
        <w:rPr>
          <w:rStyle w:val="NormalTok"/>
        </w:rPr>
        <w:t xml:space="preserve">    </w:t>
      </w:r>
      <w:r>
        <w:rPr>
          <w:rStyle w:val="StringTok"/>
        </w:rPr>
        <w:t xml:space="preserve">'Log 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(mean_log_abs_error)),</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\(x)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51" w:name="tbl-s2-agg"/>
          <w:p>
            <w:pPr>
              <w:jc w:val="center"/>
            </w:pPr>
            <w:pPr>
              <w:jc w:val="start"/>
              <w:spacing w:before="200"/>
              <w:pStyle w:val="ImageCaption"/>
            </w:pPr>
            <w:r>
              <w:t xml:space="preserve">Table 5: Experiment 2: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jc w:val="center"/>
                  </w:pPr>
                  <w:r>
                    <w:t xml:space="preserve">Reference Class</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0.44</w:t>
                  </w:r>
                </w:p>
              </w:tc>
              <w:tc>
                <w:tcPr/>
                <w:p>
                  <w:pPr>
                    <w:pStyle w:val="Compact"/>
                    <w:jc w:val="left"/>
                    <w:jc w:val="center"/>
                  </w:pPr>
                  <w:r>
                    <w:t xml:space="preserve">0.52</w:t>
                  </w:r>
                </w:p>
              </w:tc>
              <w:tc>
                <w:tcPr/>
                <w:p>
                  <w:pPr>
                    <w:pStyle w:val="Compact"/>
                    <w:jc w:val="left"/>
                    <w:jc w:val="center"/>
                  </w:pPr>
                  <w:r>
                    <w:t xml:space="preserve">0.02</w:t>
                  </w:r>
                </w:p>
              </w:tc>
              <w:tc>
                <w:tcPr/>
                <w:p>
                  <w:pPr>
                    <w:pStyle w:val="Compact"/>
                    <w:jc w:val="left"/>
                    <w:jc w:val="center"/>
                  </w:pPr>
                  <w:r>
                    <w:t xml:space="preserve">-3.9</w:t>
                  </w:r>
                </w:p>
              </w:tc>
            </w:tr>
            <w:tr>
              <w:tc>
                <w:tcPr/>
                <w:p>
                  <w:pPr>
                    <w:pStyle w:val="Compact"/>
                    <w:jc w:val="left"/>
                    <w:jc w:val="center"/>
                  </w:pPr>
                  <w:r>
                    <w:t xml:space="preserve">Percentage</w:t>
                  </w:r>
                </w:p>
              </w:tc>
              <w:tc>
                <w:tcPr/>
                <w:p>
                  <w:pPr>
                    <w:pStyle w:val="Compact"/>
                    <w:jc w:val="left"/>
                    <w:jc w:val="center"/>
                  </w:pPr>
                  <w:r>
                    <w:t xml:space="preserve">0.28</w:t>
                  </w:r>
                </w:p>
              </w:tc>
              <w:tc>
                <w:tcPr/>
                <w:p>
                  <w:pPr>
                    <w:pStyle w:val="Compact"/>
                    <w:jc w:val="left"/>
                    <w:jc w:val="center"/>
                  </w:pPr>
                  <w:r>
                    <w:t xml:space="preserve">0.42</w:t>
                  </w:r>
                </w:p>
              </w:tc>
              <w:tc>
                <w:tcPr/>
                <w:p>
                  <w:pPr>
                    <w:pStyle w:val="Compact"/>
                    <w:jc w:val="left"/>
                    <w:jc w:val="center"/>
                  </w:pPr>
                  <w:r>
                    <w:t xml:space="preserve">0.06</w:t>
                  </w:r>
                </w:p>
              </w:tc>
              <w:tc>
                <w:tcPr/>
                <w:p>
                  <w:pPr>
                    <w:pStyle w:val="Compact"/>
                    <w:jc w:val="left"/>
                    <w:jc w:val="center"/>
                  </w:pPr>
                  <w:r>
                    <w:t xml:space="preserve">-3.2</w:t>
                  </w:r>
                </w:p>
              </w:tc>
            </w:tr>
            <w:tr>
              <w:tc>
                <w:tcPr/>
                <w:p>
                  <w:pPr>
                    <w:pStyle w:val="Compact"/>
                    <w:jc w:val="left"/>
                    <w:jc w:val="center"/>
                  </w:pPr>
                  <w:r>
                    <w:t xml:space="preserve">USD</w:t>
                  </w:r>
                </w:p>
              </w:tc>
              <w:tc>
                <w:tcPr/>
                <w:p>
                  <w:pPr>
                    <w:pStyle w:val="Compact"/>
                    <w:jc w:val="left"/>
                    <w:jc w:val="center"/>
                  </w:pPr>
                  <w:r>
                    <w:t xml:space="preserve">0.20</w:t>
                  </w:r>
                </w:p>
              </w:tc>
              <w:tc>
                <w:tcPr/>
                <w:p>
                  <w:pPr>
                    <w:pStyle w:val="Compact"/>
                    <w:jc w:val="left"/>
                    <w:jc w:val="center"/>
                  </w:pPr>
                  <w:r>
                    <w:t xml:space="preserve">0.29</w:t>
                  </w:r>
                </w:p>
              </w:tc>
              <w:tc>
                <w:tcPr/>
                <w:p>
                  <w:pPr>
                    <w:pStyle w:val="Compact"/>
                    <w:jc w:val="left"/>
                    <w:jc w:val="center"/>
                  </w:pPr>
                  <w:r>
                    <w:t xml:space="preserve">0.10</w:t>
                  </w:r>
                </w:p>
              </w:tc>
              <w:tc>
                <w:tcPr/>
                <w:p>
                  <w:pPr>
                    <w:pStyle w:val="Compact"/>
                    <w:jc w:val="left"/>
                    <w:jc w:val="center"/>
                  </w:pPr>
                  <w:r>
                    <w:t xml:space="preserve">-2.4</w:t>
                  </w:r>
                </w:p>
              </w:tc>
            </w:tr>
          </w:tbl>
          <w:bookmarkEnd w:id="51"/>
          <w:p/>
        </w:tc>
      </w:tr>
    </w:tbl>
    <w:p>
      <w:pPr>
        <w:pStyle w:val="SourceCode"/>
      </w:pPr>
      <w:r>
        <w:rPr>
          <w:rStyle w:val="NormalTok"/>
        </w:rPr>
        <w:t xml:space="preserve">s2_ld </w:t>
      </w:r>
      <w:r>
        <w:rPr>
          <w:rStyle w:val="OtherTok"/>
        </w:rPr>
        <w:t xml:space="preserve">&lt;-</w:t>
      </w:r>
      <w:r>
        <w:rPr>
          <w:rStyle w:val="NormalTok"/>
        </w:rPr>
        <w:t xml:space="preserve"> </w:t>
      </w:r>
      <w:r>
        <w:rPr>
          <w:rStyle w:val="FunctionTok"/>
        </w:rPr>
        <w:t xml:space="preserve">ggplot</w:t>
      </w:r>
      <w:r>
        <w:rPr>
          <w:rStyle w:val="NormalTok"/>
        </w:rPr>
        <w:t xml:space="preserve">(s2_agg,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refClass))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refClass),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#scale_y_discrete(expand = expansion(mult = c(0.2, 0.4))) +</w:t>
      </w:r>
      <w:r>
        <w:br/>
      </w:r>
      <w:r>
        <w:rPr>
          <w:rStyle w:val="NormalTok"/>
        </w:rPr>
        <w:t xml:space="preserve"> </w:t>
      </w:r>
      <w:r>
        <w:rPr>
          <w:rStyle w:val="CommentTok"/>
        </w:rPr>
        <w:t xml:space="preserve"># guides(fill = "none", color = guide_legend(reverse = TRUE))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"Reference Class"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br/>
      </w:r>
      <w:r>
        <w:rPr>
          <w:rStyle w:val="NormalTok"/>
        </w:rPr>
        <w:t xml:space="preserve">s2_ldc </w:t>
      </w:r>
      <w:r>
        <w:rPr>
          <w:rStyle w:val="OtherTok"/>
        </w:rPr>
        <w:t xml:space="preserve">&lt;-</w:t>
      </w:r>
      <w:r>
        <w:rPr>
          <w:rStyle w:val="NormalTok"/>
        </w:rPr>
        <w:t xml:space="preserve"> </w:t>
      </w:r>
      <w:r>
        <w:rPr>
          <w:rStyle w:val="FunctionTok"/>
        </w:rPr>
        <w:t xml:space="preserve">ggplot</w:t>
      </w:r>
      <w:r>
        <w:rPr>
          <w:rStyle w:val="NormalTok"/>
        </w:rPr>
        <w:t xml:space="preserve">(s2_agg,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calc))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calc),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NormalTok"/>
        </w:rPr>
        <w:t xml:space="preserve">s2_ld </w:t>
      </w:r>
      <w:r>
        <w:rPr>
          <w:rStyle w:val="SpecialCharTok"/>
        </w:rPr>
        <w:t xml:space="preserve">+</w:t>
      </w:r>
      <w:r>
        <w:rPr>
          <w:rStyle w:val="NormalTok"/>
        </w:rPr>
        <w:t xml:space="preserve"> s2_ldc</w:t>
      </w:r>
    </w:p>
    <w:tbl>
      <w:tblPr>
        <w:tblStyle w:val="Table"/>
        <w:tblW w:type="pct" w:w="5000"/>
        <w:tblLayout w:type="fixed"/>
        <w:tblLook w:firstRow="0" w:lastRow="0" w:firstColumn="0" w:lastColumn="0" w:noHBand="0" w:noVBand="0" w:val="0000"/>
      </w:tblPr>
      <w:tblGrid>
        <w:gridCol w:w="7920"/>
      </w:tblGrid>
      <w:tr>
        <w:tc>
          <w:tcPr/>
          <w:bookmarkStart w:id="55" w:name="fig-s2-log-dist"/>
          <w:p>
            <w:pPr>
              <w:pStyle w:val="Compact"/>
              <w:jc w:val="center"/>
            </w:pPr>
            <w:r>
              <w:drawing>
                <wp:inline>
                  <wp:extent cx="5334000" cy="3879272"/>
                  <wp:effectExtent b="0" l="0" r="0" t="0"/>
                  <wp:docPr descr="" title="" id="53" name="Picture"/>
                  <a:graphic>
                    <a:graphicData uri="http://schemas.openxmlformats.org/drawingml/2006/picture">
                      <pic:pic>
                        <pic:nvPicPr>
                          <pic:cNvPr descr="manuscript_files/figure-docx/fig-s2-log-dist-1.png" id="54" name="Picture"/>
                          <pic:cNvPicPr>
                            <a:picLocks noChangeArrowheads="1" noChangeAspect="1"/>
                          </pic:cNvPicPr>
                        </pic:nvPicPr>
                        <pic:blipFill>
                          <a:blip r:embed="rId52"/>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Experiment 2: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bookmarkEnd w:id="55"/>
        </w:tc>
      </w:tr>
    </w:tbl>
    <w:tbl>
      <w:tblPr>
        <w:tblStyle w:val="Table"/>
        <w:tblW w:type="pct" w:w="5000"/>
        <w:tblLayout w:type="fixed"/>
        <w:tblLook w:firstRow="0" w:lastRow="0" w:firstColumn="0" w:lastColumn="0" w:noHBand="0" w:noVBand="0" w:val="0000"/>
      </w:tblPr>
      <w:tblGrid>
        <w:gridCol w:w="7920"/>
      </w:tblGrid>
      <w:tr>
        <w:tc>
          <w:tcPr/>
          <w:bookmarkStart w:id="56" w:name="tbl-s2-ord"/>
          <w:p>
            <w:pPr>
              <w:jc w:val="center"/>
            </w:pPr>
            <w:pPr>
              <w:jc w:val="start"/>
              <w:spacing w:before="200"/>
              <w:pStyle w:val="ImageCaption"/>
            </w:pPr>
            <w:r>
              <w:t xml:space="preserve">Table 6</w:t>
            </w:r>
          </w:p>
          <w:p>
            <w:pPr>
              <w:pStyle w:val="SourceCode"/>
              <w:jc w:val="center"/>
            </w:pPr>
            <w:r>
              <w:rPr>
                <w:rStyle w:val="DocumentationTok"/>
              </w:rPr>
              <w:t xml:space="preserve">##| tbl-cap: "Study 2: Ordinal Regression Model Results."</w:t>
            </w:r>
            <w:r>
              <w:br/>
            </w:r>
            <w:r>
              <w:br/>
            </w:r>
            <w:r>
              <w:rPr>
                <w:rStyle w:val="NormalTok"/>
              </w:rPr>
              <w:t xml:space="preserve">ordinal_model_s2_logit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accuracy_level </w:t>
            </w:r>
            <w:r>
              <w:rPr>
                <w:rStyle w:val="SpecialCharTok"/>
              </w:rPr>
              <w:t xml:space="preserve">~</w:t>
            </w:r>
            <w:r>
              <w:rPr>
                <w:rStyle w:val="NormalTok"/>
              </w:rPr>
              <w:t xml:space="preserve"> refClass </w:t>
            </w:r>
            <w:r>
              <w:rPr>
                <w:rStyle w:val="SpecialCharTok"/>
              </w:rPr>
              <w:t xml:space="preserve">+</w:t>
            </w:r>
            <w:r>
              <w:rPr>
                <w:rStyle w:val="NormalTok"/>
              </w:rPr>
              <w:t xml:space="preserve"> calc</w:t>
            </w:r>
            <w:r>
              <w:rPr>
                <w:rStyle w:val="SpecialCharTok"/>
              </w:rPr>
              <w:t xml:space="preserve">+</w:t>
            </w:r>
            <w:r>
              <w:rPr>
                <w:rStyle w:val="NormalTok"/>
              </w:rPr>
              <w:t xml:space="preserve">pct_goal</w:t>
            </w:r>
            <w:r>
              <w:rPr>
                <w:rStyle w:val="SpecialCharTok"/>
              </w:rPr>
              <w:t xml:space="preserve">+</w:t>
            </w:r>
            <w:r>
              <w:rPr>
                <w:rStyle w:val="NormalTok"/>
              </w:rPr>
              <w:t xml:space="preserve">rounded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s2_agg,</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0.99</w:t>
            </w:r>
            <w:r>
              <w:rPr>
                <w:rStyle w:val="NormalTok"/>
              </w:rPr>
              <w:t xml:space="preserve">), </w:t>
            </w:r>
            <w:r>
              <w:rPr>
                <w:rStyle w:val="CommentTok"/>
              </w:rPr>
              <w:t xml:space="preserve"># Recommended for ordinal models</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rPr>
                <w:rStyle w:val="CommentTok"/>
              </w:rPr>
              <w:t xml:space="preserve"># Priors for thresholds</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rPr>
                <w:rStyle w:val="CommentTok"/>
              </w:rPr>
              <w:t xml:space="preserve"># Priors for predictors</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's2_acc3_add.rds'</w:t>
            </w:r>
            <w:r>
              <w:rPr>
                <w:rStyle w:val="NormalTok"/>
              </w:rPr>
              <w:t xml:space="preserve">)) </w:t>
            </w:r>
            <w:r>
              <w:rPr>
                <w:rStyle w:val="CommentTok"/>
              </w:rPr>
              <w:t xml:space="preserve"># Cache for efficiency</w:t>
            </w:r>
            <w:r>
              <w:br/>
            </w:r>
            <w:r>
              <w:rPr>
                <w:rStyle w:val="NormalTok"/>
              </w:rPr>
              <w:t xml:space="preserve">)</w:t>
            </w:r>
            <w:r>
              <w:br/>
            </w:r>
            <w:r>
              <w:rPr>
                <w:rStyle w:val="CommentTok"/>
              </w:rPr>
              <w:t xml:space="preserve">#summary(ordinal_model_s2_logit)</w:t>
            </w:r>
            <w:r>
              <w:br/>
            </w:r>
            <w:r>
              <w:br/>
            </w:r>
            <w:r>
              <w:br/>
            </w:r>
            <w:r>
              <w:rPr>
                <w:rStyle w:val="NormalTok"/>
              </w:rPr>
              <w:t xml:space="preserve">t2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describe_posterior</w:t>
            </w:r>
            <w:r>
              <w:rPr>
                <w:rStyle w:val="NormalTok"/>
              </w:rPr>
              <w:t xml:space="preserve">(ordinal_model_s2_logit, </w:t>
            </w:r>
            <w:r>
              <w:rPr>
                <w:rStyle w:val="AttributeTok"/>
              </w:rPr>
              <w:t xml:space="preserve">centrality =</w:t>
            </w:r>
            <w:r>
              <w:rPr>
                <w:rStyle w:val="NormalTok"/>
              </w:rPr>
              <w:t xml:space="preserve"> </w:t>
            </w:r>
            <w:r>
              <w:rPr>
                <w:rStyle w:val="StringTok"/>
              </w:rPr>
              <w:t xml:space="preserve">"Mean"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"Parameter"</w:t>
            </w:r>
            <w:r>
              <w:rPr>
                <w:rStyle w:val="NormalTok"/>
              </w:rPr>
              <w:t xml:space="preserve">, </w:t>
            </w:r>
            <w:r>
              <w:rPr>
                <w:rStyle w:val="StringTok"/>
              </w:rPr>
              <w:t xml:space="preserve">"Estimate"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 </w:t>
            </w:r>
            <w:r>
              <w:rPr>
                <w:rStyle w:val="StringTok"/>
              </w:rPr>
              <w:t xml:space="preserve">"pd"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Parameter =</w:t>
            </w:r>
            <w:r>
              <w:rPr>
                <w:rStyle w:val="NormalTok"/>
              </w:rPr>
              <w:t xml:space="preserve"> stringr</w:t>
            </w:r>
            <w:r>
              <w:rPr>
                <w:rStyle w:val="SpecialCharTok"/>
              </w:rPr>
              <w:t xml:space="preserve">::</w:t>
            </w:r>
            <w:r>
              <w:rPr>
                <w:rStyle w:val="FunctionTok"/>
              </w:rPr>
              <w:t xml:space="preserve">str_remove</w:t>
            </w:r>
            <w:r>
              <w:rPr>
                <w:rStyle w:val="NormalTok"/>
              </w:rPr>
              <w:t xml:space="preserve">(Parameter,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 =</w:t>
            </w:r>
            <w:r>
              <w:rPr>
                <w:rStyle w:val="NormalTok"/>
              </w:rPr>
              <w:t xml:space="preserve"> </w:t>
            </w:r>
            <w:r>
              <w:rPr>
                <w:rStyle w:val="ConstantTok"/>
              </w:rPr>
              <w:t xml:space="preserve">FALSE</w:t>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CommentTok"/>
              </w:rPr>
              <w:t xml:space="preserve"># pred_summary_s2 &lt;- ordinal_model_s2_logit %&gt;%</w:t>
            </w:r>
            <w:r>
              <w:br/>
            </w:r>
            <w:r>
              <w:rPr>
                <w:rStyle w:val="CommentTok"/>
              </w:rPr>
              <w:t xml:space="preserve">#   epred_draws(newdata = s2_agg, re_formula = NA,ndraws=200) %&gt;%</w:t>
            </w:r>
            <w:r>
              <w:br/>
            </w:r>
            <w:r>
              <w:rPr>
                <w:rStyle w:val="CommentTok"/>
              </w:rPr>
              <w:t xml:space="preserve">#  # group_by("Reference Class"=refClass, rounded, "% Goal"=pct_goal, Category=.category) %&gt;%</w:t>
            </w:r>
            <w:r>
              <w:br/>
            </w:r>
            <w:r>
              <w:rPr>
                <w:rStyle w:val="CommentTok"/>
              </w:rPr>
              <w:t xml:space="preserve">#   group_by("Reference Class"=refClass, Category=.category) %&gt;%</w:t>
            </w:r>
            <w:r>
              <w:br/>
            </w:r>
            <w:r>
              <w:rPr>
                <w:rStyle w:val="CommentTok"/>
              </w:rPr>
              <w:t xml:space="preserve">#   summarise(</w:t>
            </w:r>
            <w:r>
              <w:br/>
            </w:r>
            <w:r>
              <w:rPr>
                <w:rStyle w:val="CommentTok"/>
              </w:rPr>
              <w:t xml:space="preserve">#     mean_prob = mean(.epred),</w:t>
            </w:r>
            <w:r>
              <w:br/>
            </w:r>
            <w:r>
              <w:rPr>
                <w:rStyle w:val="CommentTok"/>
              </w:rPr>
              <w:t xml:space="preserve">#     lower_ci = quantile(.epred, 0.025),</w:t>
            </w:r>
            <w:r>
              <w:br/>
            </w:r>
            <w:r>
              <w:rPr>
                <w:rStyle w:val="CommentTok"/>
              </w:rPr>
              <w:t xml:space="preserve">#     upper_ci = quantile(.epred, 0.975),</w:t>
            </w:r>
            <w:r>
              <w:br/>
            </w:r>
            <w:r>
              <w:rPr>
                <w:rStyle w:val="CommentTok"/>
              </w:rPr>
              <w:t xml:space="preserve">#     .groups = "drop"</w:t>
            </w:r>
            <w:r>
              <w:br/>
            </w:r>
            <w:r>
              <w:rPr>
                <w:rStyle w:val="CommentTok"/>
              </w:rPr>
              <w:t xml:space="preserve">#   )</w:t>
            </w:r>
            <w:r>
              <w:br/>
            </w:r>
            <w:r>
              <w:br/>
            </w:r>
            <w:r>
              <w:rPr>
                <w:rStyle w:val="CommentTok"/>
              </w:rPr>
              <w:t xml:space="preserve">#pred_summary_s2 |&gt; kable(escape=FALSE,booktabs=TRUE,align=c("l"), row.names = FALSE)</w:t>
            </w:r>
            <w:r>
              <w:br/>
            </w:r>
            <w:r>
              <w:br/>
            </w:r>
            <w:r>
              <w:rPr>
                <w:rStyle w:val="NormalTok"/>
              </w:rPr>
              <w:t xml:space="preserve">or2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fixef</w:t>
            </w:r>
            <w:r>
              <w:rPr>
                <w:rStyle w:val="NormalTok"/>
              </w:rPr>
              <w:t xml:space="preserve">(ordinal_model_s2_logit)[,</w:t>
            </w:r>
            <w:r>
              <w:rPr>
                <w:rStyle w:val="SpecialCharTok"/>
              </w:rPr>
              <w:t xml:space="preserve">-</w:t>
            </w:r>
            <w:r>
              <w:rPr>
                <w:rStyle w:val="DecValTok"/>
              </w:rPr>
              <w:t xml:space="preserve">2</w:t>
            </w:r>
            <w:r>
              <w:rPr>
                <w:rStyle w:val="NormalTok"/>
              </w:rPr>
              <w:t xml:space="preserve">])</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"Parameter"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exp))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stringr</w:t>
            </w:r>
            <w:r>
              <w:rPr>
                <w:rStyle w:val="SpecialCharTok"/>
              </w:rPr>
              <w:t xml:space="preserve">::</w:t>
            </w:r>
            <w:r>
              <w:rPr>
                <w:rStyle w:val="FunctionTok"/>
              </w:rPr>
              <w:t xml:space="preserve">str_detect</w:t>
            </w:r>
            <w:r>
              <w:rPr>
                <w:rStyle w:val="NormalTok"/>
              </w:rPr>
              <w:t xml:space="preserve">(Parameter,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rename columns to |comparison           | odds_ratio| ci_lower| ci_upper|</w:t>
            </w:r>
            <w:r>
              <w:br/>
            </w:r>
            <w:r>
              <w:rPr>
                <w:rStyle w:val="NormalTok"/>
              </w:rPr>
              <w:t xml:space="preserve">    </w:t>
            </w:r>
            <w:r>
              <w:rPr>
                <w:rStyle w:val="FunctionTok"/>
              </w:rPr>
              <w:t xml:space="preserve">rename</w:t>
            </w:r>
            <w:r>
              <w:rPr>
                <w:rStyle w:val="NormalTok"/>
              </w:rPr>
              <w:t xml:space="preserve">(</w:t>
            </w:r>
            <w:r>
              <w:rPr>
                <w:rStyle w:val="AttributeTok"/>
              </w:rPr>
              <w:t xml:space="preserve">comparison =</w:t>
            </w:r>
            <w:r>
              <w:rPr>
                <w:rStyle w:val="NormalTok"/>
              </w:rPr>
              <w:t xml:space="preserve"> Parameter, </w:t>
            </w:r>
            <w:r>
              <w:rPr>
                <w:rStyle w:val="AttributeTok"/>
              </w:rPr>
              <w:t xml:space="preserve">odds_ratio =</w:t>
            </w:r>
            <w:r>
              <w:rPr>
                <w:rStyle w:val="NormalTok"/>
              </w:rPr>
              <w:t xml:space="preserve"> Estimate, </w:t>
            </w:r>
            <w:r>
              <w:rPr>
                <w:rStyle w:val="AttributeTok"/>
              </w:rPr>
              <w:t xml:space="preserve">ci_lower =</w:t>
            </w:r>
            <w:r>
              <w:rPr>
                <w:rStyle w:val="NormalTok"/>
              </w:rPr>
              <w:t xml:space="preserve"> Q2</w:t>
            </w:r>
            <w:r>
              <w:rPr>
                <w:rStyle w:val="FloatTok"/>
              </w:rPr>
              <w:t xml:space="preserve">.5</w:t>
            </w:r>
            <w:r>
              <w:rPr>
                <w:rStyle w:val="NormalTok"/>
              </w:rPr>
              <w:t xml:space="preserve">, </w:t>
            </w:r>
            <w:r>
              <w:rPr>
                <w:rStyle w:val="AttributeTok"/>
              </w:rPr>
              <w:t xml:space="preserve">ci_upper =</w:t>
            </w:r>
            <w:r>
              <w:rPr>
                <w:rStyle w:val="NormalTok"/>
              </w:rPr>
              <w:t xml:space="preserve"> Q97</w:t>
            </w:r>
            <w:r>
              <w:rPr>
                <w:rStyle w:val="FloatTok"/>
              </w:rPr>
              <w:t xml:space="preserve">.5</w:t>
            </w:r>
            <w:r>
              <w:rPr>
                <w:rStyle w:val="NormalTok"/>
              </w:rPr>
              <w:t xml:space="preserve">) </w:t>
            </w:r>
            <w:r>
              <w:rPr>
                <w:rStyle w:val="SpecialCharTok"/>
              </w:rPr>
              <w:t xml:space="preserve">|&gt;</w:t>
            </w:r>
            <w:r>
              <w:br/>
            </w:r>
            <w:r>
              <w:rPr>
                <w:rStyle w:val="NormalTok"/>
              </w:rPr>
              <w:t xml:space="preserve">    </w:t>
            </w:r>
            <w:r>
              <w:rPr>
                <w:rStyle w:val="CommentTok"/>
              </w:rPr>
              <w:t xml:space="preserve"># rename levels to Percentage vs kWh; USD vs kWh; Rounded vs Not; 15% Goal vs 10% Goal</w:t>
            </w:r>
            <w:r>
              <w:br/>
            </w:r>
            <w:r>
              <w:rPr>
                <w:rStyle w:val="NormalTok"/>
              </w:rPr>
              <w:t xml:space="preserve">    </w:t>
            </w:r>
            <w:r>
              <w:rPr>
                <w:rStyle w:val="FunctionTok"/>
              </w:rPr>
              <w:t xml:space="preserve">mutate</w:t>
            </w:r>
            <w:r>
              <w:rPr>
                <w:rStyle w:val="NormalTok"/>
              </w:rPr>
              <w:t xml:space="preserve">(</w:t>
            </w:r>
            <w:r>
              <w:rPr>
                <w:rStyle w:val="AttributeTok"/>
              </w:rPr>
              <w:t xml:space="preserve">comparison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"refClassPercentage"</w:t>
            </w:r>
            <w:r>
              <w:rPr>
                <w:rStyle w:val="NormalTok"/>
              </w:rPr>
              <w:t xml:space="preserve">) </w:t>
            </w:r>
            <w:r>
              <w:rPr>
                <w:rStyle w:val="SpecialCharTok"/>
              </w:rPr>
              <w:t xml:space="preserve">~</w:t>
            </w:r>
            <w:r>
              <w:rPr>
                <w:rStyle w:val="NormalTok"/>
              </w:rPr>
              <w:t xml:space="preserve"> </w:t>
            </w:r>
            <w:r>
              <w:rPr>
                <w:rStyle w:val="StringTok"/>
              </w:rPr>
              <w:t xml:space="preserve">"Percentage vs kWh"</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"refClassUSD"</w:t>
            </w:r>
            <w:r>
              <w:rPr>
                <w:rStyle w:val="NormalTok"/>
              </w:rPr>
              <w:t xml:space="preserve">) </w:t>
            </w:r>
            <w:r>
              <w:rPr>
                <w:rStyle w:val="SpecialCharTok"/>
              </w:rPr>
              <w:t xml:space="preserve">~</w:t>
            </w:r>
            <w:r>
              <w:rPr>
                <w:rStyle w:val="NormalTok"/>
              </w:rPr>
              <w:t xml:space="preserve"> </w:t>
            </w:r>
            <w:r>
              <w:rPr>
                <w:rStyle w:val="StringTok"/>
              </w:rPr>
              <w:t xml:space="preserve">"USD vs kWh"</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"roundedRounded"</w:t>
            </w:r>
            <w:r>
              <w:rPr>
                <w:rStyle w:val="NormalTok"/>
              </w:rPr>
              <w:t xml:space="preserve">) </w:t>
            </w:r>
            <w:r>
              <w:rPr>
                <w:rStyle w:val="SpecialCharTok"/>
              </w:rPr>
              <w:t xml:space="preserve">~</w:t>
            </w:r>
            <w:r>
              <w:rPr>
                <w:rStyle w:val="NormalTok"/>
              </w:rPr>
              <w:t xml:space="preserve"> </w:t>
            </w:r>
            <w:r>
              <w:rPr>
                <w:rStyle w:val="StringTok"/>
              </w:rPr>
              <w:t xml:space="preserve">"Rounded vs Not"</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"pct_goal15%"</w:t>
            </w:r>
            <w:r>
              <w:rPr>
                <w:rStyle w:val="NormalTok"/>
              </w:rPr>
              <w:t xml:space="preserve">) </w:t>
            </w:r>
            <w:r>
              <w:rPr>
                <w:rStyle w:val="SpecialCharTok"/>
              </w:rPr>
              <w:t xml:space="preserve">~</w:t>
            </w:r>
            <w:r>
              <w:rPr>
                <w:rStyle w:val="NormalTok"/>
              </w:rPr>
              <w:t xml:space="preserve"> </w:t>
            </w:r>
            <w:r>
              <w:rPr>
                <w:rStyle w:val="StringTok"/>
              </w:rPr>
              <w:t xml:space="preserve">"15% Goal vs 10% Goal"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comparison</w:t>
            </w:r>
            <w:r>
              <w:br/>
            </w:r>
            <w:r>
              <w:rPr>
                <w:rStyle w:val="NormalTok"/>
              </w:rPr>
              <w:t xml:space="preserve">    ))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w:t>
            </w:r>
          </w:p>
          <w:bookmarkEnd w:id="56"/>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57" w:name="tbl-s2-reg"/>
          <w:p>
            <w:pPr>
              <w:jc w:val="center"/>
            </w:pPr>
            <w:pPr>
              <w:jc w:val="start"/>
              <w:spacing w:before="200"/>
              <w:pStyle w:val="ImageCaption"/>
            </w:pPr>
            <w:r>
              <w:t xml:space="preserve">Table 7:</w:t>
            </w:r>
            <w:r>
              <w:t xml:space="preserve"> </w:t>
            </w:r>
            <w:r>
              <w:rPr>
                <w:b/>
                <w:bCs/>
              </w:rPr>
              <w:t xml:space="preserve">Experiment 2.</w:t>
            </w:r>
            <w:r>
              <w:t xml:space="preserve"> </w:t>
            </w:r>
            <w:r>
              <w:t xml:space="preserve">Parameter estimates from the ordinal regression model. Positive coefficients for refClass predictors indicate increased likelihood of falling into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-1.45</w:t>
                  </w:r>
                </w:p>
              </w:tc>
              <w:tc>
                <w:tcPr/>
                <w:p>
                  <w:pPr>
                    <w:pStyle w:val="Compact"/>
                    <w:jc w:val="left"/>
                    <w:jc w:val="center"/>
                  </w:pPr>
                  <w:r>
                    <w:t xml:space="preserve">-2.85</w:t>
                  </w:r>
                </w:p>
              </w:tc>
              <w:tc>
                <w:tcPr/>
                <w:p>
                  <w:pPr>
                    <w:pStyle w:val="Compact"/>
                    <w:jc w:val="left"/>
                    <w:jc w:val="center"/>
                  </w:pPr>
                  <w:r>
                    <w:t xml:space="preserve">-0.07</w:t>
                  </w:r>
                </w:p>
              </w:tc>
              <w:tc>
                <w:tcPr/>
                <w:p>
                  <w:pPr>
                    <w:pStyle w:val="Compact"/>
                    <w:jc w:val="left"/>
                    <w:jc w:val="center"/>
                  </w:pPr>
                  <w:r>
                    <w:t xml:space="preserve">0.98</w:t>
                  </w:r>
                </w:p>
              </w:tc>
            </w:tr>
            <w:tr>
              <w:tc>
                <w:tcPr/>
                <w:p>
                  <w:pPr>
                    <w:pStyle w:val="Compact"/>
                    <w:jc w:val="left"/>
                    <w:jc w:val="center"/>
                  </w:pPr>
                  <w:r>
                    <w:t xml:space="preserve">Intercept[2]</w:t>
                  </w:r>
                </w:p>
              </w:tc>
              <w:tc>
                <w:tcPr/>
                <w:p>
                  <w:pPr>
                    <w:pStyle w:val="Compact"/>
                    <w:jc w:val="left"/>
                    <w:jc w:val="center"/>
                  </w:pPr>
                  <w:r>
                    <w:t xml:space="preserve">1.26</w:t>
                  </w:r>
                </w:p>
              </w:tc>
              <w:tc>
                <w:tcPr/>
                <w:p>
                  <w:pPr>
                    <w:pStyle w:val="Compact"/>
                    <w:jc w:val="left"/>
                    <w:jc w:val="center"/>
                  </w:pPr>
                  <w:r>
                    <w:t xml:space="preserve">-0.09</w:t>
                  </w:r>
                </w:p>
              </w:tc>
              <w:tc>
                <w:tcPr/>
                <w:p>
                  <w:pPr>
                    <w:pStyle w:val="Compact"/>
                    <w:jc w:val="left"/>
                    <w:jc w:val="center"/>
                  </w:pPr>
                  <w:r>
                    <w:t xml:space="preserve">2.65</w:t>
                  </w:r>
                </w:p>
              </w:tc>
              <w:tc>
                <w:tcPr/>
                <w:p>
                  <w:pPr>
                    <w:pStyle w:val="Compact"/>
                    <w:jc w:val="left"/>
                    <w:jc w:val="center"/>
                  </w:pPr>
                  <w:r>
                    <w:t xml:space="preserve">0.97</w:t>
                  </w:r>
                </w:p>
              </w:tc>
            </w:tr>
            <w:tr>
              <w:tc>
                <w:tcPr/>
                <w:p>
                  <w:pPr>
                    <w:pStyle w:val="Compact"/>
                    <w:jc w:val="left"/>
                    <w:jc w:val="center"/>
                  </w:pPr>
                  <w:r>
                    <w:t xml:space="preserve">refClassPercentage</w:t>
                  </w:r>
                </w:p>
              </w:tc>
              <w:tc>
                <w:tcPr/>
                <w:p>
                  <w:pPr>
                    <w:pStyle w:val="Compact"/>
                    <w:jc w:val="left"/>
                    <w:jc w:val="center"/>
                  </w:pPr>
                  <w:r>
                    <w:t xml:space="preserve">1.02</w:t>
                  </w:r>
                </w:p>
              </w:tc>
              <w:tc>
                <w:tcPr/>
                <w:p>
                  <w:pPr>
                    <w:pStyle w:val="Compact"/>
                    <w:jc w:val="left"/>
                    <w:jc w:val="center"/>
                  </w:pPr>
                  <w:r>
                    <w:t xml:space="preserve">-0.63</w:t>
                  </w:r>
                </w:p>
              </w:tc>
              <w:tc>
                <w:tcPr/>
                <w:p>
                  <w:pPr>
                    <w:pStyle w:val="Compact"/>
                    <w:jc w:val="left"/>
                    <w:jc w:val="center"/>
                  </w:pPr>
                  <w:r>
                    <w:t xml:space="preserve">2.71</w:t>
                  </w:r>
                </w:p>
              </w:tc>
              <w:tc>
                <w:tcPr/>
                <w:p>
                  <w:pPr>
                    <w:pStyle w:val="Compact"/>
                    <w:jc w:val="left"/>
                    <w:jc w:val="center"/>
                  </w:pPr>
                  <w:r>
                    <w:t xml:space="preserve">0.89</w:t>
                  </w:r>
                </w:p>
              </w:tc>
            </w:tr>
            <w:tr>
              <w:tc>
                <w:tcPr/>
                <w:p>
                  <w:pPr>
                    <w:pStyle w:val="Compact"/>
                    <w:jc w:val="left"/>
                    <w:jc w:val="center"/>
                  </w:pPr>
                  <w:r>
                    <w:t xml:space="preserve">refClassUSD</w:t>
                  </w:r>
                </w:p>
              </w:tc>
              <w:tc>
                <w:tcPr/>
                <w:p>
                  <w:pPr>
                    <w:pStyle w:val="Compact"/>
                    <w:jc w:val="left"/>
                    <w:jc w:val="center"/>
                  </w:pPr>
                  <w:r>
                    <w:t xml:space="preserve">2.27</w:t>
                  </w:r>
                </w:p>
              </w:tc>
              <w:tc>
                <w:tcPr/>
                <w:p>
                  <w:pPr>
                    <w:pStyle w:val="Compact"/>
                    <w:jc w:val="left"/>
                    <w:jc w:val="center"/>
                  </w:pPr>
                  <w:r>
                    <w:t xml:space="preserve">0.53</w:t>
                  </w:r>
                </w:p>
              </w:tc>
              <w:tc>
                <w:tcPr/>
                <w:p>
                  <w:pPr>
                    <w:pStyle w:val="Compact"/>
                    <w:jc w:val="left"/>
                    <w:jc w:val="center"/>
                  </w:pPr>
                  <w:r>
                    <w:t xml:space="preserve">3.98</w:t>
                  </w:r>
                </w:p>
              </w:tc>
              <w:tc>
                <w:tcPr/>
                <w:p>
                  <w:pPr>
                    <w:pStyle w:val="Compact"/>
                    <w:jc w:val="left"/>
                    <w:jc w:val="center"/>
                  </w:pPr>
                  <w:r>
                    <w:t xml:space="preserve">0.99</w:t>
                  </w:r>
                </w:p>
              </w:tc>
            </w:tr>
            <w:tr>
              <w:tc>
                <w:tcPr/>
                <w:p>
                  <w:pPr>
                    <w:pStyle w:val="Compact"/>
                    <w:jc w:val="left"/>
                    <w:jc w:val="center"/>
                  </w:pPr>
                  <w:r>
                    <w:t xml:space="preserve">calcNoCalculator</w:t>
                  </w:r>
                </w:p>
              </w:tc>
              <w:tc>
                <w:tcPr/>
                <w:p>
                  <w:pPr>
                    <w:pStyle w:val="Compact"/>
                    <w:jc w:val="left"/>
                    <w:jc w:val="center"/>
                  </w:pPr>
                  <w:r>
                    <w:t xml:space="preserve">4.10</w:t>
                  </w:r>
                </w:p>
              </w:tc>
              <w:tc>
                <w:tcPr/>
                <w:p>
                  <w:pPr>
                    <w:pStyle w:val="Compact"/>
                    <w:jc w:val="left"/>
                    <w:jc w:val="center"/>
                  </w:pPr>
                  <w:r>
                    <w:t xml:space="preserve">2.20</w:t>
                  </w:r>
                </w:p>
              </w:tc>
              <w:tc>
                <w:tcPr/>
                <w:p>
                  <w:pPr>
                    <w:pStyle w:val="Compact"/>
                    <w:jc w:val="left"/>
                    <w:jc w:val="center"/>
                  </w:pPr>
                  <w:r>
                    <w:t xml:space="preserve">6.06</w:t>
                  </w:r>
                </w:p>
              </w:tc>
              <w:tc>
                <w:tcPr/>
                <w:p>
                  <w:pPr>
                    <w:pStyle w:val="Compact"/>
                    <w:jc w:val="left"/>
                    <w:jc w:val="center"/>
                  </w:pPr>
                  <w:r>
                    <w:t xml:space="preserve">1.00</w:t>
                  </w:r>
                </w:p>
              </w:tc>
            </w:tr>
            <w:tr>
              <w:tc>
                <w:tcPr/>
                <w:p>
                  <w:pPr>
                    <w:pStyle w:val="Compact"/>
                    <w:jc w:val="left"/>
                    <w:jc w:val="center"/>
                  </w:pPr>
                  <w:r>
                    <w:t xml:space="preserve">pct_goal15%</w:t>
                  </w:r>
                </w:p>
              </w:tc>
              <w:tc>
                <w:tcPr/>
                <w:p>
                  <w:pPr>
                    <w:pStyle w:val="Compact"/>
                    <w:jc w:val="left"/>
                    <w:jc w:val="center"/>
                  </w:pPr>
                  <w:r>
                    <w:t xml:space="preserve">-0.39</w:t>
                  </w:r>
                </w:p>
              </w:tc>
              <w:tc>
                <w:tcPr/>
                <w:p>
                  <w:pPr>
                    <w:pStyle w:val="Compact"/>
                    <w:jc w:val="left"/>
                    <w:jc w:val="center"/>
                  </w:pPr>
                  <w:r>
                    <w:t xml:space="preserve">-0.81</w:t>
                  </w:r>
                </w:p>
              </w:tc>
              <w:tc>
                <w:tcPr/>
                <w:p>
                  <w:pPr>
                    <w:pStyle w:val="Compact"/>
                    <w:jc w:val="left"/>
                    <w:jc w:val="center"/>
                  </w:pPr>
                  <w:r>
                    <w:t xml:space="preserve">0.04</w:t>
                  </w:r>
                </w:p>
              </w:tc>
              <w:tc>
                <w:tcPr/>
                <w:p>
                  <w:pPr>
                    <w:pStyle w:val="Compact"/>
                    <w:jc w:val="left"/>
                    <w:jc w:val="center"/>
                  </w:pPr>
                  <w:r>
                    <w:t xml:space="preserve">0.96</w:t>
                  </w:r>
                </w:p>
              </w:tc>
            </w:tr>
            <w:tr>
              <w:tc>
                <w:tcPr/>
                <w:p>
                  <w:pPr>
                    <w:pStyle w:val="Compact"/>
                    <w:jc w:val="left"/>
                    <w:jc w:val="center"/>
                  </w:pPr>
                  <w:r>
                    <w:t xml:space="preserve">roundedRounded</w:t>
                  </w:r>
                </w:p>
              </w:tc>
              <w:tc>
                <w:tcPr/>
                <w:p>
                  <w:pPr>
                    <w:pStyle w:val="Compact"/>
                    <w:jc w:val="left"/>
                    <w:jc w:val="center"/>
                  </w:pPr>
                  <w:r>
                    <w:t xml:space="preserve">-0.53</w:t>
                  </w:r>
                </w:p>
              </w:tc>
              <w:tc>
                <w:tcPr/>
                <w:p>
                  <w:pPr>
                    <w:pStyle w:val="Compact"/>
                    <w:jc w:val="left"/>
                    <w:jc w:val="center"/>
                  </w:pPr>
                  <w:r>
                    <w:t xml:space="preserve">-0.96</w:t>
                  </w:r>
                </w:p>
              </w:tc>
              <w:tc>
                <w:tcPr/>
                <w:p>
                  <w:pPr>
                    <w:pStyle w:val="Compact"/>
                    <w:jc w:val="left"/>
                    <w:jc w:val="center"/>
                  </w:pPr>
                  <w:r>
                    <w:t xml:space="preserve">-0.11</w:t>
                  </w:r>
                </w:p>
              </w:tc>
              <w:tc>
                <w:tcPr/>
                <w:p>
                  <w:pPr>
                    <w:pStyle w:val="Compact"/>
                    <w:jc w:val="left"/>
                    <w:jc w:val="center"/>
                  </w:pPr>
                  <w:r>
                    <w:t xml:space="preserve">0.99</w:t>
                  </w:r>
                </w:p>
              </w:tc>
            </w:tr>
          </w:tbl>
          <w:bookmarkEnd w:id="5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tbl-s2-ord"/>
          <w:p>
            <w:pPr>
              <w:jc w:val="center"/>
            </w:pPr>
            <w:pPr>
              <w:jc w:val="start"/>
              <w:spacing w:before="200"/>
              <w:pStyle w:val="ImageCaption"/>
            </w:pPr>
            <w:r>
              <w:t xml:space="preserve">Table 8:</w:t>
            </w:r>
            <w:r>
              <w:t xml:space="preserve"> </w:t>
            </w:r>
            <w:r>
              <w:rPr>
                <w:b/>
                <w:bCs/>
              </w:rPr>
              <w:t xml:space="preserve">Experiment 2.</w:t>
            </w:r>
            <w:r>
              <w:t xml:space="preserve"> </w:t>
            </w:r>
            <w:r>
              <w:t xml:space="preserve">Odds ratios for group comparisons. Odds ratios greater than 1 indicate increased odds of falling into a worse accuracy category compared to the comparison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2.78</w:t>
                  </w:r>
                </w:p>
              </w:tc>
              <w:tc>
                <w:tcPr/>
                <w:p>
                  <w:pPr>
                    <w:pStyle w:val="Compact"/>
                    <w:jc w:val="left"/>
                    <w:jc w:val="center"/>
                  </w:pPr>
                  <w:r>
                    <w:t xml:space="preserve">0.53</w:t>
                  </w:r>
                </w:p>
              </w:tc>
              <w:tc>
                <w:tcPr/>
                <w:p>
                  <w:pPr>
                    <w:pStyle w:val="Compact"/>
                    <w:jc w:val="left"/>
                    <w:jc w:val="center"/>
                  </w:pPr>
                  <w:r>
                    <w:t xml:space="preserve">15.0</w:t>
                  </w:r>
                </w:p>
              </w:tc>
            </w:tr>
            <w:tr>
              <w:tc>
                <w:tcPr/>
                <w:p>
                  <w:pPr>
                    <w:pStyle w:val="Compact"/>
                    <w:jc w:val="left"/>
                    <w:jc w:val="center"/>
                  </w:pPr>
                  <w:r>
                    <w:t xml:space="preserve">USD vs kWh</w:t>
                  </w:r>
                </w:p>
              </w:tc>
              <w:tc>
                <w:tcPr/>
                <w:p>
                  <w:pPr>
                    <w:pStyle w:val="Compact"/>
                    <w:jc w:val="left"/>
                    <w:jc w:val="center"/>
                  </w:pPr>
                  <w:r>
                    <w:t xml:space="preserve">9.68</w:t>
                  </w:r>
                </w:p>
              </w:tc>
              <w:tc>
                <w:tcPr/>
                <w:p>
                  <w:pPr>
                    <w:pStyle w:val="Compact"/>
                    <w:jc w:val="left"/>
                    <w:jc w:val="center"/>
                  </w:pPr>
                  <w:r>
                    <w:t xml:space="preserve">1.69</w:t>
                  </w:r>
                </w:p>
              </w:tc>
              <w:tc>
                <w:tcPr/>
                <w:p>
                  <w:pPr>
                    <w:pStyle w:val="Compact"/>
                    <w:jc w:val="left"/>
                    <w:jc w:val="center"/>
                  </w:pPr>
                  <w:r>
                    <w:t xml:space="preserve">53.4</w:t>
                  </w:r>
                </w:p>
              </w:tc>
            </w:tr>
            <w:tr>
              <w:tc>
                <w:tcPr/>
                <w:p>
                  <w:pPr>
                    <w:pStyle w:val="Compact"/>
                    <w:jc w:val="left"/>
                    <w:jc w:val="center"/>
                  </w:pPr>
                  <w:r>
                    <w:t xml:space="preserve">calcNoCalculator</w:t>
                  </w:r>
                </w:p>
              </w:tc>
              <w:tc>
                <w:tcPr/>
                <w:p>
                  <w:pPr>
                    <w:pStyle w:val="Compact"/>
                    <w:jc w:val="left"/>
                    <w:jc w:val="center"/>
                  </w:pPr>
                  <w:r>
                    <w:t xml:space="preserve">60.37</w:t>
                  </w:r>
                </w:p>
              </w:tc>
              <w:tc>
                <w:tcPr/>
                <w:p>
                  <w:pPr>
                    <w:pStyle w:val="Compact"/>
                    <w:jc w:val="left"/>
                    <w:jc w:val="center"/>
                  </w:pPr>
                  <w:r>
                    <w:t xml:space="preserve">9.02</w:t>
                  </w:r>
                </w:p>
              </w:tc>
              <w:tc>
                <w:tcPr/>
                <w:p>
                  <w:pPr>
                    <w:pStyle w:val="Compact"/>
                    <w:jc w:val="left"/>
                    <w:jc w:val="center"/>
                  </w:pPr>
                  <w:r>
                    <w:t xml:space="preserve">426.4</w:t>
                  </w:r>
                </w:p>
              </w:tc>
            </w:tr>
            <w:tr>
              <w:tc>
                <w:tcPr/>
                <w:p>
                  <w:pPr>
                    <w:pStyle w:val="Compact"/>
                    <w:jc w:val="left"/>
                    <w:jc w:val="center"/>
                  </w:pPr>
                  <w:r>
                    <w:t xml:space="preserve">15% Goal vs 10% Goal</w:t>
                  </w:r>
                </w:p>
              </w:tc>
              <w:tc>
                <w:tcPr/>
                <w:p>
                  <w:pPr>
                    <w:pStyle w:val="Compact"/>
                    <w:jc w:val="left"/>
                    <w:jc w:val="center"/>
                  </w:pPr>
                  <w:r>
                    <w:t xml:space="preserve">0.68</w:t>
                  </w:r>
                </w:p>
              </w:tc>
              <w:tc>
                <w:tcPr/>
                <w:p>
                  <w:pPr>
                    <w:pStyle w:val="Compact"/>
                    <w:jc w:val="left"/>
                    <w:jc w:val="center"/>
                  </w:pPr>
                  <w:r>
                    <w:t xml:space="preserve">0.44</w:t>
                  </w:r>
                </w:p>
              </w:tc>
              <w:tc>
                <w:tcPr/>
                <w:p>
                  <w:pPr>
                    <w:pStyle w:val="Compact"/>
                    <w:jc w:val="left"/>
                    <w:jc w:val="center"/>
                  </w:pPr>
                  <w:r>
                    <w:t xml:space="preserve">1.0</w:t>
                  </w:r>
                </w:p>
              </w:tc>
            </w:tr>
            <w:tr>
              <w:tc>
                <w:tcPr/>
                <w:p>
                  <w:pPr>
                    <w:pStyle w:val="Compact"/>
                    <w:jc w:val="left"/>
                    <w:jc w:val="center"/>
                  </w:pPr>
                  <w:r>
                    <w:t xml:space="preserve">Rounded vs Not</w:t>
                  </w:r>
                </w:p>
              </w:tc>
              <w:tc>
                <w:tcPr/>
                <w:p>
                  <w:pPr>
                    <w:pStyle w:val="Compact"/>
                    <w:jc w:val="left"/>
                    <w:jc w:val="center"/>
                  </w:pPr>
                  <w:r>
                    <w:t xml:space="preserve">0.59</w:t>
                  </w:r>
                </w:p>
              </w:tc>
              <w:tc>
                <w:tcPr/>
                <w:p>
                  <w:pPr>
                    <w:pStyle w:val="Compact"/>
                    <w:jc w:val="left"/>
                    <w:jc w:val="center"/>
                  </w:pPr>
                  <w:r>
                    <w:t xml:space="preserve">0.38</w:t>
                  </w:r>
                </w:p>
              </w:tc>
              <w:tc>
                <w:tcPr/>
                <w:p>
                  <w:pPr>
                    <w:pStyle w:val="Compact"/>
                    <w:jc w:val="left"/>
                    <w:jc w:val="center"/>
                  </w:pPr>
                  <w:r>
                    <w:t xml:space="preserve">0.9</w:t>
                  </w:r>
                </w:p>
              </w:tc>
            </w:tr>
          </w:tbl>
          <w:bookmarkEnd w:id="58"/>
          <w:p/>
        </w:tc>
      </w:tr>
    </w:tbl>
    <w:p>
      <w:pPr>
        <w:pStyle w:val="BodyText"/>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p>
      <w:pPr>
        <w:pStyle w:val="SourceCode"/>
      </w:pPr>
      <w:r>
        <w:rPr>
          <w:rStyle w:val="FunctionTok"/>
        </w:rPr>
        <w:t xml:space="preserve">library</w:t>
      </w:r>
      <w:r>
        <w:rPr>
          <w:rStyle w:val="NormalTok"/>
        </w:rPr>
        <w:t xml:space="preserve">(ggtext)</w:t>
      </w:r>
      <w:r>
        <w:br/>
      </w:r>
      <w:r>
        <w:br/>
      </w:r>
      <w:r>
        <w:br/>
      </w:r>
      <w:r>
        <w:rPr>
          <w:rStyle w:val="FunctionTok"/>
        </w:rPr>
        <w:t xml:space="preserve">set.seed</w:t>
      </w:r>
      <w:r>
        <w:rPr>
          <w:rStyle w:val="NormalTok"/>
        </w:rPr>
        <w:t xml:space="preserve">(</w:t>
      </w:r>
      <w:r>
        <w:rPr>
          <w:rStyle w:val="DecValTok"/>
        </w:rPr>
        <w:t xml:space="preserve">133</w:t>
      </w:r>
      <w:r>
        <w:rPr>
          <w:rStyle w:val="NormalTok"/>
        </w:rPr>
        <w:t xml:space="preserve">)</w:t>
      </w:r>
      <w:r>
        <w:br/>
      </w:r>
      <w:r>
        <w:rPr>
          <w:rStyle w:val="NormalTok"/>
        </w:rPr>
        <w:t xml:space="preserve">ame2 </w:t>
      </w:r>
      <w:r>
        <w:rPr>
          <w:rStyle w:val="OtherTok"/>
        </w:rPr>
        <w:t xml:space="preserve">&lt;-</w:t>
      </w:r>
      <w:r>
        <w:rPr>
          <w:rStyle w:val="NormalTok"/>
        </w:rPr>
        <w:t xml:space="preserve"> </w:t>
      </w:r>
      <w:r>
        <w:rPr>
          <w:rStyle w:val="FunctionTok"/>
        </w:rPr>
        <w:t xml:space="preserve">avg_slopes</w:t>
      </w:r>
      <w:r>
        <w:rPr>
          <w:rStyle w:val="NormalTok"/>
        </w:rPr>
        <w:t xml:space="preserve">(</w:t>
      </w:r>
      <w:r>
        <w:br/>
      </w:r>
      <w:r>
        <w:rPr>
          <w:rStyle w:val="NormalTok"/>
        </w:rPr>
        <w:t xml:space="preserve">    ordinal_model_s2_logit, </w:t>
      </w:r>
      <w:r>
        <w:br/>
      </w:r>
      <w:r>
        <w:rPr>
          <w:rStyle w:val="NormalTok"/>
        </w:rPr>
        <w:t xml:space="preserve">    </w:t>
      </w:r>
      <w:r>
        <w:rPr>
          <w:rStyle w:val="AttributeTok"/>
        </w:rPr>
        <w:t xml:space="preserve">variables =</w:t>
      </w:r>
      <w:r>
        <w:rPr>
          <w:rStyle w:val="NormalTok"/>
        </w:rPr>
        <w:t xml:space="preserve"> </w:t>
      </w:r>
      <w:r>
        <w:rPr>
          <w:rStyle w:val="StringTok"/>
        </w:rPr>
        <w:t xml:space="preserve">"refClass"</w:t>
      </w:r>
      <w:r>
        <w:rPr>
          <w:rStyle w:val="NormalTok"/>
        </w:rPr>
        <w:t xml:space="preserve">,</w:t>
      </w:r>
      <w:r>
        <w:rPr>
          <w:rStyle w:val="AttributeTok"/>
        </w:rPr>
        <w:t xml:space="preserve">ndraws=</w:t>
      </w:r>
      <w:r>
        <w:rPr>
          <w:rStyle w:val="DecValTok"/>
        </w:rPr>
        <w:t xml:space="preserve">850</w:t>
      </w:r>
      <w:r>
        <w:br/>
      </w:r>
      <w:r>
        <w:rPr>
          <w:rStyle w:val="NormalTok"/>
        </w:rPr>
        <w:t xml:space="preserve">)</w:t>
      </w:r>
      <w:r>
        <w:br/>
      </w:r>
      <w:r>
        <w:br/>
      </w:r>
      <w:r>
        <w:rPr>
          <w:rStyle w:val="CommentTok"/>
        </w:rPr>
        <w:t xml:space="preserve"># Add annotations to the data frame</w:t>
      </w:r>
      <w:r>
        <w:br/>
      </w:r>
      <w:r>
        <w:rPr>
          <w:rStyle w:val="NormalTok"/>
        </w:rPr>
        <w:t xml:space="preserve">ame2_annotated </w:t>
      </w:r>
      <w:r>
        <w:rPr>
          <w:rStyle w:val="OtherTok"/>
        </w:rPr>
        <w:t xml:space="preserve">&lt;-</w:t>
      </w:r>
      <w:r>
        <w:rPr>
          <w:rStyle w:val="NormalTok"/>
        </w:rPr>
        <w:t xml:space="preserve"> ame2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estimate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ggplot</w:t>
      </w:r>
      <w:r>
        <w:rPr>
          <w:rStyle w:val="NormalTok"/>
        </w:rPr>
        <w:t xml:space="preserve">(ame2_annotated,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group, </w:t>
      </w:r>
      <w:r>
        <w:rPr>
          <w:rStyle w:val="AttributeTok"/>
        </w:rPr>
        <w:t xml:space="preserve">color =</w:t>
      </w:r>
      <w:r>
        <w:rPr>
          <w:rStyle w:val="NormalTok"/>
        </w:rPr>
        <w:t xml:space="preserve"> contrast, </w:t>
      </w:r>
      <w:r>
        <w:rPr>
          <w:rStyle w:val="AttributeTok"/>
        </w:rPr>
        <w:t xml:space="preserve">group =</w:t>
      </w:r>
      <w:r>
        <w:rPr>
          <w:rStyle w:val="NormalTok"/>
        </w:rPr>
        <w:t xml:space="preserve"> contrast))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geom_errorbarh</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conf.low, </w:t>
      </w:r>
      <w:r>
        <w:rPr>
          <w:rStyle w:val="AttributeTok"/>
        </w:rPr>
        <w:t xml:space="preserve">xmax =</w:t>
      </w:r>
      <w:r>
        <w:rPr>
          <w:rStyle w:val="NormalTok"/>
        </w:rPr>
        <w:t xml:space="preserve"> conf.high), </w:t>
      </w:r>
      <w:r>
        <w:rPr>
          <w:rStyle w:val="AttributeTok"/>
        </w:rPr>
        <w:t xml:space="preserve">height =</w:t>
      </w:r>
      <w:r>
        <w:rPr>
          <w:rStyle w:val="NormalTok"/>
        </w:rPr>
        <w:t xml:space="preserve"> </w:t>
      </w:r>
      <w:r>
        <w:rPr>
          <w:rStyle w:val="FloatTok"/>
        </w:rPr>
        <w:t xml:space="preserve">0.2</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Marginal Effect"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"Accuracy Level"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"Comparison"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Marginal Effects of refClass on Accuracy Levels"</w:t>
      </w:r>
      <w:r>
        <w:br/>
      </w:r>
      <w:r>
        <w:rPr>
          <w:rStyle w:val="NormalTok"/>
        </w:rPr>
        <w:t xml:space="preserve">    ) </w:t>
      </w:r>
      <w:r>
        <w:rPr>
          <w:rStyle w:val="SpecialCharTok"/>
        </w:rPr>
        <w:t xml:space="preserve">+</w:t>
      </w:r>
      <w:r>
        <w:br/>
      </w:r>
      <w:r>
        <w:rPr>
          <w:rStyle w:val="NormalTok"/>
        </w:rPr>
        <w:t xml:space="preserve">    </w:t>
      </w:r>
      <w:r>
        <w:rPr>
          <w:rStyle w:val="CommentTok"/>
        </w:rPr>
        <w:t xml:space="preserve"># Add annotations</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2" w:name="fig-s2-ame"/>
          <w:p>
            <w:pPr>
              <w:pStyle w:val="Compact"/>
              <w:jc w:val="center"/>
            </w:pPr>
            <w:r>
              <w:drawing>
                <wp:inline>
                  <wp:extent cx="5334000" cy="3879272"/>
                  <wp:effectExtent b="0" l="0" r="0" t="0"/>
                  <wp:docPr descr="" title="" id="60" name="Picture"/>
                  <a:graphic>
                    <a:graphicData uri="http://schemas.openxmlformats.org/drawingml/2006/picture">
                      <pic:pic>
                        <pic:nvPicPr>
                          <pic:cNvPr descr="manuscript_files/figure-docx/fig-s2-ame-1.png" id="61" name="Picture"/>
                          <pic:cNvPicPr>
                            <a:picLocks noChangeArrowheads="1" noChangeAspect="1"/>
                          </pic:cNvPicPr>
                        </pic:nvPicPr>
                        <pic:blipFill>
                          <a:blip r:embed="rId59"/>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bookmarkEnd w:id="62"/>
        </w:tc>
      </w:tr>
    </w:tbl>
    <w:p>
      <w:pPr>
        <w:pStyle w:val="SourceCode"/>
      </w:pPr>
      <w:r>
        <w:rPr>
          <w:rStyle w:val="FunctionTok"/>
        </w:rPr>
        <w:t xml:space="preserve">pp_check</w:t>
      </w:r>
      <w:r>
        <w:rPr>
          <w:rStyle w:val="NormalTok"/>
        </w:rPr>
        <w:t xml:space="preserve">(ordinal_model_s2_logit, </w:t>
      </w:r>
      <w:r>
        <w:rPr>
          <w:rStyle w:val="AttributeTok"/>
        </w:rPr>
        <w:t xml:space="preserve">type =</w:t>
      </w:r>
      <w:r>
        <w:rPr>
          <w:rStyle w:val="NormalTok"/>
        </w:rPr>
        <w:t xml:space="preserve"> </w:t>
      </w:r>
      <w:r>
        <w:rPr>
          <w:rStyle w:val="StringTok"/>
        </w:rPr>
        <w:t xml:space="preserve">"bars_grouped"</w:t>
      </w:r>
      <w:r>
        <w:rPr>
          <w:rStyle w:val="NormalTok"/>
        </w:rPr>
        <w:t xml:space="preserve">, </w:t>
      </w:r>
      <w:r>
        <w:rPr>
          <w:rStyle w:val="AttributeTok"/>
        </w:rPr>
        <w:t xml:space="preserve">group=</w:t>
      </w:r>
      <w:r>
        <w:rPr>
          <w:rStyle w:val="StringTok"/>
        </w:rPr>
        <w:t xml:space="preserve">"refClass"</w:t>
      </w:r>
      <w:r>
        <w:rPr>
          <w:rStyle w:val="NormalTok"/>
        </w:rPr>
        <w:t xml:space="preserve">, </w:t>
      </w:r>
      <w:r>
        <w:rPr>
          <w:rStyle w:val="AttributeTok"/>
        </w:rPr>
        <w:t xml:space="preserve">fatten =</w:t>
      </w:r>
      <w:r>
        <w:rPr>
          <w:rStyle w:val="NormalTok"/>
        </w:rPr>
        <w:t xml:space="preserve"> </w:t>
      </w:r>
      <w:r>
        <w:rPr>
          <w:rStyle w:val="DecValTok"/>
        </w:rPr>
        <w:t xml:space="preserve">2</w:t>
      </w:r>
      <w:r>
        <w:rPr>
          <w:rStyle w:val="NormalTok"/>
        </w:rPr>
        <w:t xml:space="preserve">,</w:t>
      </w:r>
      <w:r>
        <w:rPr>
          <w:rStyle w:val="AttributeTok"/>
        </w:rPr>
        <w:t xml:space="preserve">ndraws=</w:t>
      </w:r>
      <w:r>
        <w:rPr>
          <w:rStyle w:val="DecValTok"/>
        </w:rPr>
        <w:t xml:space="preserve">400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"Response Category"</w:t>
      </w:r>
      <w:r>
        <w:rPr>
          <w:rStyle w:val="NormalTok"/>
        </w:rPr>
        <w:t xml:space="preserve">, </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"Exact"</w:t>
      </w:r>
      <w:r>
        <w:rPr>
          <w:rStyle w:val="NormalTok"/>
        </w:rPr>
        <w:t xml:space="preserve">, </w:t>
      </w:r>
      <w:r>
        <w:rPr>
          <w:rStyle w:val="StringTok"/>
        </w:rPr>
        <w:t xml:space="preserve">"0.01-5%"</w:t>
      </w:r>
      <w:r>
        <w:rPr>
          <w:rStyle w:val="NormalTok"/>
        </w:rPr>
        <w:t xml:space="preserve">, </w:t>
      </w:r>
      <w:r>
        <w:rPr>
          <w:rStyle w:val="StringTok"/>
        </w:rPr>
        <w:t xml:space="preserve">"&gt;5%"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"Posterior Predictive Check by Reference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#scale_fill_manual(values = c("kWh" = "#66c2a5", "Percentage" = "#fc8d62", "USD" = "#8da0cb"),name="Reference Class")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6" w:name="fig-s2-ppd"/>
          <w:p>
            <w:pPr>
              <w:pStyle w:val="Compact"/>
              <w:jc w:val="center"/>
            </w:pPr>
            <w:r>
              <w:drawing>
                <wp:inline>
                  <wp:extent cx="5334000" cy="4267200"/>
                  <wp:effectExtent b="0" l="0" r="0" t="0"/>
                  <wp:docPr descr="" title="" id="64" name="Picture"/>
                  <a:graphic>
                    <a:graphicData uri="http://schemas.openxmlformats.org/drawingml/2006/picture">
                      <pic:pic>
                        <pic:nvPicPr>
                          <pic:cNvPr descr="manuscript_files/figure-docx/fig-s2-ppd-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Experiment 2. Posterior predictive check of the bayesian regression model, faceted by reference class. The bars represent the observed frequencies of each accuracy level within each reference class. The points represent the model’s predicted proportions, with error bars indicating 95% credible intervals.</w:t>
            </w:r>
          </w:p>
          <w:bookmarkEnd w:id="66"/>
        </w:tc>
      </w:tr>
    </w:tbl>
    <w:p>
      <w:pPr>
        <w:pStyle w:val="SourceCode"/>
      </w:pPr>
      <w:r>
        <w:rPr>
          <w:rStyle w:val="NormalTok"/>
        </w:rPr>
        <w:t xml:space="preserve">s2_els_log_error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log_abs_error </w:t>
      </w:r>
      <w:r>
        <w:rPr>
          <w:rStyle w:val="SpecialCharTok"/>
        </w:rPr>
        <w:t xml:space="preserve">~</w:t>
      </w:r>
      <w:r>
        <w:rPr>
          <w:rStyle w:val="NormalTok"/>
        </w:rPr>
        <w:t xml:space="preserve"> els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s2_agg,</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0.97</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's2_els_log_error.rds'</w:t>
      </w:r>
      <w:r>
        <w:rPr>
          <w:rStyle w:val="NormalTok"/>
        </w:rPr>
        <w:t xml:space="preserve">)) </w:t>
      </w:r>
      <w:r>
        <w:br/>
      </w:r>
      <w:r>
        <w:rPr>
          <w:rStyle w:val="NormalTok"/>
        </w:rPr>
        <w:t xml:space="preserve">)</w:t>
      </w:r>
      <w:r>
        <w:br/>
      </w:r>
      <w:r>
        <w:rPr>
          <w:rStyle w:val="CommentTok"/>
        </w:rPr>
        <w:t xml:space="preserve">#summary(s2_els_log_error)</w:t>
      </w:r>
      <w:r>
        <w:br/>
      </w:r>
      <w:r>
        <w:rPr>
          <w:rStyle w:val="CommentTok"/>
        </w:rPr>
        <w:t xml:space="preserve"># Regression Coefficients:</w:t>
      </w:r>
      <w:r>
        <w:br/>
      </w:r>
      <w:r>
        <w:rPr>
          <w:rStyle w:val="CommentTok"/>
        </w:rPr>
        <w:t xml:space="preserve">#           Estimate Est.Error l-95% CI u-95% CI Rhat Bulk_ESS Tail_ESS</w:t>
      </w:r>
      <w:r>
        <w:br/>
      </w:r>
      <w:r>
        <w:rPr>
          <w:rStyle w:val="CommentTok"/>
        </w:rPr>
        <w:t xml:space="preserve"># Intercept    -1.10      0.27    -1.62    -0.56 1.00      975     1675</w:t>
      </w:r>
      <w:r>
        <w:br/>
      </w:r>
      <w:r>
        <w:rPr>
          <w:rStyle w:val="CommentTok"/>
        </w:rPr>
        <w:t xml:space="preserve"># els          -3.21      0.35    -3.89    -2.52 1.00      837     1508</w:t>
      </w:r>
      <w:r>
        <w:br/>
      </w:r>
      <w:r>
        <w:br/>
      </w:r>
      <w:r>
        <w:br/>
      </w:r>
      <w:r>
        <w:rPr>
          <w:rStyle w:val="NormalTok"/>
        </w:rPr>
        <w:t xml:space="preserve">conditional_effects_plot </w:t>
      </w:r>
      <w:r>
        <w:rPr>
          <w:rStyle w:val="OtherTok"/>
        </w:rPr>
        <w:t xml:space="preserve">&lt;-</w:t>
      </w:r>
      <w:r>
        <w:rPr>
          <w:rStyle w:val="NormalTok"/>
        </w:rPr>
        <w:t xml:space="preserve"> </w:t>
      </w:r>
      <w:r>
        <w:rPr>
          <w:rStyle w:val="FunctionTok"/>
        </w:rPr>
        <w:t xml:space="preserve">conditional_effects</w:t>
      </w:r>
      <w:r>
        <w:rPr>
          <w:rStyle w:val="NormalTok"/>
        </w:rPr>
        <w:t xml:space="preserve">(s2_els_log_error)</w:t>
      </w:r>
      <w:r>
        <w:br/>
      </w:r>
      <w:r>
        <w:rPr>
          <w:rStyle w:val="NormalTok"/>
        </w:rPr>
        <w:t xml:space="preserve">plot_data </w:t>
      </w:r>
      <w:r>
        <w:rPr>
          <w:rStyle w:val="OtherTok"/>
        </w:rPr>
        <w:t xml:space="preserve">&lt;-</w:t>
      </w:r>
      <w:r>
        <w:rPr>
          <w:rStyle w:val="NormalTok"/>
        </w:rPr>
        <w:t xml:space="preserve"> conditional_effects_plot[[</w:t>
      </w:r>
      <w:r>
        <w:rPr>
          <w:rStyle w:val="DecValTok"/>
        </w:rPr>
        <w:t xml:space="preserve">1</w:t>
      </w:r>
      <w:r>
        <w:rPr>
          <w:rStyle w:val="NormalTok"/>
        </w:rPr>
        <w:t xml:space="preserve">]]</w:t>
      </w:r>
      <w:r>
        <w:br/>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els, </w:t>
      </w:r>
      <w:r>
        <w:rPr>
          <w:rStyle w:val="AttributeTok"/>
        </w:rPr>
        <w:t xml:space="preserve">y =</w:t>
      </w:r>
      <w:r>
        <w:rPr>
          <w:rStyle w:val="NormalTok"/>
        </w:rPr>
        <w:t xml:space="preserve"> estimate__))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lower__, </w:t>
      </w:r>
      <w:r>
        <w:rPr>
          <w:rStyle w:val="AttributeTok"/>
        </w:rPr>
        <w:t xml:space="preserve">ymax =</w:t>
      </w:r>
      <w:r>
        <w:rPr>
          <w:rStyle w:val="NormalTok"/>
        </w:rPr>
        <w:t xml:space="preserve"> upper__),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"Energy Literacy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Absolute Error"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"Conditional Effect of Energy Literacy on Log Absolute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0" w:name="fig-s2-els"/>
          <w:p>
            <w:pPr>
              <w:pStyle w:val="Compact"/>
              <w:jc w:val="center"/>
            </w:pPr>
            <w:r>
              <w:drawing>
                <wp:inline>
                  <wp:extent cx="5334000" cy="4267200"/>
                  <wp:effectExtent b="0" l="0" r="0" t="0"/>
                  <wp:docPr descr="" title="" id="68" name="Picture"/>
                  <a:graphic>
                    <a:graphicData uri="http://schemas.openxmlformats.org/drawingml/2006/picture">
                      <pic:pic>
                        <pic:nvPicPr>
                          <pic:cNvPr descr="manuscript_files/figure-docx/fig-s2-els-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70"/>
        </w:tc>
      </w:tr>
    </w:tbl>
    <w:p>
      <w:pPr>
        <w:pStyle w:val="BodyText"/>
      </w:pPr>
      <w:r>
        <w:t xml:space="preserve">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71"/>
    <w:bookmarkStart w:id="72" w:name="experiment-2-discussion"/>
    <w:p>
      <w:pPr>
        <w:pStyle w:val="Heading2"/>
      </w:pPr>
      <w:r>
        <w:t xml:space="preserve">Experiment 2: Discussion</w:t>
      </w:r>
    </w:p>
    <w:p>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72"/>
    <w:bookmarkEnd w:id="73"/>
    <w:bookmarkStart w:id="76" w:name="general-discussion"/>
    <w:p>
      <w:pPr>
        <w:pStyle w:val="Heading1"/>
      </w:pPr>
      <w:r>
        <w:t xml:space="preserve">General Discussion</w:t>
      </w:r>
    </w:p>
    <w:p>
      <w:pPr>
        <w:pStyle w:val="FirstParagraph"/>
      </w:pPr>
      <w:r>
        <w:t xml:space="preserve">This study examined how different numerical representations of energy reduction goals influence consumers’ ability to create accurate energy conservation plans. Across two experiments, the findings consistently demonstrated that presenting reduction goals in absolute units (kWh) significantly enhanced planning accuracy compared to percentage-based or monetary formats. Furthermore, participants with higher energy literacy exhibited more precise planning across all conditions, underscoring the critical role of domain-specific knowledge in shaping decision-making outcomes.</w:t>
      </w:r>
    </w:p>
    <w:p>
      <w:pPr>
        <w:pStyle w:val="BodyText"/>
      </w:pPr>
      <w:r>
        <w:t xml:space="preserve">These results align with the broader literature on numerical cognition, which suggests that the format in which information is presented can profoundly affect comprehension and decision-making</w:t>
      </w:r>
      <w:r>
        <w:t xml:space="preserve"> </w:t>
      </w:r>
      <w:r>
        <w:t xml:space="preserve">(Gigerenzer &amp; Edwards, 2003; Reimer et al., 2015)</w:t>
      </w:r>
      <w:r>
        <w:t xml:space="preserve">. However, our study extends beyond simple estimations or judgments, demonstrating that the advantages of absolute units persist even in a more complex, multi-step planning task. Moreover, the consistent superiority of kWh over both percentages and USD provides novel insights into the specific challenges of energy-related decision-making. While prior research has suggested that consumers may prefer monetary feedback</w:t>
      </w:r>
      <w:r>
        <w:t xml:space="preserve"> </w:t>
      </w:r>
      <w:r>
        <w:t xml:space="preserve">(Karjalainen, 2011; Nemati &amp; Penn, 2020)</w:t>
      </w:r>
      <w:r>
        <w:t xml:space="preserve"> </w:t>
      </w:r>
      <w:r>
        <w:t xml:space="preserve">or that monetary framing can improve long-term appliance choices</w:t>
      </w:r>
      <w:r>
        <w:t xml:space="preserve"> </w:t>
      </w:r>
      <w:r>
        <w:t xml:space="preserve">(Blasch et al., 2019)</w:t>
      </w:r>
      <w:r>
        <w:t xml:space="preserve">, our findings indicate that when it comes to allocating specific usage reductions across appliances, absolute units are most effective. This may be because kWh provide a more direct and less ambiguous representation of energy quantities, facilitating the necessary calculations for accurate planning. Nevertheless, it is unclear whether the observed benefits of absolute units (i.e., kWh) are genuinely attributable to their absolute nature, or if other inherent characteristics of these units might be driving the effects.</w:t>
      </w:r>
      <w:r>
        <w:t xml:space="preserve"> </w:t>
      </w:r>
      <w:r>
        <w:t xml:space="preserve">Furthermore, the percentage-based reduction targets, while potentially more salient from a goal-setting perspective, also resulted in poorer planning outcomes compared to kWh. Such a finding suggests that reliance on percentages can further complicate calculations by adding unnecessary transformations in the problem-solving process, in line with the</w:t>
      </w:r>
      <w:r>
        <w:t xml:space="preserve"> </w:t>
      </w:r>
      <w:r>
        <w:t xml:space="preserve">“off by 100% bias”</w:t>
      </w:r>
      <w:r>
        <w:t xml:space="preserve"> </w:t>
      </w:r>
      <w:r>
        <w:t xml:space="preserve">found in</w:t>
      </w:r>
      <w:r>
        <w:t xml:space="preserve"> </w:t>
      </w:r>
      <w:r>
        <w:t xml:space="preserve">Fisher &amp; Mormann (2022)</w:t>
      </w:r>
      <w:r>
        <w:t xml:space="preserve">, where they show that individuals often misunderstand percentage changes greater than 100%. The relative ease in using absolute values to arrive at an accurate plan suggests that these representations of the planning task result in the most accurate planning strategies because the number of steps required to perform the required calculations are simpler.</w:t>
      </w:r>
    </w:p>
    <w:p>
      <w:pPr>
        <w:pStyle w:val="BodyText"/>
      </w:pPr>
      <w:r>
        <w:t xml:space="preserve">Moreover, the consistent positive relationship observed between energy literacy and planning accuracy across both experiments underscores the importance of baseline knowledge in effectively navigating energy-related information. Individuals with higher levels of energy literacy demonstrated a greater capacity to formulate accurate conservation plans, irrespective of the information format presented. This finding aligns with previous research highlighting the role of numeracy and domain-specific knowledge in improving judgments related to energy consumption</w:t>
      </w:r>
      <w:r>
        <w:t xml:space="preserve"> </w:t>
      </w:r>
      <w:r>
        <w:t xml:space="preserve">(Attari et al., 2010)</w:t>
      </w:r>
      <w:r>
        <w:t xml:space="preserve">. It further suggests that interventions aimed at enhancing consumers’ fundamental understanding of energy concepts could yield significant benefits in improving the effectiveness of energy conservation efforts.</w:t>
      </w:r>
    </w:p>
    <w:bookmarkStart w:id="75" w:name="limitations"/>
    <w:p>
      <w:pPr>
        <w:pStyle w:val="Heading2"/>
      </w:pPr>
      <w:r>
        <w:t xml:space="preserve">Limitations</w:t>
      </w:r>
    </w:p>
    <w:p>
      <w:pPr>
        <w:pStyle w:val="Compact"/>
        <w:numPr>
          <w:ilvl w:val="0"/>
          <w:numId w:val="1001"/>
        </w:numPr>
      </w:pPr>
      <w:r>
        <w:t xml:space="preserve">Each participant only completed 4 action plans</w:t>
      </w:r>
    </w:p>
    <w:p>
      <w:pPr>
        <w:pStyle w:val="Compact"/>
        <w:numPr>
          <w:ilvl w:val="0"/>
          <w:numId w:val="1001"/>
        </w:numPr>
      </w:pPr>
      <w:r>
        <w:t xml:space="preserve">calculator use not controlled.</w:t>
      </w:r>
    </w:p>
    <w:p>
      <w:r>
        <w:pict>
          <v:rect style="width:0;height:1.5pt" o:hralign="center" o:hrstd="t" o:hr="t"/>
        </w:pict>
      </w:r>
    </w:p>
    <w:p>
      <w:pPr>
        <w:pStyle w:val="FirstParagraph"/>
      </w:pPr>
      <w:r>
        <w:t xml:space="preserve">Supplementary information and materials can be found online at</w:t>
      </w:r>
      <w:r>
        <w:t xml:space="preserve"> </w:t>
      </w:r>
      <w:hyperlink r:id="rId74">
        <w:r>
          <w:rPr>
            <w:rStyle w:val="Hyperlink"/>
          </w:rPr>
          <w:t xml:space="preserve">this website</w:t>
        </w:r>
      </w:hyperlink>
    </w:p>
    <w:p>
      <w:r>
        <w:br w:type="page"/>
      </w:r>
    </w:p>
    <w:bookmarkEnd w:id="75"/>
    <w:bookmarkEnd w:id="76"/>
    <w:bookmarkStart w:id="116" w:name="references"/>
    <w:p>
      <w:pPr>
        <w:pStyle w:val="Heading1"/>
      </w:pPr>
      <w:r>
        <w:t xml:space="preserve">References</w:t>
      </w:r>
    </w:p>
    <w:bookmarkStart w:id="115" w:name="refs"/>
    <w:bookmarkStart w:id="78"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77">
        <w:r>
          <w:rPr>
            <w:rStyle w:val="Hyperlink"/>
          </w:rPr>
          <w:t xml:space="preserve">https://doi.org/10.1016/j.jenvp.2005.08.002</w:t>
        </w:r>
      </w:hyperlink>
    </w:p>
    <w:bookmarkEnd w:id="78"/>
    <w:bookmarkStart w:id="80"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79">
        <w:r>
          <w:rPr>
            <w:rStyle w:val="Hyperlink"/>
          </w:rPr>
          <w:t xml:space="preserve">https://doi.org/10.1073/pnas.1001509107</w:t>
        </w:r>
      </w:hyperlink>
    </w:p>
    <w:bookmarkEnd w:id="80"/>
    <w:bookmarkStart w:id="82" w:name="ref-bednarRecognitionResponseEnergy2020"/>
    <w:p>
      <w:pPr>
        <w:pStyle w:val="Bibliography"/>
      </w:pPr>
      <w:r>
        <w:t xml:space="preserve">Bednar, D. J., &amp; Reames, T. G. (2020). Recognition of and response to energy poverty in the</w:t>
      </w:r>
      <w:r>
        <w:t xml:space="preserve"> </w:t>
      </w:r>
      <w:r>
        <w:t xml:space="preserve">United States</w:t>
      </w:r>
      <w:r>
        <w:t xml:space="preserve">.</w:t>
      </w:r>
      <w:r>
        <w:t xml:space="preserve"> </w:t>
      </w:r>
      <w:r>
        <w:rPr>
          <w:i/>
          <w:iCs/>
        </w:rPr>
        <w:t xml:space="preserve">Nature Energy</w:t>
      </w:r>
      <w:r>
        <w:t xml:space="preserve">,</w:t>
      </w:r>
      <w:r>
        <w:t xml:space="preserve"> </w:t>
      </w:r>
      <w:r>
        <w:rPr>
          <w:i/>
          <w:iCs/>
        </w:rPr>
        <w:t xml:space="preserve">5</w:t>
      </w:r>
      <w:r>
        <w:t xml:space="preserve">(6), 432–439.</w:t>
      </w:r>
      <w:r>
        <w:t xml:space="preserve"> </w:t>
      </w:r>
      <w:hyperlink r:id="rId81">
        <w:r>
          <w:rPr>
            <w:rStyle w:val="Hyperlink"/>
          </w:rPr>
          <w:t xml:space="preserve">https://doi.org/10.1038/s41560-020-0582-0</w:t>
        </w:r>
      </w:hyperlink>
    </w:p>
    <w:bookmarkEnd w:id="82"/>
    <w:bookmarkStart w:id="84"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83">
        <w:r>
          <w:rPr>
            <w:rStyle w:val="Hyperlink"/>
          </w:rPr>
          <w:t xml:space="preserve">https://doi.org/10.1016/j.reseneeco.2017.06.001</w:t>
        </w:r>
      </w:hyperlink>
    </w:p>
    <w:bookmarkEnd w:id="84"/>
    <w:bookmarkStart w:id="86"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85">
        <w:r>
          <w:rPr>
            <w:rStyle w:val="Hyperlink"/>
          </w:rPr>
          <w:t xml:space="preserve">https://doi.org/10.18637/jss.v080.i01</w:t>
        </w:r>
      </w:hyperlink>
    </w:p>
    <w:bookmarkEnd w:id="86"/>
    <w:bookmarkStart w:id="88"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87">
        <w:r>
          <w:rPr>
            <w:rStyle w:val="Hyperlink"/>
          </w:rPr>
          <w:t xml:space="preserve">https://doi.org/10.1080/13669877.2015.1121909</w:t>
        </w:r>
      </w:hyperlink>
    </w:p>
    <w:bookmarkEnd w:id="88"/>
    <w:bookmarkStart w:id="90"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89">
        <w:r>
          <w:rPr>
            <w:rStyle w:val="Hyperlink"/>
          </w:rPr>
          <w:t xml:space="preserve">https://doi.org/10.1016/j.enpol.2010.12.049</w:t>
        </w:r>
      </w:hyperlink>
    </w:p>
    <w:bookmarkEnd w:id="90"/>
    <w:bookmarkStart w:id="92" w:name="ref-farghaliStrategiesEnergyContext2023"/>
    <w:p>
      <w:pPr>
        <w:pStyle w:val="Bibliography"/>
      </w:pPr>
      <w:r>
        <w:t xml:space="preserve">Farghali, M., Osman, A. I., Mohamed, I. M. A., Chen, Z., Chen, L., Ihara, I., Yap, P.-S., &amp; Rooney, D. W. (2023). Strategies to save energy in the context of the energy crisis: A review.</w:t>
      </w:r>
      <w:r>
        <w:t xml:space="preserve"> </w:t>
      </w:r>
      <w:r>
        <w:rPr>
          <w:i/>
          <w:iCs/>
        </w:rPr>
        <w:t xml:space="preserve">Environmental Chemistry Letters</w:t>
      </w:r>
      <w:r>
        <w:t xml:space="preserve">,</w:t>
      </w:r>
      <w:r>
        <w:t xml:space="preserve"> </w:t>
      </w:r>
      <w:r>
        <w:rPr>
          <w:i/>
          <w:iCs/>
        </w:rPr>
        <w:t xml:space="preserve">21</w:t>
      </w:r>
      <w:r>
        <w:t xml:space="preserve">(4), 2003–2039.</w:t>
      </w:r>
      <w:r>
        <w:t xml:space="preserve"> </w:t>
      </w:r>
      <w:hyperlink r:id="rId91">
        <w:r>
          <w:rPr>
            <w:rStyle w:val="Hyperlink"/>
          </w:rPr>
          <w:t xml:space="preserve">https://doi.org/10.1007/s10311-023-01591-5</w:t>
        </w:r>
      </w:hyperlink>
    </w:p>
    <w:bookmarkEnd w:id="92"/>
    <w:bookmarkStart w:id="94"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93">
        <w:r>
          <w:rPr>
            <w:rStyle w:val="Hyperlink"/>
          </w:rPr>
          <w:t xml:space="preserve">https://doi.org/10.1007/s12053-008-9009-7</w:t>
        </w:r>
      </w:hyperlink>
    </w:p>
    <w:bookmarkEnd w:id="94"/>
    <w:bookmarkStart w:id="96" w:name="ref-fisher100BiasEffects2022"/>
    <w:p>
      <w:pPr>
        <w:pStyle w:val="Bibliography"/>
      </w:pPr>
      <w:r>
        <w:t xml:space="preserve">Fisher, M., &amp; Mormann, M. (2022). The</w:t>
      </w:r>
      <w:r>
        <w:t xml:space="preserve"> </w:t>
      </w:r>
      <w:r>
        <w:t xml:space="preserve">Off</w:t>
      </w:r>
      <w:r>
        <w:t xml:space="preserve"> </w:t>
      </w:r>
      <w:r>
        <w:t xml:space="preserve">by 100%</w:t>
      </w:r>
      <w:r>
        <w:t xml:space="preserve"> </w:t>
      </w:r>
      <w:r>
        <w:t xml:space="preserve">Bias</w:t>
      </w:r>
      <w:r>
        <w:t xml:space="preserve">:</w:t>
      </w:r>
      <w:r>
        <w:t xml:space="preserve"> </w:t>
      </w:r>
      <w:r>
        <w:t xml:space="preserve">The Effects</w:t>
      </w:r>
      <w:r>
        <w:t xml:space="preserve"> </w:t>
      </w:r>
      <w:r>
        <w:t xml:space="preserve">of</w:t>
      </w:r>
      <w:r>
        <w:t xml:space="preserve"> </w:t>
      </w:r>
      <w:r>
        <w:t xml:space="preserve">Percentage Changes Greater</w:t>
      </w:r>
      <w:r>
        <w:t xml:space="preserve"> </w:t>
      </w:r>
      <w:r>
        <w:t xml:space="preserve">than 100% on</w:t>
      </w:r>
      <w:r>
        <w:t xml:space="preserve"> </w:t>
      </w:r>
      <w:r>
        <w:t xml:space="preserve">Magnitude Judgments</w:t>
      </w:r>
      <w:r>
        <w:t xml:space="preserve"> </w:t>
      </w:r>
      <w:r>
        <w:t xml:space="preserve">and</w:t>
      </w:r>
      <w:r>
        <w:t xml:space="preserve"> </w:t>
      </w:r>
      <w:r>
        <w:t xml:space="preserve">Consumer Choice</w:t>
      </w:r>
      <w:r>
        <w:t xml:space="preserve">.</w:t>
      </w:r>
      <w:r>
        <w:t xml:space="preserve"> </w:t>
      </w:r>
      <w:r>
        <w:rPr>
          <w:i/>
          <w:iCs/>
        </w:rPr>
        <w:t xml:space="preserve">Journal of Consumer Research</w:t>
      </w:r>
      <w:r>
        <w:t xml:space="preserve">,</w:t>
      </w:r>
      <w:r>
        <w:t xml:space="preserve"> </w:t>
      </w:r>
      <w:r>
        <w:rPr>
          <w:i/>
          <w:iCs/>
        </w:rPr>
        <w:t xml:space="preserve">49</w:t>
      </w:r>
      <w:r>
        <w:t xml:space="preserve">(4), 561–573.</w:t>
      </w:r>
      <w:r>
        <w:t xml:space="preserve"> </w:t>
      </w:r>
      <w:hyperlink r:id="rId95">
        <w:r>
          <w:rPr>
            <w:rStyle w:val="Hyperlink"/>
          </w:rPr>
          <w:t xml:space="preserve">https://doi.org/10.1093/jcr/ucac006</w:t>
        </w:r>
      </w:hyperlink>
    </w:p>
    <w:bookmarkEnd w:id="96"/>
    <w:bookmarkStart w:id="98"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97">
        <w:r>
          <w:rPr>
            <w:rStyle w:val="Hyperlink"/>
          </w:rPr>
          <w:t xml:space="preserve">https://doi.org/10.1136/bmj.327.7417.741</w:t>
        </w:r>
      </w:hyperlink>
    </w:p>
    <w:bookmarkEnd w:id="98"/>
    <w:bookmarkStart w:id="100"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99">
        <w:r>
          <w:rPr>
            <w:rStyle w:val="Hyperlink"/>
          </w:rPr>
          <w:t xml:space="preserve">https://doi.org/10.1002/cb.2051</w:t>
        </w:r>
      </w:hyperlink>
    </w:p>
    <w:bookmarkEnd w:id="100"/>
    <w:bookmarkStart w:id="102"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101">
        <w:r>
          <w:rPr>
            <w:rStyle w:val="Hyperlink"/>
          </w:rPr>
          <w:t xml:space="preserve">https://doi.org/10.1016/j.enbuild.2010.10.010</w:t>
        </w:r>
      </w:hyperlink>
    </w:p>
    <w:bookmarkEnd w:id="102"/>
    <w:bookmarkStart w:id="104"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03">
        <w:r>
          <w:rPr>
            <w:rStyle w:val="Hyperlink"/>
          </w:rPr>
          <w:t xml:space="preserve">https://doi.org/10.1038/s41560-020-00763-9</w:t>
        </w:r>
      </w:hyperlink>
    </w:p>
    <w:bookmarkEnd w:id="104"/>
    <w:bookmarkStart w:id="106"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105">
        <w:r>
          <w:rPr>
            <w:rStyle w:val="Hyperlink"/>
          </w:rPr>
          <w:t xml:space="preserve">https://doi.org/10.1016/j.reseneeco.2020.101201</w:t>
        </w:r>
      </w:hyperlink>
    </w:p>
    <w:bookmarkEnd w:id="106"/>
    <w:bookmarkStart w:id="107"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07"/>
    <w:bookmarkStart w:id="108"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08"/>
    <w:bookmarkStart w:id="110"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109">
        <w:r>
          <w:rPr>
            <w:rStyle w:val="Hyperlink"/>
          </w:rPr>
          <w:t xml:space="preserve">https://doi.org/10.1016/j.jdeveco.2023.103202</w:t>
        </w:r>
      </w:hyperlink>
    </w:p>
    <w:bookmarkEnd w:id="110"/>
    <w:bookmarkStart w:id="112"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111">
        <w:r>
          <w:rPr>
            <w:rStyle w:val="Hyperlink"/>
          </w:rPr>
          <w:t xml:space="preserve">https://doi.org/10.3389/fpsyg.2018.01833</w:t>
        </w:r>
      </w:hyperlink>
    </w:p>
    <w:bookmarkEnd w:id="112"/>
    <w:bookmarkStart w:id="114"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3">
        <w:r>
          <w:rPr>
            <w:rStyle w:val="Hyperlink"/>
          </w:rPr>
          <w:t xml:space="preserve">https://doi.org/10.21105/joss.01686</w:t>
        </w:r>
      </w:hyperlink>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59" Target="media/rId59.png" /><Relationship Type="http://schemas.openxmlformats.org/officeDocument/2006/relationships/image" Id="rId67" Target="media/rId67.png" /><Relationship Type="http://schemas.openxmlformats.org/officeDocument/2006/relationships/image" Id="rId52" Target="media/rId52.png" /><Relationship Type="http://schemas.openxmlformats.org/officeDocument/2006/relationships/image" Id="rId63" Target="media/rId63.png" /><Relationship Type="http://schemas.openxmlformats.org/officeDocument/2006/relationships/hyperlink" Id="rId99" Target="https://doi.org/10.1002/cb.2051" TargetMode="External" /><Relationship Type="http://schemas.openxmlformats.org/officeDocument/2006/relationships/hyperlink" Id="rId91" Target="https://doi.org/10.1007/s10311-023-01591-5" TargetMode="External" /><Relationship Type="http://schemas.openxmlformats.org/officeDocument/2006/relationships/hyperlink" Id="rId93" Target="https://doi.org/10.1007/s12053-008-9009-7" TargetMode="External" /><Relationship Type="http://schemas.openxmlformats.org/officeDocument/2006/relationships/hyperlink" Id="rId101" Target="https://doi.org/10.1016/j.enbuild.2010.10.010" TargetMode="External" /><Relationship Type="http://schemas.openxmlformats.org/officeDocument/2006/relationships/hyperlink" Id="rId89" Target="https://doi.org/10.1016/j.enpol.2010.12.049" TargetMode="External" /><Relationship Type="http://schemas.openxmlformats.org/officeDocument/2006/relationships/hyperlink" Id="rId109" Target="https://doi.org/10.1016/j.jdeveco.2023.103202" TargetMode="External" /><Relationship Type="http://schemas.openxmlformats.org/officeDocument/2006/relationships/hyperlink" Id="rId77" Target="https://doi.org/10.1016/j.jenvp.2005.08.002" TargetMode="External" /><Relationship Type="http://schemas.openxmlformats.org/officeDocument/2006/relationships/hyperlink" Id="rId83" Target="https://doi.org/10.1016/j.reseneeco.2017.06.001" TargetMode="External" /><Relationship Type="http://schemas.openxmlformats.org/officeDocument/2006/relationships/hyperlink" Id="rId105" Target="https://doi.org/10.1016/j.reseneeco.2020.101201" TargetMode="External" /><Relationship Type="http://schemas.openxmlformats.org/officeDocument/2006/relationships/hyperlink" Id="rId103" Target="https://doi.org/10.1038/s41560-020-00763-9" TargetMode="External" /><Relationship Type="http://schemas.openxmlformats.org/officeDocument/2006/relationships/hyperlink" Id="rId81" Target="https://doi.org/10.1038/s41560-020-0582-0" TargetMode="External" /><Relationship Type="http://schemas.openxmlformats.org/officeDocument/2006/relationships/hyperlink" Id="rId79" Target="https://doi.org/10.1073/pnas.1001509107" TargetMode="External" /><Relationship Type="http://schemas.openxmlformats.org/officeDocument/2006/relationships/hyperlink" Id="rId87" Target="https://doi.org/10.1080/13669877.2015.1121909" TargetMode="External" /><Relationship Type="http://schemas.openxmlformats.org/officeDocument/2006/relationships/hyperlink" Id="rId95" Target="https://doi.org/10.1093/jcr/ucac006" TargetMode="External" /><Relationship Type="http://schemas.openxmlformats.org/officeDocument/2006/relationships/hyperlink" Id="rId97" Target="https://doi.org/10.1136/bmj.327.7417.741" TargetMode="External" /><Relationship Type="http://schemas.openxmlformats.org/officeDocument/2006/relationships/hyperlink" Id="rId85" Target="https://doi.org/10.18637/jss.v080.i01" TargetMode="External" /><Relationship Type="http://schemas.openxmlformats.org/officeDocument/2006/relationships/hyperlink" Id="rId113" Target="https://doi.org/10.21105/joss.01686" TargetMode="External" /><Relationship Type="http://schemas.openxmlformats.org/officeDocument/2006/relationships/hyperlink" Id="rId111" Target="https://doi.org/10.3389/fpsyg.2018.01833" TargetMode="External" /><Relationship Type="http://schemas.openxmlformats.org/officeDocument/2006/relationships/hyperlink" Id="rId74" Target="https://tegorman13.github.io/Representation_Study/manuscript/output/appendix.html" TargetMode="External" /></Relationships>
</file>

<file path=word/_rels/footnotes.xml.rels><?xml version="1.0" encoding="UTF-8"?><Relationships xmlns="http://schemas.openxmlformats.org/package/2006/relationships"><Relationship Type="http://schemas.openxmlformats.org/officeDocument/2006/relationships/hyperlink" Id="rId99" Target="https://doi.org/10.1002/cb.2051" TargetMode="External" /><Relationship Type="http://schemas.openxmlformats.org/officeDocument/2006/relationships/hyperlink" Id="rId91" Target="https://doi.org/10.1007/s10311-023-01591-5" TargetMode="External" /><Relationship Type="http://schemas.openxmlformats.org/officeDocument/2006/relationships/hyperlink" Id="rId93" Target="https://doi.org/10.1007/s12053-008-9009-7" TargetMode="External" /><Relationship Type="http://schemas.openxmlformats.org/officeDocument/2006/relationships/hyperlink" Id="rId101" Target="https://doi.org/10.1016/j.enbuild.2010.10.010" TargetMode="External" /><Relationship Type="http://schemas.openxmlformats.org/officeDocument/2006/relationships/hyperlink" Id="rId89" Target="https://doi.org/10.1016/j.enpol.2010.12.049" TargetMode="External" /><Relationship Type="http://schemas.openxmlformats.org/officeDocument/2006/relationships/hyperlink" Id="rId109" Target="https://doi.org/10.1016/j.jdeveco.2023.103202" TargetMode="External" /><Relationship Type="http://schemas.openxmlformats.org/officeDocument/2006/relationships/hyperlink" Id="rId77" Target="https://doi.org/10.1016/j.jenvp.2005.08.002" TargetMode="External" /><Relationship Type="http://schemas.openxmlformats.org/officeDocument/2006/relationships/hyperlink" Id="rId83" Target="https://doi.org/10.1016/j.reseneeco.2017.06.001" TargetMode="External" /><Relationship Type="http://schemas.openxmlformats.org/officeDocument/2006/relationships/hyperlink" Id="rId105" Target="https://doi.org/10.1016/j.reseneeco.2020.101201" TargetMode="External" /><Relationship Type="http://schemas.openxmlformats.org/officeDocument/2006/relationships/hyperlink" Id="rId103" Target="https://doi.org/10.1038/s41560-020-00763-9" TargetMode="External" /><Relationship Type="http://schemas.openxmlformats.org/officeDocument/2006/relationships/hyperlink" Id="rId81" Target="https://doi.org/10.1038/s41560-020-0582-0" TargetMode="External" /><Relationship Type="http://schemas.openxmlformats.org/officeDocument/2006/relationships/hyperlink" Id="rId79" Target="https://doi.org/10.1073/pnas.1001509107" TargetMode="External" /><Relationship Type="http://schemas.openxmlformats.org/officeDocument/2006/relationships/hyperlink" Id="rId87" Target="https://doi.org/10.1080/13669877.2015.1121909" TargetMode="External" /><Relationship Type="http://schemas.openxmlformats.org/officeDocument/2006/relationships/hyperlink" Id="rId95" Target="https://doi.org/10.1093/jcr/ucac006" TargetMode="External" /><Relationship Type="http://schemas.openxmlformats.org/officeDocument/2006/relationships/hyperlink" Id="rId97" Target="https://doi.org/10.1136/bmj.327.7417.741" TargetMode="External" /><Relationship Type="http://schemas.openxmlformats.org/officeDocument/2006/relationships/hyperlink" Id="rId85" Target="https://doi.org/10.18637/jss.v080.i01" TargetMode="External" /><Relationship Type="http://schemas.openxmlformats.org/officeDocument/2006/relationships/hyperlink" Id="rId113" Target="https://doi.org/10.21105/joss.01686" TargetMode="External" /><Relationship Type="http://schemas.openxmlformats.org/officeDocument/2006/relationships/hyperlink" Id="rId111" Target="https://doi.org/10.3389/fpsyg.2018.01833" TargetMode="External" /><Relationship Type="http://schemas.openxmlformats.org/officeDocument/2006/relationships/hyperlink" Id="rId74" Target="https://tegorman13.github.io/Representation_Study/manuscript/output/appendi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2025-01-12T19:37:49Z</dcterms:created>
  <dcterms:modified xsi:type="dcterms:W3CDTF">2025-01-12T19:37:49Z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2025-01-09</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