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59.png" ContentType="image/png"/>
  <Override PartName="/word/media/rId67.png" ContentType="image/png"/>
  <Override PartName="/word/media/rId5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Sunday, January 12, 2025</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(Bednar &amp; Reames, 2020; Memmott et al., 2021)</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(Memmott et al., 2021)</w:t>
      </w:r>
      <w:r>
        <w:t xml:space="preserve">. Moreover, residential energy use contributes to climate change, intensifying the urgency for sustainable solutions</w:t>
      </w:r>
      <w:r>
        <w:t xml:space="preserve"> </w:t>
      </w:r>
      <w:r>
        <w:t xml:space="preserve">(Farghali et al., 2023)</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Interventions often focus on X, Y, Z. For example, …</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20" w:name="representation-formats"/>
    <w:p>
      <w:pPr>
        <w:pStyle w:val="Heading3"/>
      </w:pPr>
      <w:r>
        <w:t xml:space="preserve">Representation Formats</w:t>
      </w:r>
    </w:p>
    <w:p>
      <w:pPr>
        <w:pStyle w:val="FirstParagraph"/>
      </w:pPr>
      <w:r>
        <w:t xml:space="preserve">Receiving feedback about one’s energy use is an important step in identifying potential actions to reduce energy consumption. However, it is crucial to understand how consumers use the information that is given with their energy bill and whether consumers are able to translate a energy saving goal into an action plan.</w:t>
      </w:r>
    </w:p>
    <w:p>
      <w:pPr>
        <w:pStyle w:val="BodyText"/>
      </w:pPr>
      <w:r>
        <w:t xml:space="preserve">Building on the study of Canfield et al. (2017), we aimed to test xxx.</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(2024)</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(Nemati &amp; Penn, 2020)</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task of household energy planning, where usage patterns are multifaceted and subject to a variety of contextual influences.</w:t>
      </w:r>
    </w:p>
    <w:bookmarkEnd w:id="20"/>
    <w:bookmarkStart w:id="21"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Data from 17 participants were corrupted due to experimenter error, and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participants’ knowledge of energy consumption and conversion</w:t>
      </w:r>
      <w:r>
        <w:t xml:space="preserve"> </w:t>
      </w:r>
      <w:r>
        <w:t xml:space="preserve">(DeWaters &amp; Powers, 2011)</w:t>
      </w:r>
      <w:r>
        <w:t xml:space="preserve">, and a question indicating whether they used a calculator for the task.</w:t>
      </w:r>
    </w:p>
    <w:bookmarkEnd w:id="24"/>
    <w:bookmarkStart w:id="29"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 Participants were informed at the start of the task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washer/dryer).For each family scenario, participants were shown a table containing the families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presented either in kilowatt-hours (kWh), as a percentage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943600" cy="6795002"/>
                  <wp:effectExtent b="0" l="0" r="0" t="0"/>
                  <wp:docPr descr="" title="" id="26" name="Picture"/>
                  <a:graphic>
                    <a:graphicData uri="http://schemas.openxmlformats.org/drawingml/2006/picture">
                      <pic:pic>
                        <pic:nvPicPr>
                          <pic:cNvPr descr="./assets/images/wells10e_pub.png" id="27" name="Picture"/>
                          <pic:cNvPicPr>
                            <a:picLocks noChangeArrowheads="1" noChangeAspect="1"/>
                          </pic:cNvPicPr>
                        </pic:nvPicPr>
                        <pic:blipFill>
                          <a:blip r:embed="rId25"/>
                          <a:stretch>
                            <a:fillRect/>
                          </a:stretch>
                        </pic:blipFill>
                        <pic:spPr bwMode="auto">
                          <a:xfrm>
                            <a:off x="0" y="0"/>
                            <a:ext cx="5943600" cy="67950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28"/>
        </w:tc>
      </w:tr>
    </w:tbl>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shows 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943600" cy="4322618"/>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943600" cy="43226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943600" cy="475488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s1-els"/>
          <w:p>
            <w:pPr>
              <w:pStyle w:val="Compact"/>
              <w:jc w:val="center"/>
            </w:pPr>
            <w:r>
              <w:drawing>
                <wp:inline>
                  <wp:extent cx="5943600" cy="475488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6"/>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3" w:name="experiment-2"/>
    <w:p>
      <w:pPr>
        <w:pStyle w:val="Heading1"/>
      </w:pPr>
      <w:r>
        <w:t xml:space="preserve">Experiment 2</w:t>
      </w:r>
    </w:p>
    <w:bookmarkStart w:id="51"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51"/>
    <w:bookmarkStart w:id="71"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943600" cy="4322618"/>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943600" cy="43226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5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943600" cy="4322618"/>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943600" cy="43226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943600" cy="475488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bookmarkEnd w:id="66"/>
        </w:tc>
      </w:tr>
    </w:tbl>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943600" cy="475488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5"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(Gigerenzer &amp; Edwards, 2003; Reimer et al., 2015)</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(Attari et al., 2010; Canfield et al., 2017)</w:t>
      </w:r>
    </w:p>
    <w:p>
      <w:pPr>
        <w:pStyle w:val="BodyText"/>
      </w:pPr>
      <w:r>
        <w:t xml:space="preserve">While prior research has suggested that consumers sometimes prefer monetary formats</w:t>
      </w:r>
      <w:r>
        <w:t xml:space="preserve">(Karjalainen, 2011; Nemati &amp; Penn, 2020)</w:t>
      </w:r>
      <w:r>
        <w:t xml:space="preserve"> </w:t>
      </w:r>
      <w:r>
        <w:t xml:space="preserve">or that monetary framing can improve appliance choices</w:t>
      </w:r>
      <w:r>
        <w:t xml:space="preserve"> </w:t>
      </w:r>
      <w:r>
        <w:t xml:space="preserve">(Blasch et al., 2019)</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(Fisher &amp; Mormann, 2022)</w:t>
      </w:r>
      <w:r>
        <w:t xml:space="preserve">. Research on consumer heuristics in energy judgments</w:t>
      </w:r>
      <w:r>
        <w:t xml:space="preserve"> </w:t>
      </w:r>
      <w:r>
        <w:t xml:space="preserve">(Van Den Broek &amp; Walker, 2019)</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(Herberz et al., 2020)</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(Fischer, 2008)</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(Tonke, 2024)</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74">
        <w:r>
          <w:rPr>
            <w:rStyle w:val="Hyperlink"/>
          </w:rPr>
          <w:t xml:space="preserve">this website</w:t>
        </w:r>
      </w:hyperlink>
    </w:p>
    <w:p>
      <w:r>
        <w:br w:type="page"/>
      </w:r>
    </w:p>
    <w:bookmarkEnd w:id="75"/>
    <w:bookmarkStart w:id="119" w:name="references"/>
    <w:p>
      <w:pPr>
        <w:pStyle w:val="Heading1"/>
      </w:pPr>
      <w:r>
        <w:t xml:space="preserve">References</w:t>
      </w:r>
    </w:p>
    <w:bookmarkStart w:id="118" w:name="refs"/>
    <w:bookmarkStart w:id="77"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6">
        <w:r>
          <w:rPr>
            <w:rStyle w:val="Hyperlink"/>
          </w:rPr>
          <w:t xml:space="preserve">https://doi.org/10.1016/j.jenvp.2005.08.002</w:t>
        </w:r>
      </w:hyperlink>
    </w:p>
    <w:bookmarkEnd w:id="77"/>
    <w:bookmarkStart w:id="79"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8">
        <w:r>
          <w:rPr>
            <w:rStyle w:val="Hyperlink"/>
          </w:rPr>
          <w:t xml:space="preserve">https://doi.org/10.1073/pnas.1001509107</w:t>
        </w:r>
      </w:hyperlink>
    </w:p>
    <w:bookmarkEnd w:id="79"/>
    <w:bookmarkStart w:id="81"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80">
        <w:r>
          <w:rPr>
            <w:rStyle w:val="Hyperlink"/>
          </w:rPr>
          <w:t xml:space="preserve">https://doi.org/10.1038/s41560-020-0582-0</w:t>
        </w:r>
      </w:hyperlink>
    </w:p>
    <w:bookmarkEnd w:id="81"/>
    <w:bookmarkStart w:id="83"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2">
        <w:r>
          <w:rPr>
            <w:rStyle w:val="Hyperlink"/>
          </w:rPr>
          <w:t xml:space="preserve">https://doi.org/10.1016/j.reseneeco.2017.06.001</w:t>
        </w:r>
      </w:hyperlink>
    </w:p>
    <w:bookmarkEnd w:id="83"/>
    <w:bookmarkStart w:id="8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4">
        <w:r>
          <w:rPr>
            <w:rStyle w:val="Hyperlink"/>
          </w:rPr>
          <w:t xml:space="preserve">https://doi.org/10.18637/jss.v080.i01</w:t>
        </w:r>
      </w:hyperlink>
    </w:p>
    <w:bookmarkEnd w:id="85"/>
    <w:bookmarkStart w:id="87"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6">
        <w:r>
          <w:rPr>
            <w:rStyle w:val="Hyperlink"/>
          </w:rPr>
          <w:t xml:space="preserve">https://doi.org/10.1080/13669877.2015.1121909</w:t>
        </w:r>
      </w:hyperlink>
    </w:p>
    <w:bookmarkEnd w:id="87"/>
    <w:bookmarkStart w:id="89"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8">
        <w:r>
          <w:rPr>
            <w:rStyle w:val="Hyperlink"/>
          </w:rPr>
          <w:t xml:space="preserve">https://doi.org/10.1016/j.enpol.2010.12.049</w:t>
        </w:r>
      </w:hyperlink>
    </w:p>
    <w:bookmarkEnd w:id="89"/>
    <w:bookmarkStart w:id="91"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90">
        <w:r>
          <w:rPr>
            <w:rStyle w:val="Hyperlink"/>
          </w:rPr>
          <w:t xml:space="preserve">https://doi.org/10.1007/s10311-023-01591-5</w:t>
        </w:r>
      </w:hyperlink>
    </w:p>
    <w:bookmarkEnd w:id="91"/>
    <w:bookmarkStart w:id="93"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2">
        <w:r>
          <w:rPr>
            <w:rStyle w:val="Hyperlink"/>
          </w:rPr>
          <w:t xml:space="preserve">https://doi.org/10.1007/s12053-008-9009-7</w:t>
        </w:r>
      </w:hyperlink>
    </w:p>
    <w:bookmarkEnd w:id="93"/>
    <w:bookmarkStart w:id="95"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4">
        <w:r>
          <w:rPr>
            <w:rStyle w:val="Hyperlink"/>
          </w:rPr>
          <w:t xml:space="preserve">https://doi.org/10.1093/jcr/ucac006</w:t>
        </w:r>
      </w:hyperlink>
    </w:p>
    <w:bookmarkEnd w:id="95"/>
    <w:bookmarkStart w:id="97"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6">
        <w:r>
          <w:rPr>
            <w:rStyle w:val="Hyperlink"/>
          </w:rPr>
          <w:t xml:space="preserve">https://doi.org/10.1136/bmj.327.7417.741</w:t>
        </w:r>
      </w:hyperlink>
    </w:p>
    <w:bookmarkEnd w:id="97"/>
    <w:bookmarkStart w:id="99"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8">
        <w:r>
          <w:rPr>
            <w:rStyle w:val="Hyperlink"/>
          </w:rPr>
          <w:t xml:space="preserve">https://doi.org/10.1002/cb.2051</w:t>
        </w:r>
      </w:hyperlink>
    </w:p>
    <w:bookmarkEnd w:id="99"/>
    <w:bookmarkStart w:id="101"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00">
        <w:r>
          <w:rPr>
            <w:rStyle w:val="Hyperlink"/>
          </w:rPr>
          <w:t xml:space="preserve">https://doi.org/10.1017/S1930297500008172</w:t>
        </w:r>
      </w:hyperlink>
    </w:p>
    <w:bookmarkEnd w:id="101"/>
    <w:bookmarkStart w:id="10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2">
        <w:r>
          <w:rPr>
            <w:rStyle w:val="Hyperlink"/>
          </w:rPr>
          <w:t xml:space="preserve">https://doi.org/10.1016/j.enbuild.2010.10.010</w:t>
        </w:r>
      </w:hyperlink>
    </w:p>
    <w:bookmarkEnd w:id="103"/>
    <w:bookmarkStart w:id="105"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4">
        <w:r>
          <w:rPr>
            <w:rStyle w:val="Hyperlink"/>
          </w:rPr>
          <w:t xml:space="preserve">https://doi.org/10.1038/s41560-020-00763-9</w:t>
        </w:r>
      </w:hyperlink>
    </w:p>
    <w:bookmarkEnd w:id="105"/>
    <w:bookmarkStart w:id="107"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6">
        <w:r>
          <w:rPr>
            <w:rStyle w:val="Hyperlink"/>
          </w:rPr>
          <w:t xml:space="preserve">https://doi.org/10.1016/j.reseneeco.2020.101201</w:t>
        </w:r>
      </w:hyperlink>
    </w:p>
    <w:bookmarkEnd w:id="107"/>
    <w:bookmarkStart w:id="108"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8"/>
    <w:bookmarkStart w:id="109"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09"/>
    <w:bookmarkStart w:id="111"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10">
        <w:r>
          <w:rPr>
            <w:rStyle w:val="Hyperlink"/>
          </w:rPr>
          <w:t xml:space="preserve">https://doi.org/10.1016/j.jdeveco.2023.103202</w:t>
        </w:r>
      </w:hyperlink>
    </w:p>
    <w:bookmarkEnd w:id="111"/>
    <w:bookmarkStart w:id="113"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12">
        <w:r>
          <w:rPr>
            <w:rStyle w:val="Hyperlink"/>
          </w:rPr>
          <w:t xml:space="preserve">https://doi.org/10.1016/j.jenvp.2019.02.008</w:t>
        </w:r>
      </w:hyperlink>
    </w:p>
    <w:bookmarkEnd w:id="113"/>
    <w:bookmarkStart w:id="115"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4">
        <w:r>
          <w:rPr>
            <w:rStyle w:val="Hyperlink"/>
          </w:rPr>
          <w:t xml:space="preserve">https://doi.org/10.3389/fpsyg.2018.01833</w:t>
        </w:r>
      </w:hyperlink>
    </w:p>
    <w:bookmarkEnd w:id="115"/>
    <w:bookmarkStart w:id="117"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6">
        <w:r>
          <w:rPr>
            <w:rStyle w:val="Hyperlink"/>
          </w:rPr>
          <w:t xml:space="preserve">https://doi.org/10.21105/joss.01686</w:t>
        </w:r>
      </w:hyperlink>
    </w:p>
    <w:bookmarkEnd w:id="117"/>
    <w:bookmarkEnd w:id="118"/>
    <w:bookmarkEnd w:id="119"/>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hyperlink" Id="rId98" Target="https://doi.org/10.1002/cb.2051" TargetMode="External" /><Relationship Type="http://schemas.openxmlformats.org/officeDocument/2006/relationships/hyperlink" Id="rId90" Target="https://doi.org/10.1007/s10311-023-01591-5" TargetMode="External" /><Relationship Type="http://schemas.openxmlformats.org/officeDocument/2006/relationships/hyperlink" Id="rId92" Target="https://doi.org/10.1007/s12053-008-9009-7" TargetMode="External" /><Relationship Type="http://schemas.openxmlformats.org/officeDocument/2006/relationships/hyperlink" Id="rId102" Target="https://doi.org/10.1016/j.enbuild.2010.10.010" TargetMode="External" /><Relationship Type="http://schemas.openxmlformats.org/officeDocument/2006/relationships/hyperlink" Id="rId88" Target="https://doi.org/10.1016/j.enpol.2010.12.049" TargetMode="External" /><Relationship Type="http://schemas.openxmlformats.org/officeDocument/2006/relationships/hyperlink" Id="rId110"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112" Target="https://doi.org/10.1016/j.jenvp.2019.02.008" TargetMode="External" /><Relationship Type="http://schemas.openxmlformats.org/officeDocument/2006/relationships/hyperlink" Id="rId82" Target="https://doi.org/10.1016/j.reseneeco.2017.06.001" TargetMode="External" /><Relationship Type="http://schemas.openxmlformats.org/officeDocument/2006/relationships/hyperlink" Id="rId106" Target="https://doi.org/10.1016/j.reseneeco.2020.101201" TargetMode="External" /><Relationship Type="http://schemas.openxmlformats.org/officeDocument/2006/relationships/hyperlink" Id="rId100" Target="https://doi.org/10.1017/S1930297500008172" TargetMode="External" /><Relationship Type="http://schemas.openxmlformats.org/officeDocument/2006/relationships/hyperlink" Id="rId104" Target="https://doi.org/10.1038/s41560-020-00763-9" TargetMode="External" /><Relationship Type="http://schemas.openxmlformats.org/officeDocument/2006/relationships/hyperlink" Id="rId80" Target="https://doi.org/10.1038/s41560-020-0582-0" TargetMode="External" /><Relationship Type="http://schemas.openxmlformats.org/officeDocument/2006/relationships/hyperlink" Id="rId78" Target="https://doi.org/10.1073/pnas.1001509107" TargetMode="External" /><Relationship Type="http://schemas.openxmlformats.org/officeDocument/2006/relationships/hyperlink" Id="rId86" Target="https://doi.org/10.1080/13669877.2015.1121909" TargetMode="External" /><Relationship Type="http://schemas.openxmlformats.org/officeDocument/2006/relationships/hyperlink" Id="rId94" Target="https://doi.org/10.1093/jcr/ucac006" TargetMode="External" /><Relationship Type="http://schemas.openxmlformats.org/officeDocument/2006/relationships/hyperlink" Id="rId96" Target="https://doi.org/10.1136/bmj.327.7417.741" TargetMode="External" /><Relationship Type="http://schemas.openxmlformats.org/officeDocument/2006/relationships/hyperlink" Id="rId84" Target="https://doi.org/10.18637/jss.v080.i01" TargetMode="External" /><Relationship Type="http://schemas.openxmlformats.org/officeDocument/2006/relationships/hyperlink" Id="rId116" Target="https://doi.org/10.21105/joss.01686" TargetMode="External" /><Relationship Type="http://schemas.openxmlformats.org/officeDocument/2006/relationships/hyperlink" Id="rId114"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cb.2051" TargetMode="External" /><Relationship Type="http://schemas.openxmlformats.org/officeDocument/2006/relationships/hyperlink" Id="rId90" Target="https://doi.org/10.1007/s10311-023-01591-5" TargetMode="External" /><Relationship Type="http://schemas.openxmlformats.org/officeDocument/2006/relationships/hyperlink" Id="rId92" Target="https://doi.org/10.1007/s12053-008-9009-7" TargetMode="External" /><Relationship Type="http://schemas.openxmlformats.org/officeDocument/2006/relationships/hyperlink" Id="rId102" Target="https://doi.org/10.1016/j.enbuild.2010.10.010" TargetMode="External" /><Relationship Type="http://schemas.openxmlformats.org/officeDocument/2006/relationships/hyperlink" Id="rId88" Target="https://doi.org/10.1016/j.enpol.2010.12.049" TargetMode="External" /><Relationship Type="http://schemas.openxmlformats.org/officeDocument/2006/relationships/hyperlink" Id="rId110"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112" Target="https://doi.org/10.1016/j.jenvp.2019.02.008" TargetMode="External" /><Relationship Type="http://schemas.openxmlformats.org/officeDocument/2006/relationships/hyperlink" Id="rId82" Target="https://doi.org/10.1016/j.reseneeco.2017.06.001" TargetMode="External" /><Relationship Type="http://schemas.openxmlformats.org/officeDocument/2006/relationships/hyperlink" Id="rId106" Target="https://doi.org/10.1016/j.reseneeco.2020.101201" TargetMode="External" /><Relationship Type="http://schemas.openxmlformats.org/officeDocument/2006/relationships/hyperlink" Id="rId100" Target="https://doi.org/10.1017/S1930297500008172" TargetMode="External" /><Relationship Type="http://schemas.openxmlformats.org/officeDocument/2006/relationships/hyperlink" Id="rId104" Target="https://doi.org/10.1038/s41560-020-00763-9" TargetMode="External" /><Relationship Type="http://schemas.openxmlformats.org/officeDocument/2006/relationships/hyperlink" Id="rId80" Target="https://doi.org/10.1038/s41560-020-0582-0" TargetMode="External" /><Relationship Type="http://schemas.openxmlformats.org/officeDocument/2006/relationships/hyperlink" Id="rId78" Target="https://doi.org/10.1073/pnas.1001509107" TargetMode="External" /><Relationship Type="http://schemas.openxmlformats.org/officeDocument/2006/relationships/hyperlink" Id="rId86" Target="https://doi.org/10.1080/13669877.2015.1121909" TargetMode="External" /><Relationship Type="http://schemas.openxmlformats.org/officeDocument/2006/relationships/hyperlink" Id="rId94" Target="https://doi.org/10.1093/jcr/ucac006" TargetMode="External" /><Relationship Type="http://schemas.openxmlformats.org/officeDocument/2006/relationships/hyperlink" Id="rId96" Target="https://doi.org/10.1136/bmj.327.7417.741" TargetMode="External" /><Relationship Type="http://schemas.openxmlformats.org/officeDocument/2006/relationships/hyperlink" Id="rId84" Target="https://doi.org/10.18637/jss.v080.i01" TargetMode="External" /><Relationship Type="http://schemas.openxmlformats.org/officeDocument/2006/relationships/hyperlink" Id="rId116" Target="https://doi.org/10.21105/joss.01686" TargetMode="External" /><Relationship Type="http://schemas.openxmlformats.org/officeDocument/2006/relationships/hyperlink" Id="rId114"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2025-01-25T10:52:55Z</dcterms:created>
  <dcterms:modified xsi:type="dcterms:W3CDTF">2025-01-25T10:52:55Z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Sunday, January 12, 2025</vt:lpwstr>
  </property>
  <property fmtid="{D5CDD505-2E9C-101B-9397-08002B2CF9AE}" pid="12" name="date-format">
    <vt:lpwstr>full</vt:lpwstr>
  </property>
  <property fmtid="{D5CDD505-2E9C-101B-9397-08002B2CF9AE}" pid="13" name="google-scholar">
    <vt:lpwstr>False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ing">
    <vt:lpwstr>yes</vt:lpwstr>
  </property>
  <property fmtid="{D5CDD505-2E9C-101B-9397-08002B2CF9AE}" pid="18" name="knitr">
    <vt:lpwstr/>
  </property>
  <property fmtid="{D5CDD505-2E9C-101B-9397-08002B2CF9AE}" pid="19" name="labels">
    <vt:lpwstr/>
  </property>
  <property fmtid="{D5CDD505-2E9C-101B-9397-08002B2CF9AE}" pid="20" name="revealjs-plugins">
    <vt:lpwstr/>
  </property>
  <property fmtid="{D5CDD505-2E9C-101B-9397-08002B2CF9AE}" pid="21" name="toc-title">
    <vt:lpwstr>Table of contents</vt:lpwstr>
  </property>
</Properties>
</file>