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3.png" ContentType="image/png"/>
  <Override PartName="/word/media/rId32.png" ContentType="image/png"/>
  <Override PartName="/word/media/rId39.png" ContentType="image/png"/>
  <Override PartName="/word/media/rId60.png" ContentType="image/png"/>
  <Override PartName="/word/media/rId68.png" ContentType="image/png"/>
  <Override PartName="/word/media/rId54.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Planning to Save Energy: How Information Format Affects Accuracy</w:t>
      </w:r>
    </w:p>
    <w:p>
      <w:pPr>
        <w:pStyle w:val="Author"/>
      </w:pPr>
      <w:r>
        <w:t xml:space="preserve">Thomas E. Gorman</w:t>
      </w:r>
    </w:p>
    <w:p>
      <w:pPr>
        <w:pStyle w:val="Author"/>
      </w:pPr>
      <w:r>
        <w:t xml:space="preserve">Torsten Reimer</w:t>
      </w:r>
    </w:p>
    <w:p>
      <w:pPr>
        <w:pStyle w:val="Author"/>
      </w:pPr>
      <w:r>
        <w:t xml:space="preserve">Juan Pablo Loaiza Ramirez</w:t>
      </w:r>
    </w:p>
    <w:p>
      <w:pPr>
        <w:pStyle w:val="Author"/>
      </w:pPr>
      <w:r>
        <w:t xml:space="preserve">Hayden Barber</w:t>
      </w:r>
    </w:p>
    <w:p>
      <w:pPr>
        <w:pStyle w:val="Date"/>
      </w:pPr>
      <w:r>
        <w:t xml:space="preserve">2024-12-07</w:t>
      </w:r>
    </w:p>
    <w:p>
      <w:pPr>
        <w:pStyle w:val="AbstractTitle"/>
      </w:pPr>
      <w:r>
        <w:t xml:space="preserve">Abstract</w:t>
      </w:r>
    </w:p>
    <w:p>
      <w:pPr>
        <w:pStyle w:val="Abstract"/>
      </w:pPr>
      <w:r>
        <w:t xml:space="preserve">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bookmarkStart w:id="22" w:name="introduction"/>
    <w:p>
      <w:pPr>
        <w:pStyle w:val="Heading1"/>
      </w:pPr>
      <w:r>
        <w:t xml:space="preserve">Introduction</w:t>
      </w:r>
    </w:p>
    <w:p>
      <w:pPr>
        <w:numPr>
          <w:ilvl w:val="0"/>
          <w:numId w:val="1001"/>
        </w:numPr>
      </w:pPr>
      <w:r>
        <w:t xml:space="preserve">highlight the significant contribution of residential energy consumption to carbon emissions and the potential for substantial reductions. Make point about urgency of climate change? (IPCC (2014) and EIA (2012) ).</w:t>
      </w:r>
    </w:p>
    <w:p>
      <w:pPr>
        <w:numPr>
          <w:ilvl w:val="0"/>
          <w:numId w:val="1001"/>
        </w:numPr>
      </w:pPr>
      <w:r>
        <w:t xml:space="preserve">Electricity bills are a primary source of energy-use information for consumers and offer a promising avenue for enhancing communication about energy consumption</w:t>
      </w:r>
      <w:r>
        <w:t xml:space="preserve"> </w:t>
      </w:r>
      <w:r>
        <w:t xml:space="preserve">(Fischer, 2008)</w:t>
      </w:r>
    </w:p>
    <w:bookmarkStart w:id="20" w:name="literature-review"/>
    <w:p>
      <w:pPr>
        <w:pStyle w:val="Heading3"/>
      </w:pPr>
      <w:r>
        <w:t xml:space="preserve">Literature Review</w:t>
      </w:r>
    </w:p>
    <w:p>
      <w:pPr>
        <w:pStyle w:val="FirstParagraph"/>
      </w:pPr>
      <w:r>
        <w:t xml:space="preserve">Energy poverty continues to be a pervasive issue in the United States</w:t>
      </w:r>
      <w:r>
        <w:t xml:space="preserve"> </w:t>
      </w:r>
      <w:r>
        <w:t xml:space="preserve">(Memmott et al., 2021)</w:t>
      </w:r>
      <w:r>
        <w:t xml:space="preserve">. This challenge partly arises from difficulties in converting information across numerical formats, impeding the development of precise energy reduction plans</w:t>
      </w:r>
      <w:r>
        <w:t xml:space="preserve"> </w:t>
      </w:r>
      <w:r>
        <w:t xml:space="preserve">Reimer et al. (2015)</w:t>
      </w:r>
      <w:r>
        <w:t xml:space="preserve">. Prior research by</w:t>
      </w:r>
      <w:r>
        <w:t xml:space="preserve"> </w:t>
      </w:r>
      <w:r>
        <w:t xml:space="preserve">Canfield et al. (2017)</w:t>
      </w:r>
      <w:r>
        <w:t xml:space="preserve"> </w:t>
      </w:r>
      <w:r>
        <w:t xml:space="preserve">demonstrated that presenting energy information in tabular formats enhances comprehension relative to graphs.</w:t>
      </w:r>
    </w:p>
    <w:p>
      <w:pPr>
        <w:pStyle w:val="BodyText"/>
      </w:pPr>
      <w:r>
        <w:t xml:space="preserve">The way numerical information is presented can significantly affect how individuals process and use that information</w:t>
      </w:r>
      <w:r>
        <w:t xml:space="preserve"> </w:t>
      </w:r>
      <w:r>
        <w:t xml:space="preserve">(Reimer et al., 2015)</w:t>
      </w:r>
      <w:r>
        <w:t xml:space="preserve">. The reference class problem highlights that numbers without clear reference points can lead to misinterpretation, as the meaning of a statistic depends on the category or class it refers to</w:t>
      </w:r>
      <w:r>
        <w:t xml:space="preserve"> </w:t>
      </w:r>
      <w:r>
        <w:t xml:space="preserve">(Gigerenzer &amp; Edwards, 2003; Reimer et al., 2015)</w:t>
      </w:r>
      <w:r>
        <w:t xml:space="preserve">. Presenting energy information in absolute units (e.g., kWh) provides a clear reference class, potentially enhancing comprehension.</w:t>
      </w:r>
    </w:p>
    <w:p>
      <w:pPr>
        <w:pStyle w:val="BodyText"/>
      </w:pPr>
      <w:r>
        <w:t xml:space="preserve">The concept of cognitive fit posits that performance improves when the information presentation format aligns with the task requirements</w:t>
      </w:r>
      <w:r>
        <w:t xml:space="preserve"> </w:t>
      </w:r>
      <w:r>
        <w:t xml:space="preserve">(Vessey, 1991)</w:t>
      </w:r>
      <w:r>
        <w:t xml:space="preserve">, and that such an alignment can reduce cognitive load and enhance accuracy in planning</w:t>
      </w:r>
      <w:r>
        <w:t xml:space="preserve"> </w:t>
      </w:r>
      <w:r>
        <w:t xml:space="preserve">(Shah &amp; Freedman, 2011)</w:t>
      </w:r>
      <w:r>
        <w:t xml:space="preserve">. For instance, tables are generally more effective than graphs for conveying specific electricity usage data because they facilitate straightforward point reading</w:t>
      </w:r>
      <w:r>
        <w:t xml:space="preserve"> </w:t>
      </w:r>
      <w:r>
        <w:t xml:space="preserve">(Canfield et al., 2017)</w:t>
      </w:r>
      <w:r>
        <w:t xml:space="preserve">. However, the effectiveness of the format varies with the type of information and individual differences, such as energy literacy, which significantly impacts comprehension and conservation intent. Moreover, the unit in which numerical information is presented influences how decision-makers evaluate and choose between options, with default units increasing value sensitivity</w:t>
      </w:r>
      <w:r>
        <w:t xml:space="preserve"> </w:t>
      </w:r>
      <w:r>
        <w:t xml:space="preserve">(Herberz et al., 2020)</w:t>
      </w:r>
      <w:r>
        <w:t xml:space="preserve">. In the context of energy, presenting information in terms of multiple translations can increase preference for options aligned with activated objectives, such as pro-environmental values</w:t>
      </w:r>
      <w:r>
        <w:t xml:space="preserve"> </w:t>
      </w:r>
      <w:r>
        <w:t xml:space="preserve">(Ungemach et al., 2018)</w:t>
      </w:r>
      <w:r>
        <w:t xml:space="preserve">. Furthermore, mental accounting mechanisms, where individuals create mental budgets linking specific consumption acts to specific payments, significantly impact energy decisions and behaviors</w:t>
      </w:r>
      <w:r>
        <w:t xml:space="preserve"> </w:t>
      </w:r>
      <w:r>
        <w:t xml:space="preserve">(Hahnel et al., 2020)</w:t>
      </w:r>
      <w:r>
        <w:t xml:space="preserve">.</w:t>
      </w:r>
    </w:p>
    <w:p>
      <w:pPr>
        <w:pStyle w:val="BodyText"/>
      </w:pPr>
      <w:r>
        <w:t xml:space="preserve">Evidence from research on energy consumption feedback, normative comparisons, and eco-feedback platforms suggests that comprehensible and contextually meaningful data presentations can improve users’ ability to plan reductions, especially when these formats are integrated into daily routines</w:t>
      </w:r>
      <w:r>
        <w:t xml:space="preserve"> </w:t>
      </w:r>
      <w:r>
        <w:t xml:space="preserve">(Canfield et al., 2017; Fischer, 2008; Kim et al., 2022; Schwartz et al., 2015)</w:t>
      </w:r>
      <w:r>
        <w:t xml:space="preserve">. Furthermore, temporal and monetary frames have been shown to alter decision quality, with monthly costs or absolute consumption levels often encouraging more energy-efficient intentions than abstract annual or percentage-based metrics</w:t>
      </w:r>
      <w:r>
        <w:t xml:space="preserve"> </w:t>
      </w:r>
      <w:r>
        <w:t xml:space="preserve">(Gill et al., 2022; Larrick &amp; Soll, 2008)</w:t>
      </w:r>
      <w:r>
        <w:t xml:space="preserve">. In this context, tailoring reference classes to align with intuitive cognitive processes can help bridge the gap between aggregate reduction goals and targeted, appliance-specific conservation strategies.</w:t>
      </w:r>
    </w:p>
    <w:p>
      <w:pPr>
        <w:pStyle w:val="BodyText"/>
      </w:pPr>
      <w:r>
        <w:t xml:space="preserve">Furthermore, research suggests that natural frequencies and absolute numbers are generally easier for individuals to understand compared to percentages or probabilities</w:t>
      </w:r>
      <w:r>
        <w:t xml:space="preserve"> </w:t>
      </w:r>
      <w:r>
        <w:t xml:space="preserve">Hoffrage et al. (2000)</w:t>
      </w:r>
      <w:r>
        <w:t xml:space="preserve">. In the context of energy conservation, using absolute units may facilitate more accurate planning and decision-making by aligning with intuitive cognitive processing.</w:t>
      </w:r>
    </w:p>
    <w:p>
      <w:pPr>
        <w:pStyle w:val="BodyText"/>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Addressing this gap is crucial for developing effective interventions that promote energy conservation behaviors.</w:t>
      </w:r>
    </w:p>
    <w:bookmarkEnd w:id="20"/>
    <w:bookmarkStart w:id="21" w:name="hypotheses"/>
    <w:p>
      <w:pPr>
        <w:pStyle w:val="Heading3"/>
      </w:pPr>
      <w:r>
        <w:t xml:space="preserve">Hypotheses</w:t>
      </w:r>
    </w:p>
    <w:p>
      <w:pPr>
        <w:pStyle w:val="FirstParagraph"/>
      </w:pPr>
      <w:r>
        <w:t xml:space="preserve">Building on these findings and informed by prior work showing that frequencies (like absolute units in kWh) are easier to comprehend and facilitate more precise decision-making compared to percentages, our study also utilizes a tabular format, but manipulates whether participants must consider energy information presented as absolute units (kWh), percentages (%), or monetary costs (USD). We hypothesize that presenting information in absolute units (kWh) will lead to more accurate household energy conservation planning.</w:t>
      </w:r>
    </w:p>
    <w:bookmarkEnd w:id="21"/>
    <w:bookmarkEnd w:id="22"/>
    <w:bookmarkStart w:id="51" w:name="experiment-1"/>
    <w:p>
      <w:pPr>
        <w:pStyle w:val="Heading1"/>
      </w:pPr>
      <w:r>
        <w:t xml:space="preserve">Experiment 1</w:t>
      </w:r>
    </w:p>
    <w:p>
      <w:pPr>
        <w:pStyle w:val="FirstParagraph"/>
      </w:pPr>
      <w:r>
        <w:t xml:space="preserve">See</w:t>
      </w:r>
      <w:r>
        <w:t xml:space="preserve"> </w:t>
      </w:r>
      <w:hyperlink w:anchor="fig-task">
        <w:r>
          <w:rPr>
            <w:rStyle w:val="Hyperlink"/>
          </w:rPr>
          <w:t xml:space="preserve">Figure 1</w:t>
        </w:r>
      </w:hyperlink>
      <w:r>
        <w:t xml:space="preserve"> </w:t>
      </w:r>
      <w:r>
        <w:t xml:space="preserve">for an example of a planning trial as it was seen by participants.</w:t>
      </w:r>
    </w:p>
    <w:bookmarkStart w:id="30" w:name="methods"/>
    <w:p>
      <w:pPr>
        <w:pStyle w:val="Heading2"/>
      </w:pPr>
      <w:r>
        <w:t xml:space="preserve">Methods</w:t>
      </w:r>
    </w:p>
    <w:bookmarkStart w:id="23"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252 participants were initially recruited, but data from 17 participants were corrupted due to experimenter error, leaving a final sample of 235 participants. Most participants (76%) reported using a calculator to complete the task.</w:t>
      </w:r>
    </w:p>
    <w:bookmarkEnd w:id="23"/>
    <w:bookmarkStart w:id="24"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We obtain average utility use from each state by CITE SOURCE FOR STATE AVGS?</w:t>
      </w:r>
    </w:p>
    <w:bookmarkEnd w:id="24"/>
    <w:bookmarkStart w:id="29" w:name="procedure"/>
    <w:p>
      <w:pPr>
        <w:pStyle w:val="Heading3"/>
      </w:pPr>
      <w:r>
        <w:t xml:space="preserve">Procedure</w:t>
      </w:r>
    </w:p>
    <w:p>
      <w:pPr>
        <w:pStyle w:val="FirstParagraph"/>
      </w:pPr>
      <w:r>
        <w:t xml:space="preserve">Participants received energy usage data for two hypothetical families and were tasked with creating action plans to meet specified reduction goals by allocating usage across five appliance categories: heating, cooling, water heating, refrigerator, and and other appliances (e.g., TV, lighting).</w:t>
      </w:r>
    </w:p>
    <w:p>
      <w:pPr>
        <w:pStyle w:val="BodyText"/>
      </w:pPr>
      <w:r>
        <w:t xml:space="preserve">For each family scenario, the participants were shown a table containing the families utility usage from the prior year, alongside the state averages for each appliance category (both prior year usage and stage averages are always shown in kWh). For each scenario, participants were asked to create two possible action plans to achieve the target reduction in total household energy usage (see</w:t>
      </w:r>
      <w:r>
        <w:t xml:space="preserve"> </w:t>
      </w:r>
      <w:hyperlink w:anchor="fig-task">
        <w:r>
          <w:rPr>
            <w:rStyle w:val="Hyperlink"/>
          </w:rPr>
          <w:t xml:space="preserve">Figure 1</w:t>
        </w:r>
      </w:hyperlink>
      <w:r>
        <w:t xml:space="preserve">). Depending on their reference class condition, the target reduction amount presented either in kilowatt-hours (kWh), as percentages of total household usage, or in U.S. dollars. In all conditions, the target reduction was equivalent to a 15% reduction in total household kWh.</w:t>
      </w:r>
    </w:p>
    <w:tbl>
      <w:tblPr>
        <w:tblStyle w:val="Table"/>
        <w:tblW w:type="pct" w:w="5000"/>
        <w:tblLayout w:type="fixed"/>
        <w:tblLook w:firstRow="0" w:lastRow="0" w:firstColumn="0" w:lastColumn="0" w:noHBand="0" w:noVBand="0" w:val="0000"/>
      </w:tblPr>
      <w:tblGrid>
        <w:gridCol w:w="7920"/>
      </w:tblGrid>
      <w:tr>
        <w:tc>
          <w:tcPr/>
          <w:bookmarkStart w:id="28" w:name="fig-task"/>
          <w:p>
            <w:pPr>
              <w:pStyle w:val="Compact"/>
              <w:jc w:val="center"/>
            </w:pPr>
            <w:r>
              <w:drawing>
                <wp:inline>
                  <wp:extent cx="5334000" cy="3954517"/>
                  <wp:effectExtent b="0" l="0" r="0" t="0"/>
                  <wp:docPr descr="" title="" id="26" name="Picture"/>
                  <a:graphic>
                    <a:graphicData uri="http://schemas.openxmlformats.org/drawingml/2006/picture">
                      <pic:pic>
                        <pic:nvPicPr>
                          <pic:cNvPr descr="./assets/images/Smith_10R_Wells_15E.png" id="27" name="Picture"/>
                          <pic:cNvPicPr>
                            <a:picLocks noChangeArrowheads="1" noChangeAspect="1"/>
                          </pic:cNvPicPr>
                        </pic:nvPicPr>
                        <pic:blipFill>
                          <a:blip r:embed="rId25"/>
                          <a:stretch>
                            <a:fillRect/>
                          </a:stretch>
                        </pic:blipFill>
                        <pic:spPr bwMode="auto">
                          <a:xfrm>
                            <a:off x="0" y="0"/>
                            <a:ext cx="5334000" cy="39545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trial in the energy planning task. Participants are shown the prior year electricity use of a household, and are tasked with creating a plan for the next year that will meet the energy reduction goal. Study 1 manipulates the format of the reduction goal to be either a percentage (15% given as goal reduction), kilowatt hours (5965 kWh given), or USD ($656)</w:t>
            </w:r>
          </w:p>
          <w:bookmarkEnd w:id="28"/>
        </w:tc>
      </w:tr>
    </w:tbl>
    <w:p>
      <w:pPr>
        <w:pStyle w:val="BodyText"/>
      </w:pPr>
      <w:r>
        <w:t xml:space="preserve">Additional data collected included:</w:t>
      </w:r>
    </w:p>
    <w:p>
      <w:pPr>
        <w:pStyle w:val="Compact"/>
        <w:numPr>
          <w:ilvl w:val="0"/>
          <w:numId w:val="1002"/>
        </w:numPr>
      </w:pPr>
      <w:r>
        <w:rPr>
          <w:b/>
          <w:bCs/>
        </w:rPr>
        <w:t xml:space="preserve">Energy Literacy Quiz</w:t>
      </w:r>
      <w:r>
        <w:t xml:space="preserve">: An 8-item questionnaire assessing participants’ knowledge of energy consumption and conversion</w:t>
      </w:r>
      <w:r>
        <w:t xml:space="preserve"> </w:t>
      </w:r>
      <w:r>
        <w:t xml:space="preserve">(DeWaters &amp; Powers, 2011)</w:t>
      </w:r>
      <w:r>
        <w:t xml:space="preserve">.</w:t>
      </w:r>
    </w:p>
    <w:p>
      <w:pPr>
        <w:pStyle w:val="Compact"/>
        <w:numPr>
          <w:ilvl w:val="0"/>
          <w:numId w:val="1002"/>
        </w:numPr>
      </w:pPr>
      <w:r>
        <w:rPr>
          <w:b/>
          <w:bCs/>
        </w:rPr>
        <w:t xml:space="preserve">Calculator Usage Tracking</w:t>
      </w:r>
      <w:r>
        <w:t xml:space="preserve">: Questions determined whether participants used a calculator, paper/pen, or other methods to complete the tasks.</w:t>
      </w:r>
    </w:p>
    <w:bookmarkEnd w:id="29"/>
    <w:bookmarkEnd w:id="30"/>
    <w:bookmarkStart w:id="49" w:name="results"/>
    <w:p>
      <w:pPr>
        <w:pStyle w:val="Heading2"/>
      </w:pPr>
      <w:r>
        <w:t xml:space="preserve">Results</w:t>
      </w:r>
    </w:p>
    <w:bookmarkStart w:id="48" w:name="data-analysis"/>
    <w:p>
      <w:pPr>
        <w:pStyle w:val="Heading3"/>
      </w:pPr>
      <w:r>
        <w:t xml:space="preserve">Data Analysis</w:t>
      </w:r>
    </w:p>
    <w:p>
      <w:pPr>
        <w:pStyle w:val="FirstParagraph"/>
      </w:pPr>
      <w:r>
        <w:t xml:space="preserve">All preprocessing and analyses were carried out in R</w:t>
      </w:r>
      <w:r>
        <w:t xml:space="preserve"> </w:t>
      </w:r>
      <w:r>
        <w:t xml:space="preserve">(Team, 2020)</w:t>
      </w:r>
      <w:r>
        <w:t xml:space="preserve"> </w:t>
      </w:r>
      <w:r>
        <w:t xml:space="preserve">and the tidyverse package</w:t>
      </w:r>
      <w:r>
        <w:t xml:space="preserve"> </w:t>
      </w:r>
      <w:r>
        <w:t xml:space="preserve">(Wickham et al., 2019)</w:t>
      </w:r>
      <w:r>
        <w:t xml:space="preserve">. Mixed Bayesian regressions were fit using the brms package</w:t>
      </w:r>
      <w:r>
        <w:t xml:space="preserve"> </w:t>
      </w:r>
      <w:r>
        <w:t xml:space="preserve">(Bürkner, 2017)</w:t>
      </w:r>
      <w:r>
        <w:t xml:space="preserve">, with participants and family scenario (states) set as random effects.</w:t>
      </w:r>
    </w:p>
    <w:tbl>
      <w:tblPr>
        <w:tblStyle w:val="Table"/>
        <w:tblW w:type="pct" w:w="5000"/>
        <w:tblLayout w:type="fixed"/>
        <w:tblLook w:firstRow="0" w:lastRow="0" w:firstColumn="0" w:lastColumn="0" w:noHBand="0" w:noVBand="0" w:val="0000"/>
      </w:tblPr>
      <w:tblGrid>
        <w:gridCol w:w="7920"/>
      </w:tblGrid>
      <w:tr>
        <w:tc>
          <w:tcPr/>
          <w:bookmarkStart w:id="31" w:name="tbl-s1-agg"/>
          <w:p>
            <w:pPr>
              <w:jc w:val="center"/>
            </w:pPr>
            <w:pPr>
              <w:jc w:val="start"/>
              <w:spacing w:before="200"/>
              <w:pStyle w:val="ImageCaption"/>
            </w:pPr>
            <w:r>
              <w:t xml:space="preserve">Table 1: Study 1: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092"/>
              <w:gridCol w:w="955"/>
              <w:gridCol w:w="1570"/>
              <w:gridCol w:w="1980"/>
              <w:gridCol w:w="1024"/>
              <w:gridCol w:w="1297"/>
            </w:tblGrid>
            <w:tr>
              <w:trPr>
                <w:tblHeader w:val="on"/>
              </w:trPr>
              <w:tc>
                <w:tcPr/>
                <w:p>
                  <w:pPr>
                    <w:pStyle w:val="Compact"/>
                    <w:jc w:val="left"/>
                    <w:jc w:val="center"/>
                  </w:pPr>
                  <w:r>
                    <w:t xml:space="preserve">Reference Class</w:t>
                  </w:r>
                </w:p>
              </w:tc>
              <w:tc>
                <w:tcPr/>
                <w:p>
                  <w:pPr>
                    <w:pStyle w:val="Compact"/>
                    <w:jc w:val="left"/>
                    <w:jc w:val="center"/>
                  </w:pPr>
                  <w:r>
                    <w:t xml:space="preserve">Avg. % Change</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0.22</w:t>
                  </w:r>
                </w:p>
              </w:tc>
              <w:tc>
                <w:tcPr/>
                <w:p>
                  <w:pPr>
                    <w:pStyle w:val="Compact"/>
                    <w:jc w:val="left"/>
                    <w:jc w:val="center"/>
                  </w:pPr>
                  <w:r>
                    <w:t xml:space="preserve">0.38</w:t>
                  </w:r>
                </w:p>
              </w:tc>
              <w:tc>
                <w:tcPr/>
                <w:p>
                  <w:pPr>
                    <w:pStyle w:val="Compact"/>
                    <w:jc w:val="left"/>
                    <w:jc w:val="center"/>
                  </w:pPr>
                  <w:r>
                    <w:t xml:space="preserve">0.54</w:t>
                  </w:r>
                </w:p>
              </w:tc>
              <w:tc>
                <w:tcPr/>
                <w:p>
                  <w:pPr>
                    <w:pStyle w:val="Compact"/>
                    <w:jc w:val="left"/>
                    <w:jc w:val="center"/>
                  </w:pPr>
                  <w:r>
                    <w:t xml:space="preserve">0.03</w:t>
                  </w:r>
                </w:p>
              </w:tc>
              <w:tc>
                <w:tcPr/>
                <w:p>
                  <w:pPr>
                    <w:pStyle w:val="Compact"/>
                    <w:jc w:val="left"/>
                    <w:jc w:val="center"/>
                  </w:pPr>
                  <w:r>
                    <w:t xml:space="preserve">-3.7</w:t>
                  </w:r>
                </w:p>
              </w:tc>
            </w:tr>
            <w:tr>
              <w:tc>
                <w:tcPr/>
                <w:p>
                  <w:pPr>
                    <w:pStyle w:val="Compact"/>
                    <w:jc w:val="left"/>
                    <w:jc w:val="center"/>
                  </w:pPr>
                  <w:r>
                    <w:t xml:space="preserve">Percentage</w:t>
                  </w:r>
                </w:p>
              </w:tc>
              <w:tc>
                <w:tcPr/>
                <w:p>
                  <w:pPr>
                    <w:pStyle w:val="Compact"/>
                    <w:jc w:val="left"/>
                    <w:jc w:val="center"/>
                  </w:pPr>
                  <w:r>
                    <w:t xml:space="preserve">0.21</w:t>
                  </w:r>
                </w:p>
              </w:tc>
              <w:tc>
                <w:tcPr/>
                <w:p>
                  <w:pPr>
                    <w:pStyle w:val="Compact"/>
                    <w:jc w:val="left"/>
                    <w:jc w:val="center"/>
                  </w:pPr>
                  <w:r>
                    <w:t xml:space="preserve">0.22</w:t>
                  </w:r>
                </w:p>
              </w:tc>
              <w:tc>
                <w:tcPr/>
                <w:p>
                  <w:pPr>
                    <w:pStyle w:val="Compact"/>
                    <w:jc w:val="left"/>
                    <w:jc w:val="center"/>
                  </w:pPr>
                  <w:r>
                    <w:t xml:space="preserve">0.40</w:t>
                  </w:r>
                </w:p>
              </w:tc>
              <w:tc>
                <w:tcPr/>
                <w:p>
                  <w:pPr>
                    <w:pStyle w:val="Compact"/>
                    <w:jc w:val="left"/>
                    <w:jc w:val="center"/>
                  </w:pPr>
                  <w:r>
                    <w:t xml:space="preserve">0.06</w:t>
                  </w:r>
                </w:p>
              </w:tc>
              <w:tc>
                <w:tcPr/>
                <w:p>
                  <w:pPr>
                    <w:pStyle w:val="Compact"/>
                    <w:jc w:val="left"/>
                    <w:jc w:val="center"/>
                  </w:pPr>
                  <w:r>
                    <w:t xml:space="preserve">-3.1</w:t>
                  </w:r>
                </w:p>
              </w:tc>
            </w:tr>
            <w:tr>
              <w:tc>
                <w:tcPr/>
                <w:p>
                  <w:pPr>
                    <w:pStyle w:val="Compact"/>
                    <w:jc w:val="left"/>
                    <w:jc w:val="center"/>
                  </w:pPr>
                  <w:r>
                    <w:t xml:space="preserve">USD</w:t>
                  </w:r>
                </w:p>
              </w:tc>
              <w:tc>
                <w:tcPr/>
                <w:p>
                  <w:pPr>
                    <w:pStyle w:val="Compact"/>
                    <w:jc w:val="left"/>
                    <w:jc w:val="center"/>
                  </w:pPr>
                  <w:r>
                    <w:t xml:space="preserve">0.23</w:t>
                  </w:r>
                </w:p>
              </w:tc>
              <w:tc>
                <w:tcPr/>
                <w:p>
                  <w:pPr>
                    <w:pStyle w:val="Compact"/>
                    <w:jc w:val="left"/>
                    <w:jc w:val="center"/>
                  </w:pPr>
                  <w:r>
                    <w:t xml:space="preserve">0.10</w:t>
                  </w:r>
                </w:p>
              </w:tc>
              <w:tc>
                <w:tcPr/>
                <w:p>
                  <w:pPr>
                    <w:pStyle w:val="Compact"/>
                    <w:jc w:val="left"/>
                    <w:jc w:val="center"/>
                  </w:pPr>
                  <w:r>
                    <w:t xml:space="preserve">0.22</w:t>
                  </w:r>
                </w:p>
              </w:tc>
              <w:tc>
                <w:tcPr/>
                <w:p>
                  <w:pPr>
                    <w:pStyle w:val="Compact"/>
                    <w:jc w:val="left"/>
                    <w:jc w:val="center"/>
                  </w:pPr>
                  <w:r>
                    <w:t xml:space="preserve">0.10</w:t>
                  </w:r>
                </w:p>
              </w:tc>
              <w:tc>
                <w:tcPr/>
                <w:p>
                  <w:pPr>
                    <w:pStyle w:val="Compact"/>
                    <w:jc w:val="left"/>
                    <w:jc w:val="center"/>
                  </w:pPr>
                  <w:r>
                    <w:t xml:space="preserve">-2.4</w:t>
                  </w:r>
                </w:p>
              </w:tc>
            </w:tr>
          </w:tbl>
          <w:bookmarkEnd w:id="31"/>
          <w:p/>
        </w:tc>
      </w:tr>
    </w:tbl>
    <w:p>
      <w:pPr>
        <w:pStyle w:val="BodyText"/>
      </w:pPr>
      <w:hyperlink w:anchor="tbl-s1-agg">
        <w:r>
          <w:rPr>
            <w:rStyle w:val="Hyperlink"/>
          </w:rPr>
          <w:t xml:space="preserve">Table 1</w:t>
        </w:r>
      </w:hyperlink>
      <w:r>
        <w:t xml:space="preserve"> </w:t>
      </w:r>
      <w:r>
        <w:t xml:space="preserve">that participants in the kWh condition met the target goal 38% of the time, compared to 22% for the Percentage condition and 10% for the USD condition. Moreover, the kWh reference class exhibited smaller deviations from the target reduction, suggesting that participants performed more accurately when the goal was framed in kWh rather than when percentages or USD.</w:t>
      </w:r>
    </w:p>
    <w:p>
      <w:pPr>
        <w:pStyle w:val="BodyText"/>
      </w:pPr>
      <w:r>
        <w:t xml:space="preserve">As shown in</w:t>
      </w:r>
      <w:r>
        <w:t xml:space="preserve"> </w:t>
      </w:r>
      <w:hyperlink w:anchor="tbl-s1-agg">
        <w:r>
          <w:rPr>
            <w:rStyle w:val="Hyperlink"/>
          </w:rPr>
          <w:t xml:space="preserve">Table 1</w:t>
        </w:r>
      </w:hyperlink>
      <w:r>
        <w:t xml:space="preserve">, participants in the kWh condition exactly met the target reduction goal 38% of the time, significantly outperforming those in the Percentage (22%) and USD (10%) conditions. Furthermore, the kWh reference class exhibited notably smaller mean absolute deviations (0.03) compared to Percentage (0.06) and USD (0.10), suggesting that presenting the reduction goal in absolute units facilitated more precise allocations.</w:t>
      </w:r>
    </w:p>
    <w:tbl>
      <w:tblPr>
        <w:tblStyle w:val="Table"/>
        <w:tblW w:type="pct" w:w="5000"/>
        <w:tblLayout w:type="fixed"/>
        <w:tblLook w:firstRow="0" w:lastRow="0" w:firstColumn="0" w:lastColumn="0" w:noHBand="0" w:noVBand="0" w:val="0000"/>
      </w:tblPr>
      <w:tblGrid>
        <w:gridCol w:w="7920"/>
      </w:tblGrid>
      <w:tr>
        <w:tc>
          <w:tcPr/>
          <w:bookmarkStart w:id="35" w:name="fig-s1-log-dist"/>
          <w:p>
            <w:pPr>
              <w:pStyle w:val="Compact"/>
              <w:jc w:val="center"/>
            </w:pPr>
            <w:r>
              <w:drawing>
                <wp:inline>
                  <wp:extent cx="5334000" cy="3879272"/>
                  <wp:effectExtent b="0" l="0" r="0" t="0"/>
                  <wp:docPr descr="" title="" id="33" name="Picture"/>
                  <a:graphic>
                    <a:graphicData uri="http://schemas.openxmlformats.org/drawingml/2006/picture">
                      <pic:pic>
                        <pic:nvPicPr>
                          <pic:cNvPr descr="manuscript_files/figure-docx/fig-s1-log-dist-1.png" id="34" name="Picture"/>
                          <pic:cNvPicPr>
                            <a:picLocks noChangeArrowheads="1" noChangeAspect="1"/>
                          </pic:cNvPicPr>
                        </pic:nvPicPr>
                        <pic:blipFill>
                          <a:blip r:embed="rId32"/>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Study 1: Distribution of log absolute error by reference class.</w:t>
            </w:r>
          </w:p>
          <w:bookmarkEnd w:id="35"/>
        </w:tc>
      </w:tr>
    </w:tbl>
    <w:tbl>
      <w:tblPr>
        <w:tblStyle w:val="Table"/>
        <w:tblW w:type="pct" w:w="5000"/>
        <w:tblLayout w:type="fixed"/>
        <w:tblLook w:firstRow="0" w:lastRow="0" w:firstColumn="0" w:lastColumn="0" w:noHBand="0" w:noVBand="0" w:val="0000"/>
      </w:tblPr>
      <w:tblGrid>
        <w:gridCol w:w="7920"/>
      </w:tblGrid>
      <w:tr>
        <w:tc>
          <w:tcPr/>
          <w:bookmarkStart w:id="36" w:name="tbl-s1-prop"/>
          <w:p>
            <w:pPr>
              <w:jc w:val="center"/>
            </w:pPr>
            <w:pPr>
              <w:jc w:val="start"/>
              <w:spacing w:before="200"/>
              <w:pStyle w:val="ImageCaption"/>
            </w:pPr>
            <w:r>
              <w:t xml:space="preserve">Table 2: Study 1: The table shows the percentage of participants who fell into each accuracy level for each reference class condition (percentages of kWh, $, and USD columns reflect within condition percentages). The combined group column reflects the percentage of participants in each accuracy level when aggregating across across all reference class conditions.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Accuracy Level</w:t>
                  </w:r>
                </w:p>
              </w:tc>
              <w:tc>
                <w:tcPr/>
                <w:p>
                  <w:pPr>
                    <w:pStyle w:val="Compact"/>
                    <w:jc w:val="left"/>
                    <w:jc w:val="center"/>
                  </w:pPr>
                  <w:r>
                    <w:t xml:space="preserve">kWh</w:t>
                  </w:r>
                </w:p>
              </w:tc>
              <w:tc>
                <w:tcPr/>
                <w:p>
                  <w:pPr>
                    <w:pStyle w:val="Compact"/>
                    <w:jc w:val="left"/>
                    <w:jc w:val="center"/>
                  </w:pPr>
                  <w:r>
                    <w:t xml:space="preserve">Percentage</w:t>
                  </w:r>
                </w:p>
              </w:tc>
              <w:tc>
                <w:tcPr/>
                <w:p>
                  <w:pPr>
                    <w:pStyle w:val="Compact"/>
                    <w:jc w:val="left"/>
                    <w:jc w:val="center"/>
                  </w:pPr>
                  <w:r>
                    <w:t xml:space="preserve">USD</w:t>
                  </w:r>
                </w:p>
              </w:tc>
              <w:tc>
                <w:tcPr/>
                <w:p>
                  <w:pPr>
                    <w:pStyle w:val="Compact"/>
                    <w:jc w:val="left"/>
                    <w:jc w:val="center"/>
                  </w:pPr>
                  <w:r>
                    <w:t xml:space="preserve">Combined Groups %</w:t>
                  </w:r>
                </w:p>
              </w:tc>
            </w:tr>
            <w:tr>
              <w:tc>
                <w:tcPr/>
                <w:p>
                  <w:pPr>
                    <w:pStyle w:val="Compact"/>
                    <w:jc w:val="left"/>
                    <w:jc w:val="center"/>
                  </w:pPr>
                  <w:r>
                    <w:t xml:space="preserve">Exact match</w:t>
                  </w:r>
                </w:p>
              </w:tc>
              <w:tc>
                <w:tcPr/>
                <w:p>
                  <w:pPr>
                    <w:pStyle w:val="Compact"/>
                    <w:jc w:val="left"/>
                    <w:jc w:val="center"/>
                  </w:pPr>
                  <w:r>
                    <w:t xml:space="preserve">37.5%</w:t>
                  </w:r>
                </w:p>
              </w:tc>
              <w:tc>
                <w:tcPr/>
                <w:p>
                  <w:pPr>
                    <w:pStyle w:val="Compact"/>
                    <w:jc w:val="left"/>
                    <w:jc w:val="center"/>
                  </w:pPr>
                  <w:r>
                    <w:t xml:space="preserve">22.1%</w:t>
                  </w:r>
                </w:p>
              </w:tc>
              <w:tc>
                <w:tcPr/>
                <w:p>
                  <w:pPr>
                    <w:pStyle w:val="Compact"/>
                    <w:jc w:val="left"/>
                    <w:jc w:val="center"/>
                  </w:pPr>
                  <w:r>
                    <w:t xml:space="preserve">9.8%</w:t>
                  </w:r>
                </w:p>
              </w:tc>
              <w:tc>
                <w:tcPr/>
                <w:p>
                  <w:pPr>
                    <w:pStyle w:val="Compact"/>
                    <w:jc w:val="left"/>
                    <w:jc w:val="center"/>
                  </w:pPr>
                  <w:r>
                    <w:t xml:space="preserve">22.6%</w:t>
                  </w:r>
                </w:p>
              </w:tc>
            </w:tr>
            <w:tr>
              <w:tc>
                <w:tcPr/>
                <w:p>
                  <w:pPr>
                    <w:pStyle w:val="Compact"/>
                    <w:jc w:val="left"/>
                    <w:jc w:val="center"/>
                  </w:pPr>
                  <w:r>
                    <w:t xml:space="preserve">0.01-2% error</w:t>
                  </w:r>
                </w:p>
              </w:tc>
              <w:tc>
                <w:tcPr/>
                <w:p>
                  <w:pPr>
                    <w:pStyle w:val="Compact"/>
                    <w:jc w:val="left"/>
                    <w:jc w:val="center"/>
                  </w:pPr>
                  <w:r>
                    <w:t xml:space="preserve">15.1%</w:t>
                  </w:r>
                </w:p>
              </w:tc>
              <w:tc>
                <w:tcPr/>
                <w:p>
                  <w:pPr>
                    <w:pStyle w:val="Compact"/>
                    <w:jc w:val="left"/>
                    <w:jc w:val="center"/>
                  </w:pPr>
                  <w:r>
                    <w:t xml:space="preserve">17.6%</w:t>
                  </w:r>
                </w:p>
              </w:tc>
              <w:tc>
                <w:tcPr/>
                <w:p>
                  <w:pPr>
                    <w:pStyle w:val="Compact"/>
                    <w:jc w:val="left"/>
                    <w:jc w:val="center"/>
                  </w:pPr>
                  <w:r>
                    <w:t xml:space="preserve">11.2%</w:t>
                  </w:r>
                </w:p>
              </w:tc>
              <w:tc>
                <w:tcPr/>
                <w:p>
                  <w:pPr>
                    <w:pStyle w:val="Compact"/>
                    <w:jc w:val="left"/>
                    <w:jc w:val="center"/>
                  </w:pPr>
                  <w:r>
                    <w:t xml:space="preserve">14.4%</w:t>
                  </w:r>
                </w:p>
              </w:tc>
            </w:tr>
            <w:tr>
              <w:tc>
                <w:tcPr/>
                <w:p>
                  <w:pPr>
                    <w:pStyle w:val="Compact"/>
                    <w:jc w:val="left"/>
                    <w:jc w:val="center"/>
                  </w:pPr>
                  <w:r>
                    <w:t xml:space="preserve">2.01-15% error</w:t>
                  </w:r>
                </w:p>
              </w:tc>
              <w:tc>
                <w:tcPr/>
                <w:p>
                  <w:pPr>
                    <w:pStyle w:val="Compact"/>
                    <w:jc w:val="left"/>
                    <w:jc w:val="center"/>
                  </w:pPr>
                  <w:r>
                    <w:t xml:space="preserve">27.6%</w:t>
                  </w:r>
                </w:p>
              </w:tc>
              <w:tc>
                <w:tcPr/>
                <w:p>
                  <w:pPr>
                    <w:pStyle w:val="Compact"/>
                    <w:jc w:val="left"/>
                    <w:jc w:val="center"/>
                  </w:pPr>
                  <w:r>
                    <w:t xml:space="preserve">43.4%</w:t>
                  </w:r>
                </w:p>
              </w:tc>
              <w:tc>
                <w:tcPr/>
                <w:p>
                  <w:pPr>
                    <w:pStyle w:val="Compact"/>
                    <w:jc w:val="left"/>
                    <w:jc w:val="center"/>
                  </w:pPr>
                  <w:r>
                    <w:t xml:space="preserve">49.2%</w:t>
                  </w:r>
                </w:p>
              </w:tc>
              <w:tc>
                <w:tcPr/>
                <w:p>
                  <w:pPr>
                    <w:pStyle w:val="Compact"/>
                    <w:jc w:val="left"/>
                    <w:jc w:val="center"/>
                  </w:pPr>
                  <w:r>
                    <w:t xml:space="preserve">40.3%</w:t>
                  </w:r>
                </w:p>
              </w:tc>
            </w:tr>
            <w:tr>
              <w:tc>
                <w:tcPr/>
                <w:p>
                  <w:pPr>
                    <w:pStyle w:val="Compact"/>
                    <w:jc w:val="left"/>
                    <w:jc w:val="center"/>
                  </w:pPr>
                  <w:r>
                    <w:t xml:space="preserve">Over 15% error</w:t>
                  </w:r>
                </w:p>
              </w:tc>
              <w:tc>
                <w:tcPr/>
                <w:p>
                  <w:pPr>
                    <w:pStyle w:val="Compact"/>
                    <w:jc w:val="left"/>
                    <w:jc w:val="center"/>
                  </w:pPr>
                  <w:r>
                    <w:t xml:space="preserve">19.9%</w:t>
                  </w:r>
                </w:p>
              </w:tc>
              <w:tc>
                <w:tcPr/>
                <w:p>
                  <w:pPr>
                    <w:pStyle w:val="Compact"/>
                    <w:jc w:val="left"/>
                    <w:jc w:val="center"/>
                  </w:pPr>
                  <w:r>
                    <w:t xml:space="preserve">16.9%</w:t>
                  </w:r>
                </w:p>
              </w:tc>
              <w:tc>
                <w:tcPr/>
                <w:p>
                  <w:pPr>
                    <w:pStyle w:val="Compact"/>
                    <w:jc w:val="left"/>
                    <w:jc w:val="center"/>
                  </w:pPr>
                  <w:r>
                    <w:t xml:space="preserve">29.8%</w:t>
                  </w:r>
                </w:p>
              </w:tc>
              <w:tc>
                <w:tcPr/>
                <w:p>
                  <w:pPr>
                    <w:pStyle w:val="Compact"/>
                    <w:jc w:val="left"/>
                    <w:jc w:val="center"/>
                  </w:pPr>
                  <w:r>
                    <w:t xml:space="preserve">22.8%</w:t>
                  </w:r>
                </w:p>
              </w:tc>
            </w:tr>
          </w:tbl>
          <w:bookmarkEnd w:id="36"/>
          <w:p/>
        </w:tc>
      </w:tr>
    </w:tbl>
    <w:p>
      <w:pPr>
        <w:pStyle w:val="BodyText"/>
      </w:pPr>
      <w:r>
        <w:t xml:space="preserve">We next categorized responses into three accuracy levels (exact match [0% error], minor deviations [0.01–5%], and large deviations [&gt;5%]) for our primary statistical modeling. Using Bayesian ordinal regression, we modeled the ordered accuracy outcome as a function of the reference class condition, while controlling for random variation across participants and family scenarios:</w:t>
      </w:r>
    </w:p>
    <w:p>
      <w:pPr>
        <w:pStyle w:val="BodyText"/>
      </w:pPr>
      <m:oMathPara>
        <m:oMathParaPr>
          <m:jc m:val="center"/>
        </m:oMathParaPr>
        <m:oMath>
          <m:r>
            <m:rPr>
              <m:nor/>
              <m:sty m:val="p"/>
            </m:rPr>
            <m:t>Accuracy Level</m:t>
          </m:r>
          <m:r>
            <m:rPr>
              <m:sty m:val="p"/>
            </m:rPr>
            <m:t>∼</m:t>
          </m:r>
          <m:r>
            <m:rPr>
              <m:nor/>
              <m:sty m:val="p"/>
            </m:rPr>
            <m:t>Reference Class</m:t>
          </m:r>
          <m:r>
            <m:rPr>
              <m:sty m:val="p"/>
            </m:rPr>
            <m:t>+</m:t>
          </m:r>
          <m:r>
            <m:rPr>
              <m:nor/>
              <m:sty m:val="p"/>
            </m:rPr>
            <m:t>Calculator</m:t>
          </m:r>
          <m:r>
            <m:rPr>
              <m:sty m:val="p"/>
            </m:rPr>
            <m:t>+</m:t>
          </m:r>
          <m:d>
            <m:dPr>
              <m:begChr m:val="("/>
              <m:endChr m:val=")"/>
              <m:sepChr m:val=""/>
              <m:grow/>
            </m:dPr>
            <m:e>
              <m:r>
                <m:t>1</m:t>
              </m:r>
              <m:r>
                <m:rPr>
                  <m:sty m:val="p"/>
                </m:rPr>
                <m:t>|</m:t>
              </m:r>
              <m:r>
                <m:rPr>
                  <m:nor/>
                  <m:sty m:val="p"/>
                </m:rPr>
                <m:t>id</m:t>
              </m:r>
            </m:e>
          </m:d>
          <m:r>
            <m:rPr>
              <m:sty m:val="p"/>
            </m:rPr>
            <m:t>+</m:t>
          </m:r>
          <m:d>
            <m:dPr>
              <m:begChr m:val="("/>
              <m:endChr m:val=")"/>
              <m:sepChr m:val=""/>
              <m:grow/>
            </m:dPr>
            <m:e>
              <m:r>
                <m:t>1</m:t>
              </m:r>
              <m:r>
                <m:rPr>
                  <m:sty m:val="p"/>
                </m:rPr>
                <m:t>|</m:t>
              </m:r>
              <m:r>
                <m:rPr>
                  <m:nor/>
                  <m:sty m:val="p"/>
                </m:rPr>
                <m:t>Family Scenario</m:t>
              </m:r>
            </m:e>
          </m:d>
        </m:oMath>
      </m:oMathPara>
    </w:p>
    <w:p>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w:t>
      </w:r>
    </w:p>
    <w:tbl>
      <w:tblPr>
        <w:tblStyle w:val="Table"/>
        <w:tblW w:type="pct" w:w="5000"/>
        <w:tblLayout w:type="fixed"/>
        <w:tblLook w:firstRow="0" w:lastRow="0" w:firstColumn="0" w:lastColumn="0" w:noHBand="0" w:noVBand="0" w:val="0000"/>
      </w:tblPr>
      <w:tblGrid>
        <w:gridCol w:w="7920"/>
      </w:tblGrid>
      <w:tr>
        <w:tc>
          <w:tcPr/>
          <w:bookmarkStart w:id="37" w:name="tbl-s1-reg"/>
          <w:p>
            <w:pPr>
              <w:jc w:val="center"/>
            </w:pPr>
            <w:pPr>
              <w:jc w:val="start"/>
              <w:spacing w:before="200"/>
              <w:pStyle w:val="ImageCaption"/>
            </w:pPr>
            <w:r>
              <w:t xml:space="preserve">Table 3:</w:t>
            </w:r>
            <w:r>
              <w:t xml:space="preserve"> </w:t>
            </w:r>
            <w:r>
              <w:rPr>
                <w:b/>
                <w:bCs/>
              </w:rPr>
              <w:t xml:space="preserve">Experiment 1</w:t>
            </w:r>
            <w:r>
              <w:t xml:space="preserve">: Ordinal Regression results. Ordinal regression results. Positive coefficients for the reference class predictors indicate that those conditions are associated with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-4.21</w:t>
                  </w:r>
                </w:p>
              </w:tc>
              <w:tc>
                <w:tcPr/>
                <w:p>
                  <w:pPr>
                    <w:pStyle w:val="Compact"/>
                    <w:jc w:val="left"/>
                    <w:jc w:val="center"/>
                  </w:pPr>
                  <w:r>
                    <w:t xml:space="preserve">-5.90</w:t>
                  </w:r>
                </w:p>
              </w:tc>
              <w:tc>
                <w:tcPr/>
                <w:p>
                  <w:pPr>
                    <w:pStyle w:val="Compact"/>
                    <w:jc w:val="left"/>
                    <w:jc w:val="center"/>
                  </w:pPr>
                  <w:r>
                    <w:t xml:space="preserve">-2.58</w:t>
                  </w:r>
                </w:p>
              </w:tc>
              <w:tc>
                <w:tcPr/>
                <w:p>
                  <w:pPr>
                    <w:pStyle w:val="Compact"/>
                    <w:jc w:val="left"/>
                    <w:jc w:val="center"/>
                  </w:pPr>
                  <w:r>
                    <w:t xml:space="preserve">1.00</w:t>
                  </w:r>
                </w:p>
              </w:tc>
            </w:tr>
            <w:tr>
              <w:tc>
                <w:tcPr/>
                <w:p>
                  <w:pPr>
                    <w:pStyle w:val="Compact"/>
                    <w:jc w:val="left"/>
                    <w:jc w:val="center"/>
                  </w:pPr>
                  <w:r>
                    <w:t xml:space="preserve">Intercept[2]</w:t>
                  </w:r>
                </w:p>
              </w:tc>
              <w:tc>
                <w:tcPr/>
                <w:p>
                  <w:pPr>
                    <w:pStyle w:val="Compact"/>
                    <w:jc w:val="left"/>
                    <w:jc w:val="center"/>
                  </w:pPr>
                  <w:r>
                    <w:t xml:space="preserve">-0.89</w:t>
                  </w:r>
                </w:p>
              </w:tc>
              <w:tc>
                <w:tcPr/>
                <w:p>
                  <w:pPr>
                    <w:pStyle w:val="Compact"/>
                    <w:jc w:val="left"/>
                    <w:jc w:val="center"/>
                  </w:pPr>
                  <w:r>
                    <w:t xml:space="preserve">-2.49</w:t>
                  </w:r>
                </w:p>
              </w:tc>
              <w:tc>
                <w:tcPr/>
                <w:p>
                  <w:pPr>
                    <w:pStyle w:val="Compact"/>
                    <w:jc w:val="left"/>
                    <w:jc w:val="center"/>
                  </w:pPr>
                  <w:r>
                    <w:t xml:space="preserve">0.71</w:t>
                  </w:r>
                </w:p>
              </w:tc>
              <w:tc>
                <w:tcPr/>
                <w:p>
                  <w:pPr>
                    <w:pStyle w:val="Compact"/>
                    <w:jc w:val="left"/>
                    <w:jc w:val="center"/>
                  </w:pPr>
                  <w:r>
                    <w:t xml:space="preserve">0.87</w:t>
                  </w:r>
                </w:p>
              </w:tc>
            </w:tr>
            <w:tr>
              <w:tc>
                <w:tcPr/>
                <w:p>
                  <w:pPr>
                    <w:pStyle w:val="Compact"/>
                    <w:jc w:val="left"/>
                    <w:jc w:val="center"/>
                  </w:pPr>
                  <w:r>
                    <w:t xml:space="preserve">refClassPercentage</w:t>
                  </w:r>
                </w:p>
              </w:tc>
              <w:tc>
                <w:tcPr/>
                <w:p>
                  <w:pPr>
                    <w:pStyle w:val="Compact"/>
                    <w:jc w:val="left"/>
                    <w:jc w:val="center"/>
                  </w:pPr>
                  <w:r>
                    <w:t xml:space="preserve">1.44</w:t>
                  </w:r>
                </w:p>
              </w:tc>
              <w:tc>
                <w:tcPr/>
                <w:p>
                  <w:pPr>
                    <w:pStyle w:val="Compact"/>
                    <w:jc w:val="left"/>
                    <w:jc w:val="center"/>
                  </w:pPr>
                  <w:r>
                    <w:t xml:space="preserve">0.07</w:t>
                  </w:r>
                </w:p>
              </w:tc>
              <w:tc>
                <w:tcPr/>
                <w:p>
                  <w:pPr>
                    <w:pStyle w:val="Compact"/>
                    <w:jc w:val="left"/>
                    <w:jc w:val="center"/>
                  </w:pPr>
                  <w:r>
                    <w:t xml:space="preserve">2.88</w:t>
                  </w:r>
                </w:p>
              </w:tc>
              <w:tc>
                <w:tcPr/>
                <w:p>
                  <w:pPr>
                    <w:pStyle w:val="Compact"/>
                    <w:jc w:val="left"/>
                    <w:jc w:val="center"/>
                  </w:pPr>
                  <w:r>
                    <w:t xml:space="preserve">0.98</w:t>
                  </w:r>
                </w:p>
              </w:tc>
            </w:tr>
            <w:tr>
              <w:tc>
                <w:tcPr/>
                <w:p>
                  <w:pPr>
                    <w:pStyle w:val="Compact"/>
                    <w:jc w:val="left"/>
                    <w:jc w:val="center"/>
                  </w:pPr>
                  <w:r>
                    <w:t xml:space="preserve">refClassUSD</w:t>
                  </w:r>
                </w:p>
              </w:tc>
              <w:tc>
                <w:tcPr/>
                <w:p>
                  <w:pPr>
                    <w:pStyle w:val="Compact"/>
                    <w:jc w:val="left"/>
                    <w:jc w:val="center"/>
                  </w:pPr>
                  <w:r>
                    <w:t xml:space="preserve">3.13</w:t>
                  </w:r>
                </w:p>
              </w:tc>
              <w:tc>
                <w:tcPr/>
                <w:p>
                  <w:pPr>
                    <w:pStyle w:val="Compact"/>
                    <w:jc w:val="left"/>
                    <w:jc w:val="center"/>
                  </w:pPr>
                  <w:r>
                    <w:t xml:space="preserve">1.81</w:t>
                  </w:r>
                </w:p>
              </w:tc>
              <w:tc>
                <w:tcPr/>
                <w:p>
                  <w:pPr>
                    <w:pStyle w:val="Compact"/>
                    <w:jc w:val="left"/>
                    <w:jc w:val="center"/>
                  </w:pPr>
                  <w:r>
                    <w:t xml:space="preserve">4.50</w:t>
                  </w:r>
                </w:p>
              </w:tc>
              <w:tc>
                <w:tcPr/>
                <w:p>
                  <w:pPr>
                    <w:pStyle w:val="Compact"/>
                    <w:jc w:val="left"/>
                    <w:jc w:val="center"/>
                  </w:pPr>
                  <w:r>
                    <w:t xml:space="preserve">1.00</w:t>
                  </w:r>
                </w:p>
              </w:tc>
            </w:tr>
            <w:tr>
              <w:tc>
                <w:tcPr/>
                <w:p>
                  <w:pPr>
                    <w:pStyle w:val="Compact"/>
                    <w:jc w:val="left"/>
                    <w:jc w:val="center"/>
                  </w:pPr>
                  <w:r>
                    <w:t xml:space="preserve">calcUsedCalculator</w:t>
                  </w:r>
                </w:p>
              </w:tc>
              <w:tc>
                <w:tcPr/>
                <w:p>
                  <w:pPr>
                    <w:pStyle w:val="Compact"/>
                    <w:jc w:val="left"/>
                    <w:jc w:val="center"/>
                  </w:pPr>
                  <w:r>
                    <w:t xml:space="preserve">-3.30</w:t>
                  </w:r>
                </w:p>
              </w:tc>
              <w:tc>
                <w:tcPr/>
                <w:p>
                  <w:pPr>
                    <w:pStyle w:val="Compact"/>
                    <w:jc w:val="left"/>
                    <w:jc w:val="center"/>
                  </w:pPr>
                  <w:r>
                    <w:t xml:space="preserve">-4.80</w:t>
                  </w:r>
                </w:p>
              </w:tc>
              <w:tc>
                <w:tcPr/>
                <w:p>
                  <w:pPr>
                    <w:pStyle w:val="Compact"/>
                    <w:jc w:val="left"/>
                    <w:jc w:val="center"/>
                  </w:pPr>
                  <w:r>
                    <w:t xml:space="preserve">-1.92</w:t>
                  </w:r>
                </w:p>
              </w:tc>
              <w:tc>
                <w:tcPr/>
                <w:p>
                  <w:pPr>
                    <w:pStyle w:val="Compact"/>
                    <w:jc w:val="left"/>
                    <w:jc w:val="center"/>
                  </w:pPr>
                  <w:r>
                    <w:t xml:space="preserve">1.00</w:t>
                  </w:r>
                </w:p>
              </w:tc>
            </w:tr>
          </w:tbl>
          <w:bookmarkEnd w:id="3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tbl-s1-ord"/>
          <w:p>
            <w:pPr>
              <w:jc w:val="center"/>
            </w:pPr>
            <w:pPr>
              <w:jc w:val="start"/>
              <w:spacing w:before="200"/>
              <w:pStyle w:val="ImageCaption"/>
            </w:pPr>
            <w:r>
              <w:t xml:space="preserve">Table 4:</w:t>
            </w:r>
            <w:r>
              <w:t xml:space="preserve"> </w:t>
            </w:r>
            <w:r>
              <w:rPr>
                <w:b/>
                <w:bCs/>
              </w:rPr>
              <w:t xml:space="preserve">Experiment 1</w:t>
            </w:r>
            <w:r>
              <w:t xml:space="preserve">: Odds ratios for group comparisons. Odds ratios greater than 1 indicate increased odds of falling into a worse accuracy category compared to the kWh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4.2</w:t>
                  </w:r>
                </w:p>
              </w:tc>
              <w:tc>
                <w:tcPr/>
                <w:p>
                  <w:pPr>
                    <w:pStyle w:val="Compact"/>
                    <w:jc w:val="left"/>
                    <w:jc w:val="center"/>
                  </w:pPr>
                  <w:r>
                    <w:t xml:space="preserve">1.1</w:t>
                  </w:r>
                </w:p>
              </w:tc>
              <w:tc>
                <w:tcPr/>
                <w:p>
                  <w:pPr>
                    <w:pStyle w:val="Compact"/>
                    <w:jc w:val="left"/>
                    <w:jc w:val="center"/>
                  </w:pPr>
                  <w:r>
                    <w:t xml:space="preserve">18</w:t>
                  </w:r>
                </w:p>
              </w:tc>
            </w:tr>
            <w:tr>
              <w:tc>
                <w:tcPr/>
                <w:p>
                  <w:pPr>
                    <w:pStyle w:val="Compact"/>
                    <w:jc w:val="left"/>
                    <w:jc w:val="center"/>
                  </w:pPr>
                  <w:r>
                    <w:t xml:space="preserve">USD vs kWh</w:t>
                  </w:r>
                </w:p>
              </w:tc>
              <w:tc>
                <w:tcPr/>
                <w:p>
                  <w:pPr>
                    <w:pStyle w:val="Compact"/>
                    <w:jc w:val="left"/>
                    <w:jc w:val="center"/>
                  </w:pPr>
                  <w:r>
                    <w:t xml:space="preserve">22.9</w:t>
                  </w:r>
                </w:p>
              </w:tc>
              <w:tc>
                <w:tcPr/>
                <w:p>
                  <w:pPr>
                    <w:pStyle w:val="Compact"/>
                    <w:jc w:val="left"/>
                    <w:jc w:val="center"/>
                  </w:pPr>
                  <w:r>
                    <w:t xml:space="preserve">6.1</w:t>
                  </w:r>
                </w:p>
              </w:tc>
              <w:tc>
                <w:tcPr/>
                <w:p>
                  <w:pPr>
                    <w:pStyle w:val="Compact"/>
                    <w:jc w:val="left"/>
                    <w:jc w:val="center"/>
                  </w:pPr>
                  <w:r>
                    <w:t xml:space="preserve">90</w:t>
                  </w:r>
                </w:p>
              </w:tc>
            </w:tr>
          </w:tbl>
          <w:bookmarkEnd w:id="38"/>
          <w:p/>
        </w:tc>
      </w:tr>
    </w:tbl>
    <w:p>
      <w:pPr>
        <w:pStyle w:val="BodyText"/>
      </w:pPr>
      <w:r>
        <w:t xml:space="preserve">As shown in</w:t>
      </w:r>
      <w:r>
        <w:t xml:space="preserve"> </w:t>
      </w:r>
      <w:hyperlink w:anchor="tbl-s1-reg">
        <w:r>
          <w:rPr>
            <w:rStyle w:val="Hyperlink"/>
          </w:rPr>
          <w:t xml:space="preserve">Table 3</w:t>
        </w:r>
      </w:hyperlink>
      <w:r>
        <w:t xml:space="preserve">, the reference class coefficients are positive for both the Percentage (Estimate = 1.3, 95% CI: 0.01 to 2.66, pd = 0.98) and USD (Estimate = 2.8, 95% CI: 1.52 to 4.04,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15.7), while the Percentage condition also demonstrated increased odds (OR = 3.7) but was somewhat less detrimental to accuracy than USD. These results align with our descriptive findings and further clarify that framing the target reductions in absolute kWh units may facilitate significantly more accurate planning. Posterior predictive checks showed that the ordinal model provided a reasonable fit to the observed data (see</w:t>
      </w:r>
      <w:r>
        <w:t xml:space="preserve"> </w:t>
      </w:r>
      <w:hyperlink w:anchor="fig-s1-ppd">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2" w:name="fig-s1-ppd"/>
          <w:p>
            <w:pPr>
              <w:pStyle w:val="Compact"/>
              <w:jc w:val="center"/>
            </w:pPr>
            <w:r>
              <w:drawing>
                <wp:inline>
                  <wp:extent cx="5334000" cy="4267200"/>
                  <wp:effectExtent b="0" l="0" r="0" t="0"/>
                  <wp:docPr descr="" title="" id="40" name="Picture"/>
                  <a:graphic>
                    <a:graphicData uri="http://schemas.openxmlformats.org/drawingml/2006/picture">
                      <pic:pic>
                        <pic:nvPicPr>
                          <pic:cNvPr descr="manuscript_files/figure-docx/fig-s1-ppd-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Study 1: Proportion of participants in each accuracy level, colored by reference class, and seprated in facets based on the levels of reduction goal. A larger % of participants in the Exact Match, or 0.01-2% error bins indicates better performance.</w:t>
            </w:r>
          </w:p>
          <w:bookmarkEnd w:id="42"/>
        </w:tc>
      </w:tr>
    </w:tbl>
    <w:tbl>
      <w:tblPr>
        <w:tblStyle w:val="Table"/>
        <w:tblW w:type="pct" w:w="5000"/>
        <w:tblLayout w:type="fixed"/>
        <w:tblLook w:firstRow="0" w:lastRow="0" w:firstColumn="0" w:lastColumn="0" w:noHBand="0" w:noVBand="0" w:val="0000"/>
      </w:tblPr>
      <w:tblGrid>
        <w:gridCol w:w="7920"/>
      </w:tblGrid>
      <w:tr>
        <w:tc>
          <w:tcPr/>
          <w:bookmarkStart w:id="47" w:name="fig-s1-els"/>
          <w:p>
            <w:pPr>
              <w:pStyle w:val="Compact"/>
              <w:jc w:val="center"/>
            </w:pPr>
            <w:bookmarkStart w:id="46" w:name="fig-s1-els"/>
            <w:r>
              <w:drawing>
                <wp:inline>
                  <wp:extent cx="5334000" cy="4267200"/>
                  <wp:effectExtent b="0" l="0" r="0" t="0"/>
                  <wp:docPr descr="" title="" id="44" name="Picture"/>
                  <a:graphic>
                    <a:graphicData uri="http://schemas.openxmlformats.org/drawingml/2006/picture">
                      <pic:pic>
                        <pic:nvPicPr>
                          <pic:cNvPr descr="manuscript_files/figure-docx/fig-s1-el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bookmarkEnd w:id="46"/>
          </w:p>
          <w:p>
            <w:pPr>
              <w:jc w:val="center"/>
            </w:pPr>
            <w:pPr>
              <w:jc w:val="start"/>
              <w:spacing w:before="200"/>
              <w:pStyle w:val="ImageCaption"/>
            </w:pPr>
            <w:r>
              <w:t xml:space="preserve">Figure 4</w:t>
            </w:r>
          </w:p>
          <w:bookmarkEnd w:id="47"/>
        </w:tc>
      </w:tr>
    </w:tbl>
    <w:p>
      <w:pPr>
        <w:pStyle w:val="BodyText"/>
      </w:pPr>
      <w:r>
        <w:t xml:space="preserve">To further investigate individual factors that may influence planning accuracy, we examined the relationship between participants’ energy literacy scores and their performance on the task. Energy literacy was assessed using an 8-item questionnaire adapted from</w:t>
      </w:r>
      <w:r>
        <w:t xml:space="preserve"> </w:t>
      </w:r>
      <w:r>
        <w:t xml:space="preserve">(DeWaters &amp; Powers, 2011)</w:t>
      </w:r>
      <w:r>
        <w:t xml:space="preserve">, which covers topics such as energy units, appliance energy consumption, and sources of electricity. A Bayesian linear regression model was fit with log-transformed absolute error as the outcome variable and energy literacy score as the predictor, controlling for random effects of participant and state: log_abs_error ~ els + (1|id) + (1|state).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 xml:space="preserve">Figure 4</w:t>
        </w:r>
      </w:hyperlink>
      <w:r>
        <w:t xml:space="preserve">).</w:t>
      </w:r>
    </w:p>
    <w:bookmarkEnd w:id="48"/>
    <w:bookmarkEnd w:id="49"/>
    <w:bookmarkStart w:id="50" w:name="experiment-1-discussion"/>
    <w:p>
      <w:pPr>
        <w:pStyle w:val="Heading2"/>
      </w:pPr>
      <w:r>
        <w:t xml:space="preserve">Experiment 1: Discussion</w:t>
      </w:r>
    </w:p>
    <w:p>
      <w:pPr>
        <w:pStyle w:val="FirstParagraph"/>
      </w:pPr>
      <w:r>
        <w:t xml:space="preserve">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pPr>
        <w:pStyle w:val="BodyText"/>
      </w:pPr>
      <w:r>
        <w:t xml:space="preserve">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bookmarkEnd w:id="50"/>
    <w:bookmarkEnd w:id="51"/>
    <w:bookmarkStart w:id="75" w:name="experiment-2"/>
    <w:p>
      <w:pPr>
        <w:pStyle w:val="Heading1"/>
      </w:pPr>
      <w:r>
        <w:t xml:space="preserve">Experiment 2</w:t>
      </w:r>
    </w:p>
    <w:bookmarkStart w:id="52" w:name="methods-1"/>
    <w:p>
      <w:pPr>
        <w:pStyle w:val="Heading2"/>
      </w:pPr>
      <w:r>
        <w:t xml:space="preserve">Methods</w:t>
      </w:r>
    </w:p>
    <w:p>
      <w:pPr>
        <w:pStyle w:val="FirstParagraph"/>
      </w:pPr>
      <w:r>
        <w:t xml:space="preserve">The experimental procedures in Experiment 2 are quite similar to those in Experiment 1. Experiment 2 employed a 2 (task goal: 10% vs. 15% reduction) x 2 (last year’s usage: exact vs. rounded) within-subjects design, with a between-subjects manipulation of the reference class (USD vs. Percentage vs. kWh).. We recruited 206 participants from Amazon Mechanical Turk, but data from from 10 participants were corrupted due to experimenter error, leaving a final sample of 196 participants.</w:t>
      </w:r>
    </w:p>
    <w:bookmarkEnd w:id="52"/>
    <w:bookmarkStart w:id="73" w:name="results-1"/>
    <w:p>
      <w:pPr>
        <w:pStyle w:val="Heading2"/>
      </w:pPr>
      <w:r>
        <w:t xml:space="preserve">Results</w:t>
      </w:r>
    </w:p>
    <w:tbl>
      <w:tblPr>
        <w:tblStyle w:val="Table"/>
        <w:tblW w:type="pct" w:w="5000"/>
        <w:tblLayout w:type="fixed"/>
        <w:tblLook w:firstRow="0" w:lastRow="0" w:firstColumn="0" w:lastColumn="0" w:noHBand="0" w:noVBand="0" w:val="0000"/>
      </w:tblPr>
      <w:tblGrid>
        <w:gridCol w:w="7920"/>
      </w:tblGrid>
      <w:tr>
        <w:tc>
          <w:tcPr/>
          <w:bookmarkStart w:id="53" w:name="tbl-s2-agg"/>
          <w:p>
            <w:pPr>
              <w:jc w:val="center"/>
            </w:pPr>
            <w:pPr>
              <w:jc w:val="start"/>
              <w:spacing w:before="200"/>
              <w:pStyle w:val="ImageCaption"/>
            </w:pPr>
            <w:r>
              <w:t xml:space="preserve">Table 5: Experiment 2: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242"/>
              <w:gridCol w:w="1785"/>
              <w:gridCol w:w="2251"/>
              <w:gridCol w:w="1164"/>
              <w:gridCol w:w="1475"/>
            </w:tblGrid>
            <w:tr>
              <w:trPr>
                <w:tblHeader w:val="on"/>
              </w:trPr>
              <w:tc>
                <w:tcPr/>
                <w:p>
                  <w:pPr>
                    <w:pStyle w:val="Compact"/>
                    <w:jc w:val="left"/>
                    <w:jc w:val="center"/>
                  </w:pPr>
                  <w:r>
                    <w:t xml:space="preserve">Reference Class</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0.44</w:t>
                  </w:r>
                </w:p>
              </w:tc>
              <w:tc>
                <w:tcPr/>
                <w:p>
                  <w:pPr>
                    <w:pStyle w:val="Compact"/>
                    <w:jc w:val="left"/>
                    <w:jc w:val="center"/>
                  </w:pPr>
                  <w:r>
                    <w:t xml:space="preserve">0.52</w:t>
                  </w:r>
                </w:p>
              </w:tc>
              <w:tc>
                <w:tcPr/>
                <w:p>
                  <w:pPr>
                    <w:pStyle w:val="Compact"/>
                    <w:jc w:val="left"/>
                    <w:jc w:val="center"/>
                  </w:pPr>
                  <w:r>
                    <w:t xml:space="preserve">0.02</w:t>
                  </w:r>
                </w:p>
              </w:tc>
              <w:tc>
                <w:tcPr/>
                <w:p>
                  <w:pPr>
                    <w:pStyle w:val="Compact"/>
                    <w:jc w:val="left"/>
                    <w:jc w:val="center"/>
                  </w:pPr>
                  <w:r>
                    <w:t xml:space="preserve">-3.9</w:t>
                  </w:r>
                </w:p>
              </w:tc>
            </w:tr>
            <w:tr>
              <w:tc>
                <w:tcPr/>
                <w:p>
                  <w:pPr>
                    <w:pStyle w:val="Compact"/>
                    <w:jc w:val="left"/>
                    <w:jc w:val="center"/>
                  </w:pPr>
                  <w:r>
                    <w:t xml:space="preserve">Percentage</w:t>
                  </w:r>
                </w:p>
              </w:tc>
              <w:tc>
                <w:tcPr/>
                <w:p>
                  <w:pPr>
                    <w:pStyle w:val="Compact"/>
                    <w:jc w:val="left"/>
                    <w:jc w:val="center"/>
                  </w:pPr>
                  <w:r>
                    <w:t xml:space="preserve">0.28</w:t>
                  </w:r>
                </w:p>
              </w:tc>
              <w:tc>
                <w:tcPr/>
                <w:p>
                  <w:pPr>
                    <w:pStyle w:val="Compact"/>
                    <w:jc w:val="left"/>
                    <w:jc w:val="center"/>
                  </w:pPr>
                  <w:r>
                    <w:t xml:space="preserve">0.42</w:t>
                  </w:r>
                </w:p>
              </w:tc>
              <w:tc>
                <w:tcPr/>
                <w:p>
                  <w:pPr>
                    <w:pStyle w:val="Compact"/>
                    <w:jc w:val="left"/>
                    <w:jc w:val="center"/>
                  </w:pPr>
                  <w:r>
                    <w:t xml:space="preserve">0.06</w:t>
                  </w:r>
                </w:p>
              </w:tc>
              <w:tc>
                <w:tcPr/>
                <w:p>
                  <w:pPr>
                    <w:pStyle w:val="Compact"/>
                    <w:jc w:val="left"/>
                    <w:jc w:val="center"/>
                  </w:pPr>
                  <w:r>
                    <w:t xml:space="preserve">-3.2</w:t>
                  </w:r>
                </w:p>
              </w:tc>
            </w:tr>
            <w:tr>
              <w:tc>
                <w:tcPr/>
                <w:p>
                  <w:pPr>
                    <w:pStyle w:val="Compact"/>
                    <w:jc w:val="left"/>
                    <w:jc w:val="center"/>
                  </w:pPr>
                  <w:r>
                    <w:t xml:space="preserve">USD</w:t>
                  </w:r>
                </w:p>
              </w:tc>
              <w:tc>
                <w:tcPr/>
                <w:p>
                  <w:pPr>
                    <w:pStyle w:val="Compact"/>
                    <w:jc w:val="left"/>
                    <w:jc w:val="center"/>
                  </w:pPr>
                  <w:r>
                    <w:t xml:space="preserve">0.20</w:t>
                  </w:r>
                </w:p>
              </w:tc>
              <w:tc>
                <w:tcPr/>
                <w:p>
                  <w:pPr>
                    <w:pStyle w:val="Compact"/>
                    <w:jc w:val="left"/>
                    <w:jc w:val="center"/>
                  </w:pPr>
                  <w:r>
                    <w:t xml:space="preserve">0.29</w:t>
                  </w:r>
                </w:p>
              </w:tc>
              <w:tc>
                <w:tcPr/>
                <w:p>
                  <w:pPr>
                    <w:pStyle w:val="Compact"/>
                    <w:jc w:val="left"/>
                    <w:jc w:val="center"/>
                  </w:pPr>
                  <w:r>
                    <w:t xml:space="preserve">0.10</w:t>
                  </w:r>
                </w:p>
              </w:tc>
              <w:tc>
                <w:tcPr/>
                <w:p>
                  <w:pPr>
                    <w:pStyle w:val="Compact"/>
                    <w:jc w:val="left"/>
                    <w:jc w:val="center"/>
                  </w:pPr>
                  <w:r>
                    <w:t xml:space="preserve">-2.4</w:t>
                  </w:r>
                </w:p>
              </w:tc>
            </w:tr>
          </w:tbl>
          <w:bookmarkEnd w:id="53"/>
          <w:p/>
        </w:tc>
      </w:tr>
    </w:tbl>
    <w:tbl>
      <w:tblPr>
        <w:tblStyle w:val="Table"/>
        <w:tblW w:type="pct" w:w="5000"/>
        <w:tblLayout w:type="fixed"/>
        <w:tblLook w:firstRow="0" w:lastRow="0" w:firstColumn="0" w:lastColumn="0" w:noHBand="0" w:noVBand="0" w:val="0000"/>
      </w:tblPr>
      <w:tblGrid>
        <w:gridCol w:w="7920"/>
      </w:tblGrid>
      <w:tr>
        <w:tc>
          <w:tcPr/>
          <w:bookmarkStart w:id="57" w:name="fig-s2-log-dist"/>
          <w:p>
            <w:pPr>
              <w:pStyle w:val="Compact"/>
              <w:jc w:val="center"/>
            </w:pPr>
            <w:r>
              <w:drawing>
                <wp:inline>
                  <wp:extent cx="5334000" cy="3879272"/>
                  <wp:effectExtent b="0" l="0" r="0" t="0"/>
                  <wp:docPr descr="" title="" id="55" name="Picture"/>
                  <a:graphic>
                    <a:graphicData uri="http://schemas.openxmlformats.org/drawingml/2006/picture">
                      <pic:pic>
                        <pic:nvPicPr>
                          <pic:cNvPr descr="manuscript_files/figure-docx/fig-s2-log-dist-1.png" id="56" name="Picture"/>
                          <pic:cNvPicPr>
                            <a:picLocks noChangeArrowheads="1" noChangeAspect="1"/>
                          </pic:cNvPicPr>
                        </pic:nvPicPr>
                        <pic:blipFill>
                          <a:blip r:embed="rId54"/>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Study 1: Distribution of log absolute error by reference class.</w:t>
            </w:r>
          </w:p>
          <w:bookmarkEnd w:id="5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8" w:name="tbl-s2-reg"/>
          <w:p>
            <w:pPr>
              <w:jc w:val="center"/>
            </w:pPr>
            <w:pPr>
              <w:jc w:val="start"/>
              <w:spacing w:before="200"/>
              <w:pStyle w:val="ImageCaption"/>
            </w:pPr>
            <w:r>
              <w:t xml:space="preserve">Table 7:</w:t>
            </w:r>
            <w:r>
              <w:t xml:space="preserve"> </w:t>
            </w:r>
            <w:r>
              <w:rPr>
                <w:b/>
                <w:bCs/>
              </w:rPr>
              <w:t xml:space="preserve">Experiment 2.</w:t>
            </w:r>
            <w:r>
              <w:t xml:space="preserve"> </w:t>
            </w:r>
            <w:r>
              <w:t xml:space="preserve">Parameter estimates from the ordinal regression model. Positive coefficients for refClass predictors indicate increased likelihood of falling into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-1.45</w:t>
                  </w:r>
                </w:p>
              </w:tc>
              <w:tc>
                <w:tcPr/>
                <w:p>
                  <w:pPr>
                    <w:pStyle w:val="Compact"/>
                    <w:jc w:val="left"/>
                    <w:jc w:val="center"/>
                  </w:pPr>
                  <w:r>
                    <w:t xml:space="preserve">-2.85</w:t>
                  </w:r>
                </w:p>
              </w:tc>
              <w:tc>
                <w:tcPr/>
                <w:p>
                  <w:pPr>
                    <w:pStyle w:val="Compact"/>
                    <w:jc w:val="left"/>
                    <w:jc w:val="center"/>
                  </w:pPr>
                  <w:r>
                    <w:t xml:space="preserve">-0.07</w:t>
                  </w:r>
                </w:p>
              </w:tc>
              <w:tc>
                <w:tcPr/>
                <w:p>
                  <w:pPr>
                    <w:pStyle w:val="Compact"/>
                    <w:jc w:val="left"/>
                    <w:jc w:val="center"/>
                  </w:pPr>
                  <w:r>
                    <w:t xml:space="preserve">0.98</w:t>
                  </w:r>
                </w:p>
              </w:tc>
            </w:tr>
            <w:tr>
              <w:tc>
                <w:tcPr/>
                <w:p>
                  <w:pPr>
                    <w:pStyle w:val="Compact"/>
                    <w:jc w:val="left"/>
                    <w:jc w:val="center"/>
                  </w:pPr>
                  <w:r>
                    <w:t xml:space="preserve">Intercept[2]</w:t>
                  </w:r>
                </w:p>
              </w:tc>
              <w:tc>
                <w:tcPr/>
                <w:p>
                  <w:pPr>
                    <w:pStyle w:val="Compact"/>
                    <w:jc w:val="left"/>
                    <w:jc w:val="center"/>
                  </w:pPr>
                  <w:r>
                    <w:t xml:space="preserve">1.26</w:t>
                  </w:r>
                </w:p>
              </w:tc>
              <w:tc>
                <w:tcPr/>
                <w:p>
                  <w:pPr>
                    <w:pStyle w:val="Compact"/>
                    <w:jc w:val="left"/>
                    <w:jc w:val="center"/>
                  </w:pPr>
                  <w:r>
                    <w:t xml:space="preserve">-0.09</w:t>
                  </w:r>
                </w:p>
              </w:tc>
              <w:tc>
                <w:tcPr/>
                <w:p>
                  <w:pPr>
                    <w:pStyle w:val="Compact"/>
                    <w:jc w:val="left"/>
                    <w:jc w:val="center"/>
                  </w:pPr>
                  <w:r>
                    <w:t xml:space="preserve">2.65</w:t>
                  </w:r>
                </w:p>
              </w:tc>
              <w:tc>
                <w:tcPr/>
                <w:p>
                  <w:pPr>
                    <w:pStyle w:val="Compact"/>
                    <w:jc w:val="left"/>
                    <w:jc w:val="center"/>
                  </w:pPr>
                  <w:r>
                    <w:t xml:space="preserve">0.97</w:t>
                  </w:r>
                </w:p>
              </w:tc>
            </w:tr>
            <w:tr>
              <w:tc>
                <w:tcPr/>
                <w:p>
                  <w:pPr>
                    <w:pStyle w:val="Compact"/>
                    <w:jc w:val="left"/>
                    <w:jc w:val="center"/>
                  </w:pPr>
                  <w:r>
                    <w:t xml:space="preserve">refClassPercentage</w:t>
                  </w:r>
                </w:p>
              </w:tc>
              <w:tc>
                <w:tcPr/>
                <w:p>
                  <w:pPr>
                    <w:pStyle w:val="Compact"/>
                    <w:jc w:val="left"/>
                    <w:jc w:val="center"/>
                  </w:pPr>
                  <w:r>
                    <w:t xml:space="preserve">1.02</w:t>
                  </w:r>
                </w:p>
              </w:tc>
              <w:tc>
                <w:tcPr/>
                <w:p>
                  <w:pPr>
                    <w:pStyle w:val="Compact"/>
                    <w:jc w:val="left"/>
                    <w:jc w:val="center"/>
                  </w:pPr>
                  <w:r>
                    <w:t xml:space="preserve">-0.63</w:t>
                  </w:r>
                </w:p>
              </w:tc>
              <w:tc>
                <w:tcPr/>
                <w:p>
                  <w:pPr>
                    <w:pStyle w:val="Compact"/>
                    <w:jc w:val="left"/>
                    <w:jc w:val="center"/>
                  </w:pPr>
                  <w:r>
                    <w:t xml:space="preserve">2.71</w:t>
                  </w:r>
                </w:p>
              </w:tc>
              <w:tc>
                <w:tcPr/>
                <w:p>
                  <w:pPr>
                    <w:pStyle w:val="Compact"/>
                    <w:jc w:val="left"/>
                    <w:jc w:val="center"/>
                  </w:pPr>
                  <w:r>
                    <w:t xml:space="preserve">0.89</w:t>
                  </w:r>
                </w:p>
              </w:tc>
            </w:tr>
            <w:tr>
              <w:tc>
                <w:tcPr/>
                <w:p>
                  <w:pPr>
                    <w:pStyle w:val="Compact"/>
                    <w:jc w:val="left"/>
                    <w:jc w:val="center"/>
                  </w:pPr>
                  <w:r>
                    <w:t xml:space="preserve">refClassUSD</w:t>
                  </w:r>
                </w:p>
              </w:tc>
              <w:tc>
                <w:tcPr/>
                <w:p>
                  <w:pPr>
                    <w:pStyle w:val="Compact"/>
                    <w:jc w:val="left"/>
                    <w:jc w:val="center"/>
                  </w:pPr>
                  <w:r>
                    <w:t xml:space="preserve">2.27</w:t>
                  </w:r>
                </w:p>
              </w:tc>
              <w:tc>
                <w:tcPr/>
                <w:p>
                  <w:pPr>
                    <w:pStyle w:val="Compact"/>
                    <w:jc w:val="left"/>
                    <w:jc w:val="center"/>
                  </w:pPr>
                  <w:r>
                    <w:t xml:space="preserve">0.53</w:t>
                  </w:r>
                </w:p>
              </w:tc>
              <w:tc>
                <w:tcPr/>
                <w:p>
                  <w:pPr>
                    <w:pStyle w:val="Compact"/>
                    <w:jc w:val="left"/>
                    <w:jc w:val="center"/>
                  </w:pPr>
                  <w:r>
                    <w:t xml:space="preserve">3.98</w:t>
                  </w:r>
                </w:p>
              </w:tc>
              <w:tc>
                <w:tcPr/>
                <w:p>
                  <w:pPr>
                    <w:pStyle w:val="Compact"/>
                    <w:jc w:val="left"/>
                    <w:jc w:val="center"/>
                  </w:pPr>
                  <w:r>
                    <w:t xml:space="preserve">0.99</w:t>
                  </w:r>
                </w:p>
              </w:tc>
            </w:tr>
            <w:tr>
              <w:tc>
                <w:tcPr/>
                <w:p>
                  <w:pPr>
                    <w:pStyle w:val="Compact"/>
                    <w:jc w:val="left"/>
                    <w:jc w:val="center"/>
                  </w:pPr>
                  <w:r>
                    <w:t xml:space="preserve">calcNoCalculator</w:t>
                  </w:r>
                </w:p>
              </w:tc>
              <w:tc>
                <w:tcPr/>
                <w:p>
                  <w:pPr>
                    <w:pStyle w:val="Compact"/>
                    <w:jc w:val="left"/>
                    <w:jc w:val="center"/>
                  </w:pPr>
                  <w:r>
                    <w:t xml:space="preserve">4.10</w:t>
                  </w:r>
                </w:p>
              </w:tc>
              <w:tc>
                <w:tcPr/>
                <w:p>
                  <w:pPr>
                    <w:pStyle w:val="Compact"/>
                    <w:jc w:val="left"/>
                    <w:jc w:val="center"/>
                  </w:pPr>
                  <w:r>
                    <w:t xml:space="preserve">2.20</w:t>
                  </w:r>
                </w:p>
              </w:tc>
              <w:tc>
                <w:tcPr/>
                <w:p>
                  <w:pPr>
                    <w:pStyle w:val="Compact"/>
                    <w:jc w:val="left"/>
                    <w:jc w:val="center"/>
                  </w:pPr>
                  <w:r>
                    <w:t xml:space="preserve">6.06</w:t>
                  </w:r>
                </w:p>
              </w:tc>
              <w:tc>
                <w:tcPr/>
                <w:p>
                  <w:pPr>
                    <w:pStyle w:val="Compact"/>
                    <w:jc w:val="left"/>
                    <w:jc w:val="center"/>
                  </w:pPr>
                  <w:r>
                    <w:t xml:space="preserve">1.00</w:t>
                  </w:r>
                </w:p>
              </w:tc>
            </w:tr>
            <w:tr>
              <w:tc>
                <w:tcPr/>
                <w:p>
                  <w:pPr>
                    <w:pStyle w:val="Compact"/>
                    <w:jc w:val="left"/>
                    <w:jc w:val="center"/>
                  </w:pPr>
                  <w:r>
                    <w:t xml:space="preserve">pct_goal15%</w:t>
                  </w:r>
                </w:p>
              </w:tc>
              <w:tc>
                <w:tcPr/>
                <w:p>
                  <w:pPr>
                    <w:pStyle w:val="Compact"/>
                    <w:jc w:val="left"/>
                    <w:jc w:val="center"/>
                  </w:pPr>
                  <w:r>
                    <w:t xml:space="preserve">-0.39</w:t>
                  </w:r>
                </w:p>
              </w:tc>
              <w:tc>
                <w:tcPr/>
                <w:p>
                  <w:pPr>
                    <w:pStyle w:val="Compact"/>
                    <w:jc w:val="left"/>
                    <w:jc w:val="center"/>
                  </w:pPr>
                  <w:r>
                    <w:t xml:space="preserve">-0.81</w:t>
                  </w:r>
                </w:p>
              </w:tc>
              <w:tc>
                <w:tcPr/>
                <w:p>
                  <w:pPr>
                    <w:pStyle w:val="Compact"/>
                    <w:jc w:val="left"/>
                    <w:jc w:val="center"/>
                  </w:pPr>
                  <w:r>
                    <w:t xml:space="preserve">0.04</w:t>
                  </w:r>
                </w:p>
              </w:tc>
              <w:tc>
                <w:tcPr/>
                <w:p>
                  <w:pPr>
                    <w:pStyle w:val="Compact"/>
                    <w:jc w:val="left"/>
                    <w:jc w:val="center"/>
                  </w:pPr>
                  <w:r>
                    <w:t xml:space="preserve">0.96</w:t>
                  </w:r>
                </w:p>
              </w:tc>
            </w:tr>
            <w:tr>
              <w:tc>
                <w:tcPr/>
                <w:p>
                  <w:pPr>
                    <w:pStyle w:val="Compact"/>
                    <w:jc w:val="left"/>
                    <w:jc w:val="center"/>
                  </w:pPr>
                  <w:r>
                    <w:t xml:space="preserve">roundedRounded</w:t>
                  </w:r>
                </w:p>
              </w:tc>
              <w:tc>
                <w:tcPr/>
                <w:p>
                  <w:pPr>
                    <w:pStyle w:val="Compact"/>
                    <w:jc w:val="left"/>
                    <w:jc w:val="center"/>
                  </w:pPr>
                  <w:r>
                    <w:t xml:space="preserve">-0.53</w:t>
                  </w:r>
                </w:p>
              </w:tc>
              <w:tc>
                <w:tcPr/>
                <w:p>
                  <w:pPr>
                    <w:pStyle w:val="Compact"/>
                    <w:jc w:val="left"/>
                    <w:jc w:val="center"/>
                  </w:pPr>
                  <w:r>
                    <w:t xml:space="preserve">-0.96</w:t>
                  </w:r>
                </w:p>
              </w:tc>
              <w:tc>
                <w:tcPr/>
                <w:p>
                  <w:pPr>
                    <w:pStyle w:val="Compact"/>
                    <w:jc w:val="left"/>
                    <w:jc w:val="center"/>
                  </w:pPr>
                  <w:r>
                    <w:t xml:space="preserve">-0.11</w:t>
                  </w:r>
                </w:p>
              </w:tc>
              <w:tc>
                <w:tcPr/>
                <w:p>
                  <w:pPr>
                    <w:pStyle w:val="Compact"/>
                    <w:jc w:val="left"/>
                    <w:jc w:val="center"/>
                  </w:pPr>
                  <w:r>
                    <w:t xml:space="preserve">0.99</w:t>
                  </w:r>
                </w:p>
              </w:tc>
            </w:tr>
          </w:tbl>
          <w:bookmarkEnd w:id="5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tbl-s2-ord"/>
          <w:p>
            <w:pPr>
              <w:jc w:val="center"/>
            </w:pPr>
            <w:pPr>
              <w:jc w:val="start"/>
              <w:spacing w:before="200"/>
              <w:pStyle w:val="ImageCaption"/>
            </w:pPr>
            <w:r>
              <w:t xml:space="preserve">Table 8:</w:t>
            </w:r>
            <w:r>
              <w:t xml:space="preserve"> </w:t>
            </w:r>
            <w:r>
              <w:rPr>
                <w:b/>
                <w:bCs/>
              </w:rPr>
              <w:t xml:space="preserve">Experiment 2.</w:t>
            </w:r>
            <w:r>
              <w:t xml:space="preserve"> </w:t>
            </w:r>
            <w:r>
              <w:t xml:space="preserve">Odds ratios for group comparisons. Odds ratios greater than 1 indicate increased odds of falling into a worse accuracy category compared to the comparison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2.78</w:t>
                  </w:r>
                </w:p>
              </w:tc>
              <w:tc>
                <w:tcPr/>
                <w:p>
                  <w:pPr>
                    <w:pStyle w:val="Compact"/>
                    <w:jc w:val="left"/>
                    <w:jc w:val="center"/>
                  </w:pPr>
                  <w:r>
                    <w:t xml:space="preserve">0.53</w:t>
                  </w:r>
                </w:p>
              </w:tc>
              <w:tc>
                <w:tcPr/>
                <w:p>
                  <w:pPr>
                    <w:pStyle w:val="Compact"/>
                    <w:jc w:val="left"/>
                    <w:jc w:val="center"/>
                  </w:pPr>
                  <w:r>
                    <w:t xml:space="preserve">15.0</w:t>
                  </w:r>
                </w:p>
              </w:tc>
            </w:tr>
            <w:tr>
              <w:tc>
                <w:tcPr/>
                <w:p>
                  <w:pPr>
                    <w:pStyle w:val="Compact"/>
                    <w:jc w:val="left"/>
                    <w:jc w:val="center"/>
                  </w:pPr>
                  <w:r>
                    <w:t xml:space="preserve">USD vs kWh</w:t>
                  </w:r>
                </w:p>
              </w:tc>
              <w:tc>
                <w:tcPr/>
                <w:p>
                  <w:pPr>
                    <w:pStyle w:val="Compact"/>
                    <w:jc w:val="left"/>
                    <w:jc w:val="center"/>
                  </w:pPr>
                  <w:r>
                    <w:t xml:space="preserve">9.68</w:t>
                  </w:r>
                </w:p>
              </w:tc>
              <w:tc>
                <w:tcPr/>
                <w:p>
                  <w:pPr>
                    <w:pStyle w:val="Compact"/>
                    <w:jc w:val="left"/>
                    <w:jc w:val="center"/>
                  </w:pPr>
                  <w:r>
                    <w:t xml:space="preserve">1.69</w:t>
                  </w:r>
                </w:p>
              </w:tc>
              <w:tc>
                <w:tcPr/>
                <w:p>
                  <w:pPr>
                    <w:pStyle w:val="Compact"/>
                    <w:jc w:val="left"/>
                    <w:jc w:val="center"/>
                  </w:pPr>
                  <w:r>
                    <w:t xml:space="preserve">53.4</w:t>
                  </w:r>
                </w:p>
              </w:tc>
            </w:tr>
            <w:tr>
              <w:tc>
                <w:tcPr/>
                <w:p>
                  <w:pPr>
                    <w:pStyle w:val="Compact"/>
                    <w:jc w:val="left"/>
                    <w:jc w:val="center"/>
                  </w:pPr>
                  <w:r>
                    <w:t xml:space="preserve">calcNoCalculator</w:t>
                  </w:r>
                </w:p>
              </w:tc>
              <w:tc>
                <w:tcPr/>
                <w:p>
                  <w:pPr>
                    <w:pStyle w:val="Compact"/>
                    <w:jc w:val="left"/>
                    <w:jc w:val="center"/>
                  </w:pPr>
                  <w:r>
                    <w:t xml:space="preserve">60.37</w:t>
                  </w:r>
                </w:p>
              </w:tc>
              <w:tc>
                <w:tcPr/>
                <w:p>
                  <w:pPr>
                    <w:pStyle w:val="Compact"/>
                    <w:jc w:val="left"/>
                    <w:jc w:val="center"/>
                  </w:pPr>
                  <w:r>
                    <w:t xml:space="preserve">9.02</w:t>
                  </w:r>
                </w:p>
              </w:tc>
              <w:tc>
                <w:tcPr/>
                <w:p>
                  <w:pPr>
                    <w:pStyle w:val="Compact"/>
                    <w:jc w:val="left"/>
                    <w:jc w:val="center"/>
                  </w:pPr>
                  <w:r>
                    <w:t xml:space="preserve">426.4</w:t>
                  </w:r>
                </w:p>
              </w:tc>
            </w:tr>
            <w:tr>
              <w:tc>
                <w:tcPr/>
                <w:p>
                  <w:pPr>
                    <w:pStyle w:val="Compact"/>
                    <w:jc w:val="left"/>
                    <w:jc w:val="center"/>
                  </w:pPr>
                  <w:r>
                    <w:t xml:space="preserve">15% Goal vs 10% Goal</w:t>
                  </w:r>
                </w:p>
              </w:tc>
              <w:tc>
                <w:tcPr/>
                <w:p>
                  <w:pPr>
                    <w:pStyle w:val="Compact"/>
                    <w:jc w:val="left"/>
                    <w:jc w:val="center"/>
                  </w:pPr>
                  <w:r>
                    <w:t xml:space="preserve">0.68</w:t>
                  </w:r>
                </w:p>
              </w:tc>
              <w:tc>
                <w:tcPr/>
                <w:p>
                  <w:pPr>
                    <w:pStyle w:val="Compact"/>
                    <w:jc w:val="left"/>
                    <w:jc w:val="center"/>
                  </w:pPr>
                  <w:r>
                    <w:t xml:space="preserve">0.44</w:t>
                  </w:r>
                </w:p>
              </w:tc>
              <w:tc>
                <w:tcPr/>
                <w:p>
                  <w:pPr>
                    <w:pStyle w:val="Compact"/>
                    <w:jc w:val="left"/>
                    <w:jc w:val="center"/>
                  </w:pPr>
                  <w:r>
                    <w:t xml:space="preserve">1.0</w:t>
                  </w:r>
                </w:p>
              </w:tc>
            </w:tr>
            <w:tr>
              <w:tc>
                <w:tcPr/>
                <w:p>
                  <w:pPr>
                    <w:pStyle w:val="Compact"/>
                    <w:jc w:val="left"/>
                    <w:jc w:val="center"/>
                  </w:pPr>
                  <w:r>
                    <w:t xml:space="preserve">Rounded vs Not</w:t>
                  </w:r>
                </w:p>
              </w:tc>
              <w:tc>
                <w:tcPr/>
                <w:p>
                  <w:pPr>
                    <w:pStyle w:val="Compact"/>
                    <w:jc w:val="left"/>
                    <w:jc w:val="center"/>
                  </w:pPr>
                  <w:r>
                    <w:t xml:space="preserve">0.59</w:t>
                  </w:r>
                </w:p>
              </w:tc>
              <w:tc>
                <w:tcPr/>
                <w:p>
                  <w:pPr>
                    <w:pStyle w:val="Compact"/>
                    <w:jc w:val="left"/>
                    <w:jc w:val="center"/>
                  </w:pPr>
                  <w:r>
                    <w:t xml:space="preserve">0.38</w:t>
                  </w:r>
                </w:p>
              </w:tc>
              <w:tc>
                <w:tcPr/>
                <w:p>
                  <w:pPr>
                    <w:pStyle w:val="Compact"/>
                    <w:jc w:val="left"/>
                    <w:jc w:val="center"/>
                  </w:pPr>
                  <w:r>
                    <w:t xml:space="preserve">0.9</w:t>
                  </w:r>
                </w:p>
              </w:tc>
            </w:tr>
          </w:tbl>
          <w:bookmarkEnd w:id="59"/>
          <w:p/>
        </w:tc>
      </w:tr>
    </w:tbl>
    <w:p>
      <w:pPr>
        <w:pStyle w:val="BodyText"/>
      </w:pPr>
      <w:r>
        <w:t xml:space="preserve">As in Experiment 1, accuracy was categorized into three ordinal levels:</w:t>
      </w:r>
      <w:r>
        <w:t xml:space="preserve"> </w:t>
      </w:r>
      <w:r>
        <w:t xml:space="preserve">“Exact match”</w:t>
      </w:r>
      <w:r>
        <w:t xml:space="preserve"> </w:t>
      </w:r>
      <w:r>
        <w:t xml:space="preserve">(0% error),</w:t>
      </w:r>
      <w:r>
        <w:t xml:space="preserve"> </w:t>
      </w:r>
      <w:r>
        <w:t xml:space="preserve">“0.01-5% error,”</w:t>
      </w:r>
      <w:r>
        <w:t xml:space="preserve"> </w:t>
      </w:r>
      <w:r>
        <w:t xml:space="preserve">and</w:t>
      </w:r>
      <w:r>
        <w:t xml:space="preserve"> </w:t>
      </w:r>
      <w:r>
        <w:t xml:space="preserve">“Over 5% error”</w:t>
      </w:r>
      <w:r>
        <w:t xml:space="preserve">.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w:t>
      </w:r>
    </w:p>
    <w:p>
      <w:pPr>
        <w:pStyle w:val="BodyText"/>
      </w:pPr>
      <w:r>
        <w:t xml:space="preserve">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pPr>
        <w:pStyle w:val="BodyText"/>
      </w:pPr>
      <w:r>
        <w:t xml:space="preserve">We also found that using rounded numbers modestly improved accuracy (b = -0.53, 95% CI: [-0.96, -0.11]), with participants having 0.59 times the odds of falling into a worse accuracy category when working with rounded values. The more challenging 15% reduction goal was associated with slightly better performance compared to the 10% goal (b = -0.39, 95% CI: [-0.81, 0.04]), though this effect was relatively small. Consistent with Experiment 1, the use of a calculator had a large and significant effect on accuracy. The coefficient for calcNoCalculator was 4.10 (95% CI: 2.20, 6.06), and the corresponding odds ratio was 60.37 (95% CI: 9.02, 426.4), indicating that participants who did not use a calculator were substantially more likely to fall into higher error categories.</w:t>
      </w:r>
    </w:p>
    <w:p>
      <w:pPr>
        <w:pStyle w:val="BodyText"/>
      </w:pPr>
      <w:hyperlink w:anchor="fig-s2-ame">
        <w:r>
          <w:rPr>
            <w:rStyle w:val="Hyperlink"/>
          </w:rPr>
          <w:t xml:space="preserve">Figure 6</w:t>
        </w:r>
      </w:hyperlink>
      <w:r>
        <w:t xml:space="preserve"> </w:t>
      </w:r>
      <w:r>
        <w:t xml:space="preserve">shows the marginal effects of refClass on each level of accuracy_level. These results reveal that switching from kWh to Percentage decreased the probability of an</w:t>
      </w:r>
      <w:r>
        <w:t xml:space="preserve"> </w:t>
      </w:r>
      <w:r>
        <w:t xml:space="preserve">“Exact match”</w:t>
      </w:r>
      <w:r>
        <w:t xml:space="preserve"> </w:t>
      </w:r>
      <w:r>
        <w:t xml:space="preserve">by an average of 7.0 percentage points (95% CI: -19.2, 4.2) and increased the probability of</w:t>
      </w:r>
      <w:r>
        <w:t xml:space="preserve"> </w:t>
      </w:r>
      <w:r>
        <w:t xml:space="preserve">“Over 5% error”</w:t>
      </w:r>
      <w:r>
        <w:t xml:space="preserve"> </w:t>
      </w:r>
      <w:r>
        <w:t xml:space="preserve">by 6.9 percentage points (95% CI: -4.5, 18.6). Similarly, switching from kWh to USD decreased the probability of an</w:t>
      </w:r>
      <w:r>
        <w:t xml:space="preserve"> </w:t>
      </w:r>
      <w:r>
        <w:t xml:space="preserve">“Exact match”</w:t>
      </w:r>
      <w:r>
        <w:t xml:space="preserve"> </w:t>
      </w:r>
      <w:r>
        <w:t xml:space="preserve">by 15 percentage points (95% CI: -26.7, -3.3) and increased the probability of</w:t>
      </w:r>
      <w:r>
        <w:t xml:space="preserve"> </w:t>
      </w:r>
      <w:r>
        <w:t xml:space="preserve">“Over 5% error”</w:t>
      </w:r>
      <w:r>
        <w:t xml:space="preserve"> </w:t>
      </w:r>
      <w:r>
        <w:t xml:space="preserve">by 16.5 percentage points (95% CI: 3.7, 29.3).</w:t>
      </w:r>
    </w:p>
    <w:tbl>
      <w:tblPr>
        <w:tblStyle w:val="Table"/>
        <w:tblW w:type="pct" w:w="5000"/>
        <w:tblLayout w:type="fixed"/>
        <w:tblLook w:firstRow="0" w:lastRow="0" w:firstColumn="0" w:lastColumn="0" w:noHBand="0" w:noVBand="0" w:val="0000"/>
      </w:tblPr>
      <w:tblGrid>
        <w:gridCol w:w="7920"/>
      </w:tblGrid>
      <w:tr>
        <w:tc>
          <w:tcPr/>
          <w:bookmarkStart w:id="63" w:name="fig-s2-ame"/>
          <w:p>
            <w:pPr>
              <w:pStyle w:val="Compact"/>
              <w:jc w:val="center"/>
            </w:pPr>
            <w:r>
              <w:drawing>
                <wp:inline>
                  <wp:extent cx="5334000" cy="4267200"/>
                  <wp:effectExtent b="0" l="0" r="0" t="0"/>
                  <wp:docPr descr="" title="" id="61" name="Picture"/>
                  <a:graphic>
                    <a:graphicData uri="http://schemas.openxmlformats.org/drawingml/2006/picture">
                      <pic:pic>
                        <pic:nvPicPr>
                          <pic:cNvPr descr="manuscript_files/figure-docx/fig-s2-ame-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Experiment 2. Average marginal effects of reference class on accuracy levels (Experiment 2).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w:t>
            </w:r>
            <w:r>
              <w:t xml:space="preserve"> </w:t>
            </w:r>
            <w:r>
              <w:t xml:space="preserve">“Exact match”</w:t>
            </w:r>
            <w:r>
              <w:t xml:space="preserve"> </w:t>
            </w:r>
            <w:r>
              <w:t xml:space="preserve">by 7.0% and increases the probability of</w:t>
            </w:r>
            <w:r>
              <w:t xml:space="preserve"> </w:t>
            </w:r>
            <w:r>
              <w:t xml:space="preserve">“Over 5% error”</w:t>
            </w:r>
            <w:r>
              <w:t xml:space="preserve"> </w:t>
            </w:r>
            <w:r>
              <w:t xml:space="preserve">by 6.9%. The USD format has a larger negative effect on</w:t>
            </w:r>
            <w:r>
              <w:t xml:space="preserve"> </w:t>
            </w:r>
            <w:r>
              <w:t xml:space="preserve">“Exact match”</w:t>
            </w:r>
            <w:r>
              <w:t xml:space="preserve"> </w:t>
            </w:r>
            <w:r>
              <w:t xml:space="preserve">(-14.7%) and a larger positive effect on</w:t>
            </w:r>
            <w:r>
              <w:t xml:space="preserve"> </w:t>
            </w:r>
            <w:r>
              <w:t xml:space="preserve">“Over 5% error”</w:t>
            </w:r>
            <w:r>
              <w:t xml:space="preserve"> </w:t>
            </w:r>
            <w:r>
              <w:t xml:space="preserve">(+16.5%). The effects on the</w:t>
            </w:r>
            <w:r>
              <w:t xml:space="preserve"> </w:t>
            </w:r>
            <w:r>
              <w:t xml:space="preserve">“0.01-5% error”</w:t>
            </w:r>
            <w:r>
              <w:t xml:space="preserve"> </w:t>
            </w:r>
            <w:r>
              <w:t xml:space="preserve">category are near zero for both comparisons.</w:t>
            </w:r>
          </w:p>
          <w:bookmarkEnd w:id="63"/>
        </w:tc>
      </w:tr>
    </w:tbl>
    <w:tbl>
      <w:tblPr>
        <w:tblStyle w:val="Table"/>
        <w:tblW w:type="pct" w:w="5000"/>
        <w:tblLayout w:type="fixed"/>
        <w:tblLook w:firstRow="0" w:lastRow="0" w:firstColumn="0" w:lastColumn="0" w:noHBand="0" w:noVBand="0" w:val="0000"/>
      </w:tblPr>
      <w:tblGrid>
        <w:gridCol w:w="7920"/>
      </w:tblGrid>
      <w:tr>
        <w:tc>
          <w:tcPr/>
          <w:bookmarkStart w:id="67" w:name="fig-s2-ppd"/>
          <w:p>
            <w:pPr>
              <w:pStyle w:val="Compact"/>
              <w:jc w:val="center"/>
            </w:pPr>
            <w:r>
              <w:drawing>
                <wp:inline>
                  <wp:extent cx="5334000" cy="4267200"/>
                  <wp:effectExtent b="0" l="0" r="0" t="0"/>
                  <wp:docPr descr="" title="" id="65" name="Picture"/>
                  <a:graphic>
                    <a:graphicData uri="http://schemas.openxmlformats.org/drawingml/2006/picture">
                      <pic:pic>
                        <pic:nvPicPr>
                          <pic:cNvPr descr="manuscript_files/figure-docx/fig-s2-ppd-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Experiment 2. Posterior predictive check of the ordinal probit model, grouped by reference class (Experiment 2). The bars represent the observed proportions of each accuracy level within each reference class. The points represent the model’s predicted proportions, with error bars indicating 95% credible intervals.</w:t>
            </w:r>
          </w:p>
          <w:bookmarkEnd w:id="67"/>
        </w:tc>
      </w:tr>
    </w:tbl>
    <w:tbl>
      <w:tblPr>
        <w:tblStyle w:val="Table"/>
        <w:tblW w:type="pct" w:w="5000"/>
        <w:tblLayout w:type="fixed"/>
        <w:tblLook w:firstRow="0" w:lastRow="0" w:firstColumn="0" w:lastColumn="0" w:noHBand="0" w:noVBand="0" w:val="0000"/>
      </w:tblPr>
      <w:tblGrid>
        <w:gridCol w:w="7920"/>
      </w:tblGrid>
      <w:tr>
        <w:tc>
          <w:tcPr/>
          <w:bookmarkStart w:id="72" w:name="fig-s2-els"/>
          <w:p>
            <w:pPr>
              <w:pStyle w:val="Compact"/>
              <w:jc w:val="center"/>
            </w:pPr>
            <w:bookmarkStart w:id="71" w:name="fig-s2-els"/>
            <w:r>
              <w:drawing>
                <wp:inline>
                  <wp:extent cx="5334000" cy="4267200"/>
                  <wp:effectExtent b="0" l="0" r="0" t="0"/>
                  <wp:docPr descr="" title="" id="69" name="Picture"/>
                  <a:graphic>
                    <a:graphicData uri="http://schemas.openxmlformats.org/drawingml/2006/picture">
                      <pic:pic>
                        <pic:nvPicPr>
                          <pic:cNvPr descr="manuscript_files/figure-docx/fig-s2-els-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bookmarkEnd w:id="71"/>
          </w:p>
          <w:p>
            <w:pPr>
              <w:jc w:val="center"/>
            </w:pPr>
            <w:pPr>
              <w:jc w:val="start"/>
              <w:spacing w:before="200"/>
              <w:pStyle w:val="ImageCaption"/>
            </w:pPr>
            <w:r>
              <w:t xml:space="preserve">Figure 8</w:t>
            </w:r>
          </w:p>
          <w:bookmarkEnd w:id="72"/>
        </w:tc>
      </w:tr>
    </w:tbl>
    <w:p>
      <w:pPr>
        <w:pStyle w:val="BodyText"/>
      </w:pPr>
      <w:r>
        <w:t xml:space="preserve">We once again examained the effect of energy literacy on planning accuracy. A Bayesian linear regression model was fit with log-transformed absolute error as the outcome variable and energy literacy score as the predictor, controlling for random effects of participant and state: log_abs_error ~ els + (1|id) + (1|state).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 xml:space="preserve">Figure 8</w:t>
        </w:r>
      </w:hyperlink>
      <w:r>
        <w:t xml:space="preserve">).</w:t>
      </w:r>
    </w:p>
    <w:bookmarkEnd w:id="73"/>
    <w:bookmarkStart w:id="74" w:name="experiment-2-discussion"/>
    <w:p>
      <w:pPr>
        <w:pStyle w:val="Heading2"/>
      </w:pPr>
      <w:r>
        <w:t xml:space="preserve">Experiment 2: Discussion</w:t>
      </w:r>
    </w:p>
    <w:p>
      <w:pPr>
        <w:pStyle w:val="FirstParagraph"/>
      </w:pPr>
      <w:r>
        <w:t xml:space="preserve">Experiment 2 built upon the findings of Experiment 1 by incorporating additional manipulations of goal difficulty (10% vs. 15% reduction) and numerical presentation (rounded vs. exact numbers), while maintaining the core manipulation of reference class (kWh, Percentage, USD). Nevertheless, the results largely converged with those of Experiment 1, providing further converging evidence that presenting energy reduction goals in absolute units (kWh) facilitates more accurate planning compared to percentage-based or monetary formats.</w:t>
      </w:r>
    </w:p>
    <w:p>
      <w:pPr>
        <w:pStyle w:val="BodyText"/>
      </w:pPr>
      <w:r>
        <w:t xml:space="preserve">Taken together, the results of Experiment 2 provide further support for the hypothesis that presenting energy reduction goals in absolute units (kWh) leads to more accurate planning compared to percentage-based or monetary formats. Moreover, the additional manipulations of goal difficulty and numerical presentation offer further insights into the factors that may influence planning accuracy. While the effect of rounding numbers was modest, it suggests that simplifying the cognitive demands of the task may offer some benefits. The large effect of calculator use underscores the importance of considering the tools that individuals are likely to use in real-world settings. The consistent relationship between energy literacy and accuracy across both experiments highlights the potential value of educational interventions aimed at improving consumers’ understanding of energy concepts.</w:t>
      </w:r>
    </w:p>
    <w:bookmarkEnd w:id="74"/>
    <w:bookmarkEnd w:id="75"/>
    <w:bookmarkStart w:id="76" w:name="general-discusion"/>
    <w:p>
      <w:pPr>
        <w:pStyle w:val="Heading1"/>
      </w:pPr>
      <w:r>
        <w:t xml:space="preserve">General Discusion</w:t>
      </w:r>
    </w:p>
    <w:p>
      <w:pPr>
        <w:pStyle w:val="FirstParagraph"/>
      </w:pPr>
      <w:r>
        <w:t xml:space="preserve">Across two experiments, we consistently found that presenting energy reduction goals in absolute units (kWh) led to more accurate planning compared to percentage-based or monetary representations. This advantage persisted across variations in goal difficulty and numerical presentation, suggesting a robust effect of reference class on planning accuracy.</w:t>
      </w:r>
    </w:p>
    <w:p>
      <w:pPr>
        <w:pStyle w:val="BodyText"/>
      </w:pPr>
      <w:r>
        <w:t xml:space="preserve">Karjalainen 2011 - people prefer information about price</w:t>
      </w:r>
      <w:r>
        <w:t xml:space="preserve"> </w:t>
      </w:r>
      <w:r>
        <w:t xml:space="preserve">(Karjalainen, 2011)</w:t>
      </w:r>
    </w:p>
    <w:p>
      <w:pPr>
        <w:pStyle w:val="BodyText"/>
      </w:pPr>
      <w:r>
        <w:t xml:space="preserve">Mention</w:t>
      </w:r>
      <w:r>
        <w:t xml:space="preserve"> </w:t>
      </w:r>
      <w:r>
        <w:t xml:space="preserve">Blasch et al. (2019)</w:t>
      </w:r>
      <w:r>
        <w:t xml:space="preserve"> </w:t>
      </w:r>
      <w:r>
        <w:t xml:space="preserve">- better long-term appliance selection with information presented in monetary terms.</w:t>
      </w:r>
    </w:p>
    <w:p>
      <w:r>
        <w:br w:type="page"/>
      </w:r>
    </w:p>
    <w:bookmarkEnd w:id="76"/>
    <w:bookmarkStart w:id="120" w:name="references"/>
    <w:p>
      <w:pPr>
        <w:pStyle w:val="Heading1"/>
      </w:pPr>
      <w:r>
        <w:t xml:space="preserve">References</w:t>
      </w:r>
    </w:p>
    <w:bookmarkStart w:id="119" w:name="refs"/>
    <w:bookmarkStart w:id="78" w:name="ref-blaschBoundedlyRationalConsumers2019"/>
    <w:p>
      <w:pPr>
        <w:pStyle w:val="Bibliography"/>
      </w:pPr>
      <w:r>
        <w:t xml:space="preserve">Blasch, J., Filippini, M., &amp; Kumar, N. (2019). Boundedly rational consumers, energy and investment literacy, and the display of information on household appliances.</w:t>
      </w:r>
      <w:r>
        <w:t xml:space="preserve"> </w:t>
      </w:r>
      <w:r>
        <w:rPr>
          <w:i/>
          <w:iCs/>
        </w:rPr>
        <w:t xml:space="preserve">Resource and Energy Economics</w:t>
      </w:r>
      <w:r>
        <w:t xml:space="preserve">,</w:t>
      </w:r>
      <w:r>
        <w:t xml:space="preserve"> </w:t>
      </w:r>
      <w:r>
        <w:rPr>
          <w:i/>
          <w:iCs/>
        </w:rPr>
        <w:t xml:space="preserve">56</w:t>
      </w:r>
      <w:r>
        <w:t xml:space="preserve">, 39–58.</w:t>
      </w:r>
      <w:r>
        <w:t xml:space="preserve"> </w:t>
      </w:r>
      <w:hyperlink r:id="rId77">
        <w:r>
          <w:rPr>
            <w:rStyle w:val="Hyperlink"/>
          </w:rPr>
          <w:t xml:space="preserve">https://doi.org/10.1016/j.reseneeco.2017.06.001</w:t>
        </w:r>
      </w:hyperlink>
    </w:p>
    <w:bookmarkEnd w:id="78"/>
    <w:bookmarkStart w:id="80"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79">
        <w:r>
          <w:rPr>
            <w:rStyle w:val="Hyperlink"/>
          </w:rPr>
          <w:t xml:space="preserve">https://doi.org/10.18637/jss.v080.i01</w:t>
        </w:r>
      </w:hyperlink>
    </w:p>
    <w:bookmarkEnd w:id="80"/>
    <w:bookmarkStart w:id="82"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81">
        <w:r>
          <w:rPr>
            <w:rStyle w:val="Hyperlink"/>
          </w:rPr>
          <w:t xml:space="preserve">https://doi.org/10.1080/13669877.2015.1121909</w:t>
        </w:r>
      </w:hyperlink>
    </w:p>
    <w:bookmarkEnd w:id="82"/>
    <w:bookmarkStart w:id="84"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83">
        <w:r>
          <w:rPr>
            <w:rStyle w:val="Hyperlink"/>
          </w:rPr>
          <w:t xml:space="preserve">https://doi.org/10.1016/j.enpol.2010.12.049</w:t>
        </w:r>
      </w:hyperlink>
    </w:p>
    <w:bookmarkEnd w:id="84"/>
    <w:bookmarkStart w:id="86"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85">
        <w:r>
          <w:rPr>
            <w:rStyle w:val="Hyperlink"/>
          </w:rPr>
          <w:t xml:space="preserve">https://doi.org/10.1007/s12053-008-9009-7</w:t>
        </w:r>
      </w:hyperlink>
    </w:p>
    <w:bookmarkEnd w:id="86"/>
    <w:bookmarkStart w:id="88"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87">
        <w:r>
          <w:rPr>
            <w:rStyle w:val="Hyperlink"/>
          </w:rPr>
          <w:t xml:space="preserve">https://doi.org/10.1136/bmj.327.7417.741</w:t>
        </w:r>
      </w:hyperlink>
    </w:p>
    <w:bookmarkEnd w:id="88"/>
    <w:bookmarkStart w:id="90" w:name="ref-gigerenzerHowImproveBayesian1995"/>
    <w:p>
      <w:pPr>
        <w:pStyle w:val="Bibliography"/>
      </w:pPr>
      <w:r>
        <w:t xml:space="preserve">Gigerenzer, G., &amp; Hoffrage, U. (1995). How to improve</w:t>
      </w:r>
      <w:r>
        <w:t xml:space="preserve"> </w:t>
      </w:r>
      <w:r>
        <w:t xml:space="preserve">Bayesian</w:t>
      </w:r>
      <w:r>
        <w:t xml:space="preserve"> </w:t>
      </w:r>
      <w:r>
        <w:t xml:space="preserve">reasoning without instruction:</w:t>
      </w:r>
      <w:r>
        <w:t xml:space="preserve"> </w:t>
      </w:r>
      <w:r>
        <w:t xml:space="preserve">Frequency</w:t>
      </w:r>
      <w:r>
        <w:t xml:space="preserve"> </w:t>
      </w:r>
      <w:r>
        <w:t xml:space="preserve">formats.</w:t>
      </w:r>
      <w:r>
        <w:t xml:space="preserve"> </w:t>
      </w:r>
      <w:r>
        <w:rPr>
          <w:i/>
          <w:iCs/>
        </w:rPr>
        <w:t xml:space="preserve">Psychological Review</w:t>
      </w:r>
      <w:r>
        <w:t xml:space="preserve">,</w:t>
      </w:r>
      <w:r>
        <w:t xml:space="preserve"> </w:t>
      </w:r>
      <w:r>
        <w:rPr>
          <w:i/>
          <w:iCs/>
        </w:rPr>
        <w:t xml:space="preserve">102</w:t>
      </w:r>
      <w:r>
        <w:t xml:space="preserve">(4), 684–704.</w:t>
      </w:r>
      <w:r>
        <w:t xml:space="preserve"> </w:t>
      </w:r>
      <w:hyperlink r:id="rId89">
        <w:r>
          <w:rPr>
            <w:rStyle w:val="Hyperlink"/>
          </w:rPr>
          <w:t xml:space="preserve">https://doi.org/10.1037/0033-295X.102.4.684</w:t>
        </w:r>
      </w:hyperlink>
    </w:p>
    <w:bookmarkEnd w:id="90"/>
    <w:bookmarkStart w:id="92" w:name="ref-gillConsumerMatchingCosts2022"/>
    <w:p>
      <w:pPr>
        <w:pStyle w:val="Bibliography"/>
      </w:pPr>
      <w:r>
        <w:t xml:space="preserve">Gill, C. A., Atlas, S. A., Hardisty, D. J., &amp; Scott, S. P. (2022). Consumer matching costs to context:</w:t>
      </w:r>
      <w:r>
        <w:t xml:space="preserve"> </w:t>
      </w:r>
      <w:r>
        <w:t xml:space="preserve">Status</w:t>
      </w:r>
      <w:r>
        <w:t xml:space="preserve"> </w:t>
      </w:r>
      <w:r>
        <w:t xml:space="preserve">quo bias, temporal framing, and household energy decisions.</w:t>
      </w:r>
      <w:r>
        <w:t xml:space="preserve"> </w:t>
      </w:r>
      <w:r>
        <w:rPr>
          <w:i/>
          <w:iCs/>
        </w:rPr>
        <w:t xml:space="preserve">Journal of Consumer Behaviour</w:t>
      </w:r>
      <w:r>
        <w:t xml:space="preserve">,</w:t>
      </w:r>
      <w:r>
        <w:t xml:space="preserve"> </w:t>
      </w:r>
      <w:r>
        <w:rPr>
          <w:i/>
          <w:iCs/>
        </w:rPr>
        <w:t xml:space="preserve">21</w:t>
      </w:r>
      <w:r>
        <w:t xml:space="preserve">(5), 1018–1027.</w:t>
      </w:r>
      <w:r>
        <w:t xml:space="preserve"> </w:t>
      </w:r>
      <w:hyperlink r:id="rId91">
        <w:r>
          <w:rPr>
            <w:rStyle w:val="Hyperlink"/>
          </w:rPr>
          <w:t xml:space="preserve">https://doi.org/10.1002/cb.2051</w:t>
        </w:r>
      </w:hyperlink>
    </w:p>
    <w:bookmarkEnd w:id="92"/>
    <w:bookmarkStart w:id="94" w:name="ref-hahnelMentalAccountingMechanisms2020"/>
    <w:p>
      <w:pPr>
        <w:pStyle w:val="Bibliography"/>
      </w:pPr>
      <w:r>
        <w:t xml:space="preserve">Hahnel, U. J. J., Chatelain, G., Conte, B., Piana, V., &amp; Brosch, T. (2020). Mental accounting mechanisms in energy decision-making and behaviour.</w:t>
      </w:r>
      <w:r>
        <w:t xml:space="preserve"> </w:t>
      </w:r>
      <w:r>
        <w:rPr>
          <w:i/>
          <w:iCs/>
        </w:rPr>
        <w:t xml:space="preserve">Nature Energy</w:t>
      </w:r>
      <w:r>
        <w:t xml:space="preserve">,</w:t>
      </w:r>
      <w:r>
        <w:t xml:space="preserve"> </w:t>
      </w:r>
      <w:r>
        <w:rPr>
          <w:i/>
          <w:iCs/>
        </w:rPr>
        <w:t xml:space="preserve">5</w:t>
      </w:r>
      <w:r>
        <w:t xml:space="preserve">(12), 952–958.</w:t>
      </w:r>
      <w:r>
        <w:t xml:space="preserve"> </w:t>
      </w:r>
      <w:hyperlink r:id="rId93">
        <w:r>
          <w:rPr>
            <w:rStyle w:val="Hyperlink"/>
          </w:rPr>
          <w:t xml:space="preserve">https://doi.org/10.1038/s41560-020-00704-6</w:t>
        </w:r>
      </w:hyperlink>
    </w:p>
    <w:bookmarkEnd w:id="94"/>
    <w:bookmarkStart w:id="96" w:name="ref-herberzKiloWhatDefault2020"/>
    <w:p>
      <w:pPr>
        <w:pStyle w:val="Bibliography"/>
      </w:pPr>
      <w:r>
        <w:t xml:space="preserve">Herberz, M., Brosch, T., &amp; Hahnel, U. J. J. (2020). Kilo what?</w:t>
      </w:r>
      <w:r>
        <w:t xml:space="preserve"> </w:t>
      </w:r>
      <w:r>
        <w:t xml:space="preserve">Default</w:t>
      </w:r>
      <w:r>
        <w:t xml:space="preserve"> </w:t>
      </w:r>
      <w:r>
        <w:t xml:space="preserve">units increase value sensitivity in joint evaluations of energy efficiency.</w:t>
      </w:r>
      <w:r>
        <w:t xml:space="preserve"> </w:t>
      </w:r>
      <w:r>
        <w:rPr>
          <w:i/>
          <w:iCs/>
        </w:rPr>
        <w:t xml:space="preserve">Judgment and Decision Making</w:t>
      </w:r>
      <w:r>
        <w:t xml:space="preserve">,</w:t>
      </w:r>
      <w:r>
        <w:t xml:space="preserve"> </w:t>
      </w:r>
      <w:r>
        <w:rPr>
          <w:i/>
          <w:iCs/>
        </w:rPr>
        <w:t xml:space="preserve">15</w:t>
      </w:r>
      <w:r>
        <w:t xml:space="preserve">(6), 972–988.</w:t>
      </w:r>
      <w:r>
        <w:t xml:space="preserve"> </w:t>
      </w:r>
      <w:hyperlink r:id="rId95">
        <w:r>
          <w:rPr>
            <w:rStyle w:val="Hyperlink"/>
          </w:rPr>
          <w:t xml:space="preserve">https://doi.org/10.1017/S1930297500008172</w:t>
        </w:r>
      </w:hyperlink>
    </w:p>
    <w:bookmarkEnd w:id="96"/>
    <w:bookmarkStart w:id="98" w:name="X658bafcaccfb9bc079419911f1c599e9e42b8d8"/>
    <w:p>
      <w:pPr>
        <w:pStyle w:val="Bibliography"/>
      </w:pPr>
      <w:r>
        <w:t xml:space="preserve">Hoffrage, U., Lindsey, S., Hertwig, R., &amp; Gigerenzer, G. (2000). Communicating</w:t>
      </w:r>
      <w:r>
        <w:t xml:space="preserve"> </w:t>
      </w:r>
      <w:r>
        <w:t xml:space="preserve">Statistical Information</w:t>
      </w:r>
      <w:r>
        <w:t xml:space="preserve">.</w:t>
      </w:r>
      <w:r>
        <w:t xml:space="preserve"> </w:t>
      </w:r>
      <w:r>
        <w:rPr>
          <w:i/>
          <w:iCs/>
        </w:rPr>
        <w:t xml:space="preserve">Science</w:t>
      </w:r>
      <w:r>
        <w:t xml:space="preserve">,</w:t>
      </w:r>
      <w:r>
        <w:t xml:space="preserve"> </w:t>
      </w:r>
      <w:r>
        <w:rPr>
          <w:i/>
          <w:iCs/>
        </w:rPr>
        <w:t xml:space="preserve">290</w:t>
      </w:r>
      <w:r>
        <w:t xml:space="preserve">(5500), 2261–2262.</w:t>
      </w:r>
      <w:r>
        <w:t xml:space="preserve"> </w:t>
      </w:r>
      <w:hyperlink r:id="rId97">
        <w:r>
          <w:rPr>
            <w:rStyle w:val="Hyperlink"/>
          </w:rPr>
          <w:t xml:space="preserve">https://doi.org/10.1126/science.290.5500.2261</w:t>
        </w:r>
      </w:hyperlink>
    </w:p>
    <w:bookmarkEnd w:id="98"/>
    <w:bookmarkStart w:id="100" w:name="X227e3d6b85043161ccff60bb73ea027362781dc"/>
    <w:p>
      <w:pPr>
        <w:pStyle w:val="Bibliography"/>
      </w:pPr>
      <w:r>
        <w:t xml:space="preserve">Karjalainen, S. (2011). Consumer preferences for feedback on household electricity consumption.</w:t>
      </w:r>
      <w:r>
        <w:t xml:space="preserve"> </w:t>
      </w:r>
      <w:r>
        <w:rPr>
          <w:i/>
          <w:iCs/>
        </w:rPr>
        <w:t xml:space="preserve">Energy and Buildings</w:t>
      </w:r>
      <w:r>
        <w:t xml:space="preserve">,</w:t>
      </w:r>
      <w:r>
        <w:t xml:space="preserve"> </w:t>
      </w:r>
      <w:r>
        <w:rPr>
          <w:i/>
          <w:iCs/>
        </w:rPr>
        <w:t xml:space="preserve">43</w:t>
      </w:r>
      <w:r>
        <w:t xml:space="preserve">(2-3), 458–467.</w:t>
      </w:r>
      <w:r>
        <w:t xml:space="preserve"> </w:t>
      </w:r>
      <w:hyperlink r:id="rId99">
        <w:r>
          <w:rPr>
            <w:rStyle w:val="Hyperlink"/>
          </w:rPr>
          <w:t xml:space="preserve">https://doi.org/10.1016/j.enbuild.2010.10.010</w:t>
        </w:r>
      </w:hyperlink>
    </w:p>
    <w:bookmarkEnd w:id="100"/>
    <w:bookmarkStart w:id="102" w:name="ref-kimMySmartEEcofeedbackGaming2022"/>
    <w:p>
      <w:pPr>
        <w:pStyle w:val="Bibliography"/>
      </w:pPr>
      <w:r>
        <w:t xml:space="preserve">Kim, H., Ham, S., Promann, M., Devarapalli, H., Bihani, G., Ringenberg, T., Kwarteng, V., Bilionis, I., Braun, J. E., Rayz, J. T., Raymond, L., Reimer, T., &amp; Karava, P. (2022).</w:t>
      </w:r>
      <w:r>
        <w:t xml:space="preserve"> </w:t>
      </w:r>
      <w:r>
        <w:t xml:space="preserve">MySmartE</w:t>
      </w:r>
      <w:r>
        <w:t xml:space="preserve"> </w:t>
      </w:r>
      <w:r>
        <w:t xml:space="preserve">–</w:t>
      </w:r>
      <w:r>
        <w:t xml:space="preserve"> </w:t>
      </w:r>
      <w:r>
        <w:t xml:space="preserve">An</w:t>
      </w:r>
      <w:r>
        <w:t xml:space="preserve"> </w:t>
      </w:r>
      <w:r>
        <w:t xml:space="preserve">eco-feedback and gaming platform to promote energy conserving thermostat-adjustment behaviors in multi-unit residential buildings.</w:t>
      </w:r>
      <w:r>
        <w:t xml:space="preserve"> </w:t>
      </w:r>
      <w:r>
        <w:rPr>
          <w:i/>
          <w:iCs/>
        </w:rPr>
        <w:t xml:space="preserve">Building and Environment</w:t>
      </w:r>
      <w:r>
        <w:t xml:space="preserve">,</w:t>
      </w:r>
      <w:r>
        <w:t xml:space="preserve"> </w:t>
      </w:r>
      <w:r>
        <w:rPr>
          <w:i/>
          <w:iCs/>
        </w:rPr>
        <w:t xml:space="preserve">221</w:t>
      </w:r>
      <w:r>
        <w:t xml:space="preserve">, 109252.</w:t>
      </w:r>
      <w:r>
        <w:t xml:space="preserve"> </w:t>
      </w:r>
      <w:hyperlink r:id="rId101">
        <w:r>
          <w:rPr>
            <w:rStyle w:val="Hyperlink"/>
          </w:rPr>
          <w:t xml:space="preserve">https://doi.org/10.1016/j.buildenv.2022.109252</w:t>
        </w:r>
      </w:hyperlink>
    </w:p>
    <w:bookmarkEnd w:id="102"/>
    <w:bookmarkStart w:id="104" w:name="ref-larrickMPGIllusion2008"/>
    <w:p>
      <w:pPr>
        <w:pStyle w:val="Bibliography"/>
      </w:pPr>
      <w:r>
        <w:t xml:space="preserve">Larrick, R. P., &amp; Soll, J. B. (2008). The</w:t>
      </w:r>
      <w:r>
        <w:t xml:space="preserve"> </w:t>
      </w:r>
      <w:r>
        <w:t xml:space="preserve">MPG Illusion</w:t>
      </w:r>
      <w:r>
        <w:t xml:space="preserve">.</w:t>
      </w:r>
      <w:r>
        <w:t xml:space="preserve"> </w:t>
      </w:r>
      <w:r>
        <w:rPr>
          <w:i/>
          <w:iCs/>
        </w:rPr>
        <w:t xml:space="preserve">Science</w:t>
      </w:r>
      <w:r>
        <w:t xml:space="preserve">,</w:t>
      </w:r>
      <w:r>
        <w:t xml:space="preserve"> </w:t>
      </w:r>
      <w:r>
        <w:rPr>
          <w:i/>
          <w:iCs/>
        </w:rPr>
        <w:t xml:space="preserve">320</w:t>
      </w:r>
      <w:r>
        <w:t xml:space="preserve">(5883), 1593–1594.</w:t>
      </w:r>
      <w:r>
        <w:t xml:space="preserve"> </w:t>
      </w:r>
      <w:hyperlink r:id="rId103">
        <w:r>
          <w:rPr>
            <w:rStyle w:val="Hyperlink"/>
          </w:rPr>
          <w:t xml:space="preserve">https://doi.org/10.1126/science.1154983</w:t>
        </w:r>
      </w:hyperlink>
    </w:p>
    <w:bookmarkEnd w:id="104"/>
    <w:bookmarkStart w:id="106"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105">
        <w:r>
          <w:rPr>
            <w:rStyle w:val="Hyperlink"/>
          </w:rPr>
          <w:t xml:space="preserve">https://doi.org/10.1038/s41560-020-00763-9</w:t>
        </w:r>
      </w:hyperlink>
    </w:p>
    <w:bookmarkEnd w:id="106"/>
    <w:bookmarkStart w:id="107"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107"/>
    <w:bookmarkStart w:id="109" w:name="ref-schwartzWhatPeopleConsumption2015"/>
    <w:p>
      <w:pPr>
        <w:pStyle w:val="Bibliography"/>
      </w:pPr>
      <w:r>
        <w:t xml:space="preserve">Schwartz, T., Stevens, G., Jakobi, T., Denef, S., Ramirez, L., Wulf, V., &amp; Randall, D. (2015). What</w:t>
      </w:r>
      <w:r>
        <w:t xml:space="preserve"> </w:t>
      </w:r>
      <w:r>
        <w:t xml:space="preserve">People Do</w:t>
      </w:r>
      <w:r>
        <w:t xml:space="preserve"> </w:t>
      </w:r>
      <w:r>
        <w:t xml:space="preserve">with</w:t>
      </w:r>
      <w:r>
        <w:t xml:space="preserve"> </w:t>
      </w:r>
      <w:r>
        <w:t xml:space="preserve">Consumption Feedback</w:t>
      </w:r>
      <w:r>
        <w:t xml:space="preserve">:</w:t>
      </w:r>
      <w:r>
        <w:t xml:space="preserve"> </w:t>
      </w:r>
      <w:r>
        <w:t xml:space="preserve">A Long-Term Living Lab Study</w:t>
      </w:r>
      <w:r>
        <w:t xml:space="preserve"> </w:t>
      </w:r>
      <w:r>
        <w:t xml:space="preserve">of a</w:t>
      </w:r>
      <w:r>
        <w:t xml:space="preserve"> </w:t>
      </w:r>
      <w:r>
        <w:t xml:space="preserve">Home Energy Management System</w:t>
      </w:r>
      <w:r>
        <w:t xml:space="preserve">.</w:t>
      </w:r>
      <w:r>
        <w:t xml:space="preserve"> </w:t>
      </w:r>
      <w:r>
        <w:rPr>
          <w:i/>
          <w:iCs/>
        </w:rPr>
        <w:t xml:space="preserve">Interacting with Computers</w:t>
      </w:r>
      <w:r>
        <w:t xml:space="preserve">,</w:t>
      </w:r>
      <w:r>
        <w:t xml:space="preserve"> </w:t>
      </w:r>
      <w:r>
        <w:rPr>
          <w:i/>
          <w:iCs/>
        </w:rPr>
        <w:t xml:space="preserve">27</w:t>
      </w:r>
      <w:r>
        <w:t xml:space="preserve">(6), 551–576.</w:t>
      </w:r>
      <w:r>
        <w:t xml:space="preserve"> </w:t>
      </w:r>
      <w:hyperlink r:id="rId108">
        <w:r>
          <w:rPr>
            <w:rStyle w:val="Hyperlink"/>
          </w:rPr>
          <w:t xml:space="preserve">https://doi.org/10.1093/iwc/iwu009</w:t>
        </w:r>
      </w:hyperlink>
    </w:p>
    <w:bookmarkEnd w:id="109"/>
    <w:bookmarkStart w:id="111" w:name="ref-shahBarLineGraph2011"/>
    <w:p>
      <w:pPr>
        <w:pStyle w:val="Bibliography"/>
      </w:pPr>
      <w:r>
        <w:t xml:space="preserve">Shah, P., &amp; Freedman, E. G. (2011). Bar and</w:t>
      </w:r>
      <w:r>
        <w:t xml:space="preserve"> </w:t>
      </w:r>
      <w:r>
        <w:t xml:space="preserve">Line Graph Comprehension</w:t>
      </w:r>
      <w:r>
        <w:t xml:space="preserve">:</w:t>
      </w:r>
      <w:r>
        <w:t xml:space="preserve"> </w:t>
      </w:r>
      <w:r>
        <w:t xml:space="preserve">An Interaction</w:t>
      </w:r>
      <w:r>
        <w:t xml:space="preserve"> </w:t>
      </w:r>
      <w:r>
        <w:t xml:space="preserve">of</w:t>
      </w:r>
      <w:r>
        <w:t xml:space="preserve"> </w:t>
      </w:r>
      <w:r>
        <w:t xml:space="preserve">Top-Down</w:t>
      </w:r>
      <w:r>
        <w:t xml:space="preserve"> </w:t>
      </w:r>
      <w:r>
        <w:t xml:space="preserve">and</w:t>
      </w:r>
      <w:r>
        <w:t xml:space="preserve"> </w:t>
      </w:r>
      <w:r>
        <w:t xml:space="preserve">Bottom-Up Processes</w:t>
      </w:r>
      <w:r>
        <w:t xml:space="preserve">.</w:t>
      </w:r>
      <w:r>
        <w:t xml:space="preserve"> </w:t>
      </w:r>
      <w:r>
        <w:rPr>
          <w:i/>
          <w:iCs/>
        </w:rPr>
        <w:t xml:space="preserve">Topics in Cognitive Science</w:t>
      </w:r>
      <w:r>
        <w:t xml:space="preserve">,</w:t>
      </w:r>
      <w:r>
        <w:t xml:space="preserve"> </w:t>
      </w:r>
      <w:r>
        <w:rPr>
          <w:i/>
          <w:iCs/>
        </w:rPr>
        <w:t xml:space="preserve">3</w:t>
      </w:r>
      <w:r>
        <w:t xml:space="preserve">(3), 560–578.</w:t>
      </w:r>
      <w:r>
        <w:t xml:space="preserve"> </w:t>
      </w:r>
      <w:hyperlink r:id="rId110">
        <w:r>
          <w:rPr>
            <w:rStyle w:val="Hyperlink"/>
          </w:rPr>
          <w:t xml:space="preserve">https://doi.org/10.1111/j.1756-8765.2009.01066.x</w:t>
        </w:r>
      </w:hyperlink>
    </w:p>
    <w:bookmarkEnd w:id="111"/>
    <w:bookmarkStart w:id="112"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112"/>
    <w:bookmarkStart w:id="114" w:name="X60f05cb751d3210dc9499bebc3f1630657ea7f9"/>
    <w:p>
      <w:pPr>
        <w:pStyle w:val="Bibliography"/>
      </w:pPr>
      <w:r>
        <w:t xml:space="preserve">Ungemach, C., Camilleri, A. R., Johnson, E. J., Larrick, R. P., &amp; Weber, E. U. (2018). Translated</w:t>
      </w:r>
      <w:r>
        <w:t xml:space="preserve"> </w:t>
      </w:r>
      <w:r>
        <w:t xml:space="preserve">Attributes</w:t>
      </w:r>
      <w:r>
        <w:t xml:space="preserve"> </w:t>
      </w:r>
      <w:r>
        <w:t xml:space="preserve">as</w:t>
      </w:r>
      <w:r>
        <w:t xml:space="preserve"> </w:t>
      </w:r>
      <w:r>
        <w:t xml:space="preserve">Choice Architecture</w:t>
      </w:r>
      <w:r>
        <w:t xml:space="preserve">:</w:t>
      </w:r>
      <w:r>
        <w:t xml:space="preserve"> </w:t>
      </w:r>
      <w:r>
        <w:t xml:space="preserve">Aligning Objectives</w:t>
      </w:r>
      <w:r>
        <w:t xml:space="preserve"> </w:t>
      </w:r>
      <w:r>
        <w:t xml:space="preserve">and</w:t>
      </w:r>
      <w:r>
        <w:t xml:space="preserve"> </w:t>
      </w:r>
      <w:r>
        <w:t xml:space="preserve">Choices Through Decision Signposts</w:t>
      </w:r>
      <w:r>
        <w:t xml:space="preserve">.</w:t>
      </w:r>
      <w:r>
        <w:t xml:space="preserve"> </w:t>
      </w:r>
      <w:r>
        <w:rPr>
          <w:i/>
          <w:iCs/>
        </w:rPr>
        <w:t xml:space="preserve">Management Science</w:t>
      </w:r>
      <w:r>
        <w:t xml:space="preserve">,</w:t>
      </w:r>
      <w:r>
        <w:t xml:space="preserve"> </w:t>
      </w:r>
      <w:r>
        <w:rPr>
          <w:i/>
          <w:iCs/>
        </w:rPr>
        <w:t xml:space="preserve">64</w:t>
      </w:r>
      <w:r>
        <w:t xml:space="preserve">(5), 2445–2459.</w:t>
      </w:r>
      <w:r>
        <w:t xml:space="preserve"> </w:t>
      </w:r>
      <w:hyperlink r:id="rId113">
        <w:r>
          <w:rPr>
            <w:rStyle w:val="Hyperlink"/>
          </w:rPr>
          <w:t xml:space="preserve">https://doi.org/10.1287/mnsc.2016.2703</w:t>
        </w:r>
      </w:hyperlink>
    </w:p>
    <w:bookmarkEnd w:id="114"/>
    <w:bookmarkStart w:id="116" w:name="ref-vesseyCognitiveFitTheoryBased1991"/>
    <w:p>
      <w:pPr>
        <w:pStyle w:val="Bibliography"/>
      </w:pPr>
      <w:r>
        <w:t xml:space="preserve">Vessey, I. (1991). Cognitive</w:t>
      </w:r>
      <w:r>
        <w:t xml:space="preserve"> </w:t>
      </w:r>
      <w:r>
        <w:t xml:space="preserve">Fit</w:t>
      </w:r>
      <w:r>
        <w:t xml:space="preserve">:</w:t>
      </w:r>
      <w:r>
        <w:t xml:space="preserve"> </w:t>
      </w:r>
      <w:r>
        <w:t xml:space="preserve">A Theory-Based Analysis</w:t>
      </w:r>
      <w:r>
        <w:t xml:space="preserve"> </w:t>
      </w:r>
      <w:r>
        <w:t xml:space="preserve">of the</w:t>
      </w:r>
      <w:r>
        <w:t xml:space="preserve"> </w:t>
      </w:r>
      <w:r>
        <w:t xml:space="preserve">Graphs Versus Tables Literature</w:t>
      </w:r>
      <w:r>
        <w:t xml:space="preserve">.</w:t>
      </w:r>
      <w:r>
        <w:t xml:space="preserve"> </w:t>
      </w:r>
      <w:r>
        <w:rPr>
          <w:i/>
          <w:iCs/>
        </w:rPr>
        <w:t xml:space="preserve">Decision Sciences</w:t>
      </w:r>
      <w:r>
        <w:t xml:space="preserve">,</w:t>
      </w:r>
      <w:r>
        <w:t xml:space="preserve"> </w:t>
      </w:r>
      <w:r>
        <w:rPr>
          <w:i/>
          <w:iCs/>
        </w:rPr>
        <w:t xml:space="preserve">22</w:t>
      </w:r>
      <w:r>
        <w:t xml:space="preserve">(2), 219–240.</w:t>
      </w:r>
      <w:r>
        <w:t xml:space="preserve"> </w:t>
      </w:r>
      <w:hyperlink r:id="rId115">
        <w:r>
          <w:rPr>
            <w:rStyle w:val="Hyperlink"/>
          </w:rPr>
          <w:t xml:space="preserve">https://doi.org/10.1111/j.1540-5915.1991.tb00344.x</w:t>
        </w:r>
      </w:hyperlink>
    </w:p>
    <w:bookmarkEnd w:id="116"/>
    <w:bookmarkStart w:id="118"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7">
        <w:r>
          <w:rPr>
            <w:rStyle w:val="Hyperlink"/>
          </w:rPr>
          <w:t xml:space="preserve">https://doi.org/10.21105/joss.01686</w:t>
        </w:r>
      </w:hyperlink>
    </w:p>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60" Target="media/rId60.png" /><Relationship Type="http://schemas.openxmlformats.org/officeDocument/2006/relationships/image" Id="rId68" Target="media/rId68.png" /><Relationship Type="http://schemas.openxmlformats.org/officeDocument/2006/relationships/image" Id="rId54" Target="media/rId54.png" /><Relationship Type="http://schemas.openxmlformats.org/officeDocument/2006/relationships/image" Id="rId64" Target="media/rId64.png" /><Relationship Type="http://schemas.openxmlformats.org/officeDocument/2006/relationships/hyperlink" Id="rId91" Target="https://doi.org/10.1002/cb.2051" TargetMode="External" /><Relationship Type="http://schemas.openxmlformats.org/officeDocument/2006/relationships/hyperlink" Id="rId85" Target="https://doi.org/10.1007/s12053-008-9009-7" TargetMode="External" /><Relationship Type="http://schemas.openxmlformats.org/officeDocument/2006/relationships/hyperlink" Id="rId101" Target="https://doi.org/10.1016/j.buildenv.2022.109252" TargetMode="External" /><Relationship Type="http://schemas.openxmlformats.org/officeDocument/2006/relationships/hyperlink" Id="rId99" Target="https://doi.org/10.1016/j.enbuild.2010.10.010" TargetMode="External" /><Relationship Type="http://schemas.openxmlformats.org/officeDocument/2006/relationships/hyperlink" Id="rId83" Target="https://doi.org/10.1016/j.enpol.2010.12.049" TargetMode="External" /><Relationship Type="http://schemas.openxmlformats.org/officeDocument/2006/relationships/hyperlink" Id="rId77" Target="https://doi.org/10.1016/j.reseneeco.2017.06.001" TargetMode="External" /><Relationship Type="http://schemas.openxmlformats.org/officeDocument/2006/relationships/hyperlink" Id="rId95" Target="https://doi.org/10.1017/S1930297500008172" TargetMode="External" /><Relationship Type="http://schemas.openxmlformats.org/officeDocument/2006/relationships/hyperlink" Id="rId89" Target="https://doi.org/10.1037/0033-295X.102.4.684" TargetMode="External" /><Relationship Type="http://schemas.openxmlformats.org/officeDocument/2006/relationships/hyperlink" Id="rId93" Target="https://doi.org/10.1038/s41560-020-00704-6" TargetMode="External" /><Relationship Type="http://schemas.openxmlformats.org/officeDocument/2006/relationships/hyperlink" Id="rId105" Target="https://doi.org/10.1038/s41560-020-00763-9" TargetMode="External" /><Relationship Type="http://schemas.openxmlformats.org/officeDocument/2006/relationships/hyperlink" Id="rId81" Target="https://doi.org/10.1080/13669877.2015.1121909" TargetMode="External" /><Relationship Type="http://schemas.openxmlformats.org/officeDocument/2006/relationships/hyperlink" Id="rId108" Target="https://doi.org/10.1093/iwc/iwu009" TargetMode="External" /><Relationship Type="http://schemas.openxmlformats.org/officeDocument/2006/relationships/hyperlink" Id="rId115" Target="https://doi.org/10.1111/j.1540-5915.1991.tb00344.x" TargetMode="External" /><Relationship Type="http://schemas.openxmlformats.org/officeDocument/2006/relationships/hyperlink" Id="rId110" Target="https://doi.org/10.1111/j.1756-8765.2009.01066.x" TargetMode="External" /><Relationship Type="http://schemas.openxmlformats.org/officeDocument/2006/relationships/hyperlink" Id="rId103" Target="https://doi.org/10.1126/science.1154983" TargetMode="External" /><Relationship Type="http://schemas.openxmlformats.org/officeDocument/2006/relationships/hyperlink" Id="rId97" Target="https://doi.org/10.1126/science.290.5500.2261" TargetMode="External" /><Relationship Type="http://schemas.openxmlformats.org/officeDocument/2006/relationships/hyperlink" Id="rId87" Target="https://doi.org/10.1136/bmj.327.7417.741" TargetMode="External" /><Relationship Type="http://schemas.openxmlformats.org/officeDocument/2006/relationships/hyperlink" Id="rId113" Target="https://doi.org/10.1287/mnsc.2016.2703" TargetMode="External" /><Relationship Type="http://schemas.openxmlformats.org/officeDocument/2006/relationships/hyperlink" Id="rId79" Target="https://doi.org/10.18637/jss.v080.i01" TargetMode="External" /><Relationship Type="http://schemas.openxmlformats.org/officeDocument/2006/relationships/hyperlink" Id="rId117" Target="https://doi.org/10.21105/joss.01686" TargetMode="External" /></Relationships>
</file>

<file path=word/_rels/footnotes.xml.rels><?xml version="1.0" encoding="UTF-8"?><Relationships xmlns="http://schemas.openxmlformats.org/package/2006/relationships"><Relationship Type="http://schemas.openxmlformats.org/officeDocument/2006/relationships/hyperlink" Id="rId91" Target="https://doi.org/10.1002/cb.2051" TargetMode="External" /><Relationship Type="http://schemas.openxmlformats.org/officeDocument/2006/relationships/hyperlink" Id="rId85" Target="https://doi.org/10.1007/s12053-008-9009-7" TargetMode="External" /><Relationship Type="http://schemas.openxmlformats.org/officeDocument/2006/relationships/hyperlink" Id="rId101" Target="https://doi.org/10.1016/j.buildenv.2022.109252" TargetMode="External" /><Relationship Type="http://schemas.openxmlformats.org/officeDocument/2006/relationships/hyperlink" Id="rId99" Target="https://doi.org/10.1016/j.enbuild.2010.10.010" TargetMode="External" /><Relationship Type="http://schemas.openxmlformats.org/officeDocument/2006/relationships/hyperlink" Id="rId83" Target="https://doi.org/10.1016/j.enpol.2010.12.049" TargetMode="External" /><Relationship Type="http://schemas.openxmlformats.org/officeDocument/2006/relationships/hyperlink" Id="rId77" Target="https://doi.org/10.1016/j.reseneeco.2017.06.001" TargetMode="External" /><Relationship Type="http://schemas.openxmlformats.org/officeDocument/2006/relationships/hyperlink" Id="rId95" Target="https://doi.org/10.1017/S1930297500008172" TargetMode="External" /><Relationship Type="http://schemas.openxmlformats.org/officeDocument/2006/relationships/hyperlink" Id="rId89" Target="https://doi.org/10.1037/0033-295X.102.4.684" TargetMode="External" /><Relationship Type="http://schemas.openxmlformats.org/officeDocument/2006/relationships/hyperlink" Id="rId93" Target="https://doi.org/10.1038/s41560-020-00704-6" TargetMode="External" /><Relationship Type="http://schemas.openxmlformats.org/officeDocument/2006/relationships/hyperlink" Id="rId105" Target="https://doi.org/10.1038/s41560-020-00763-9" TargetMode="External" /><Relationship Type="http://schemas.openxmlformats.org/officeDocument/2006/relationships/hyperlink" Id="rId81" Target="https://doi.org/10.1080/13669877.2015.1121909" TargetMode="External" /><Relationship Type="http://schemas.openxmlformats.org/officeDocument/2006/relationships/hyperlink" Id="rId108" Target="https://doi.org/10.1093/iwc/iwu009" TargetMode="External" /><Relationship Type="http://schemas.openxmlformats.org/officeDocument/2006/relationships/hyperlink" Id="rId115" Target="https://doi.org/10.1111/j.1540-5915.1991.tb00344.x" TargetMode="External" /><Relationship Type="http://schemas.openxmlformats.org/officeDocument/2006/relationships/hyperlink" Id="rId110" Target="https://doi.org/10.1111/j.1756-8765.2009.01066.x" TargetMode="External" /><Relationship Type="http://schemas.openxmlformats.org/officeDocument/2006/relationships/hyperlink" Id="rId103" Target="https://doi.org/10.1126/science.1154983" TargetMode="External" /><Relationship Type="http://schemas.openxmlformats.org/officeDocument/2006/relationships/hyperlink" Id="rId97" Target="https://doi.org/10.1126/science.290.5500.2261" TargetMode="External" /><Relationship Type="http://schemas.openxmlformats.org/officeDocument/2006/relationships/hyperlink" Id="rId87" Target="https://doi.org/10.1136/bmj.327.7417.741" TargetMode="External" /><Relationship Type="http://schemas.openxmlformats.org/officeDocument/2006/relationships/hyperlink" Id="rId113" Target="https://doi.org/10.1287/mnsc.2016.2703" TargetMode="External" /><Relationship Type="http://schemas.openxmlformats.org/officeDocument/2006/relationships/hyperlink" Id="rId79" Target="https://doi.org/10.18637/jss.v080.i01" TargetMode="External" /><Relationship Type="http://schemas.openxmlformats.org/officeDocument/2006/relationships/hyperlink" Id="rId117" Target="https://doi.org/10.21105/joss.016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 Save Energy: How Information Format Affects Accuracy</dc:title>
  <dc:creator>Thomas E. Gorman; Torsten Reimer; Juan Pablo Loaiza Ramirez; Hayden Barber</dc:creator>
  <cp:keywords/>
  <dcterms:created xsi:type="dcterms:W3CDTF">2024-12-18T12:32:22Z</dcterms:created>
  <dcterms:modified xsi:type="dcterms:W3CDTF">2024-12-18T12:32:22Z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3" name="affiliations">
    <vt:lpwstr/>
  </property>
  <property fmtid="{D5CDD505-2E9C-101B-9397-08002B2CF9AE}" pid="4" name="aliase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sl">
    <vt:lpwstr>../assets/apa.csl</vt:lpwstr>
  </property>
  <property fmtid="{D5CDD505-2E9C-101B-9397-08002B2CF9AE}" pid="11" name="date">
    <vt:lpwstr>2024-12-07</vt:lpwstr>
  </property>
  <property fmtid="{D5CDD505-2E9C-101B-9397-08002B2CF9AE}" pid="12" name="google-scholar">
    <vt:lpwstr>False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