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21.svg" ContentType="image/svg+xml"/>
  <Override PartName="/word/media/rId65.png" ContentType="image/png"/>
  <Override PartName="/word/media/rId54.png" ContentType="image/png"/>
  <Override PartName="/word/media/rId61.png" ContentType="image/png"/>
  <Override PartName="/word/media/rId80.png" ContentType="image/png"/>
  <Override PartName="/word/media/rId88.png" ContentType="image/png"/>
  <Override PartName="/word/media/rId74.png" ContentType="image/png"/>
  <Override PartName="/word/media/rId84.png" ContentType="image/png"/>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Planning to Save Energy: How Information Format Affects Accuracy</w:t>
      </w:r>
    </w:p>
    <w:p>
      <w:pPr>
        <w:pStyle w:val="Author"/>
      </w:pPr>
      <w:r>
        <w:t xml:space="preserve"> </w:t>
      </w:r>
    </w:p>
    <w:p>
      <w:pPr>
        <w:pStyle w:val="Author"/>
      </w:pPr>
      <w:r>
        <w:t xml:space="preserve">Thomas E. Gorman</w:t>
      </w:r>
      <w:r>
        <w:rPr>
          <w:vertAlign w:val="superscript"/>
        </w:rPr>
        <w:t xml:space="preserve">1,2</w:t>
      </w:r>
      <w:r>
        <w:t xml:space="preserve">, Torsten Reimer</w:t>
      </w:r>
      <w:r>
        <w:rPr>
          <w:vertAlign w:val="superscript"/>
        </w:rPr>
        <w:t xml:space="preserve">1,2</w:t>
      </w:r>
      <w:r>
        <w:t xml:space="preserve">, Juan Pablo Loaiza Ramirez</w:t>
      </w:r>
      <w:r>
        <w:rPr>
          <w:vertAlign w:val="superscript"/>
        </w:rPr>
        <w:t xml:space="preserve">1,2</w:t>
      </w:r>
      <w:r>
        <w:t xml:space="preserve">, and Hayden Barber</w:t>
      </w:r>
      <w:r>
        <w:rPr>
          <w:vertAlign w:val="superscript"/>
        </w:rPr>
        <w:t xml:space="preserve">3</w:t>
      </w:r>
    </w:p>
    <w:p>
      <w:pPr>
        <w:pStyle w:val="Author"/>
      </w:pPr>
      <w:r>
        <w:rPr>
          <w:vertAlign w:val="superscript"/>
        </w:rPr>
        <w:t xml:space="preserve">1</w:t>
      </w:r>
      <w:r>
        <w:t xml:space="preserve">Communication and Cognition Lab, Purdue University</w:t>
      </w:r>
    </w:p>
    <w:p>
      <w:pPr>
        <w:pStyle w:val="Author"/>
      </w:pPr>
      <w:r>
        <w:rPr>
          <w:vertAlign w:val="superscript"/>
        </w:rPr>
        <w:t xml:space="preserve">2</w:t>
      </w:r>
      <w:r>
        <w:t xml:space="preserve">Purdue University, College of Liberal Arts Research Academy</w:t>
      </w:r>
    </w:p>
    <w:p>
      <w:pPr>
        <w:pStyle w:val="Author"/>
      </w:pPr>
      <w:r>
        <w:rPr>
          <w:vertAlign w:val="superscript"/>
        </w:rPr>
        <w:t xml:space="preserve">3</w:t>
      </w:r>
      <w:r>
        <w:t xml:space="preserve">School of Communication &amp; Journalism, South Dakota State University</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Thomas E. Gorman</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http://orcid.org/0000-0001-5366-5442</w:t>
      </w:r>
    </w:p>
    <w:p>
      <w:pPr>
        <w:pStyle w:val="BodyText"/>
      </w:pPr>
      <w:r>
        <w:t xml:space="preserve">Torsten Reimer</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http://orcid.org/0000-0002-7419-0076</w:t>
      </w:r>
    </w:p>
    <w:p>
      <w:pPr>
        <w:pStyle w:val="BodyText"/>
      </w:pPr>
      <w:r>
        <w:t xml:space="preserve">Juan Pablo Loaiza Ramirez</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http://orcid.org/0000-0001-9663-0522</w:t>
      </w:r>
    </w:p>
    <w:p>
      <w:pPr>
        <w:pStyle w:val="BodyText"/>
      </w:pPr>
      <w:r>
        <w:t xml:space="preserve">Hayden Barber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http://orcid.org/0000-0002-3465-8615</w:t>
      </w:r>
    </w:p>
    <w:p>
      <w:pPr>
        <w:pStyle w:val="BodyText"/>
      </w:pPr>
      <w:r>
        <w:t xml:space="preserve">Correspondence concerning this article should be addressed to Thomas E. Gorman, Communication and Cognition Lab, Purdue University, West Lafayette, IN 47907, USA</w:t>
      </w:r>
    </w:p>
    <w:p>
      <w:r>
        <w:br w:type="page"/>
      </w:r>
    </w:p>
    <w:bookmarkEnd w:id="38"/>
    <w:bookmarkStart w:id="39" w:name="abstract"/>
    <w:p>
      <w:pPr>
        <w:pStyle w:val="Heading1"/>
      </w:pPr>
      <w:r>
        <w:t xml:space="preserve">Abstract</w:t>
      </w:r>
    </w:p>
    <w:p>
      <w:pPr>
        <w:pStyle w:val="AbstractFirstParagraph"/>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pPr>
        <w:pStyle w:val="BodyText"/>
      </w:pPr>
      <w:r>
        <w:rPr>
          <w:i/>
          <w:iCs/>
        </w:rPr>
        <w:t xml:space="preserve">Keywords</w:t>
      </w:r>
      <w:r>
        <w:t xml:space="preserve">: Information format, Energy literacy, Decision-making, Planning</w:t>
      </w:r>
    </w:p>
    <w:p>
      <w:r>
        <w:br w:type="page"/>
      </w:r>
    </w:p>
    <w:bookmarkEnd w:id="39"/>
    <w:bookmarkStart w:id="40" w:name="firstheader"/>
    <w:p>
      <w:pPr>
        <w:pStyle w:val="Heading1"/>
      </w:pPr>
      <w:r>
        <w:t xml:space="preserve">Planning to Save Energy: How Information Format Affects Accuracy</w:t>
      </w:r>
    </w:p>
    <w:bookmarkEnd w:id="40"/>
    <w:bookmarkStart w:id="43"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w:t>
      </w:r>
      <w:hyperlink w:anchor="ref-bednarRecognitionResponseEnergy2020">
        <w:r>
          <w:rPr>
            <w:rStyle w:val="Hyperlink"/>
          </w:rPr>
          <w:t xml:space="preserve">Bednar &amp; Reames, 2020</w:t>
        </w:r>
      </w:hyperlink>
      <w:r>
        <w:t xml:space="preserve">;</w:t>
      </w:r>
      <w:r>
        <w:t xml:space="preserve"> </w:t>
      </w:r>
      <w:hyperlink w:anchor="X3b6a1d5d45806e48bd092325245544cfc853796">
        <w:r>
          <w:rPr>
            <w:rStyle w:val="Hyperlink"/>
          </w:rPr>
          <w:t xml:space="preserve">Memmott et al., 2021</w:t>
        </w:r>
      </w:hyperlink>
      <w:r>
        <w:t xml:space="preserve">)</w:t>
      </w:r>
      <w:r>
        <w:t xml:space="preserve">. Such households often experience unsafe coping strategies (e.g., foregoing heating during winter months), which disproportionately affect racial and ethnic minorities and heighten risks of utility disconnection</w:t>
      </w:r>
      <w:r>
        <w:t xml:space="preserve"> </w:t>
      </w:r>
      <w:r>
        <w:t xml:space="preserve">(</w:t>
      </w:r>
      <w:hyperlink w:anchor="X3b6a1d5d45806e48bd092325245544cfc853796">
        <w:r>
          <w:rPr>
            <w:rStyle w:val="Hyperlink"/>
          </w:rPr>
          <w:t xml:space="preserve">Memmott et al., 2021</w:t>
        </w:r>
      </w:hyperlink>
      <w:r>
        <w:t xml:space="preserve">)</w:t>
      </w:r>
      <w:r>
        <w:t xml:space="preserve">. Moreover, residential energy use contributes to climate change, intensifying the urgency for sustainable solutions</w:t>
      </w:r>
      <w:r>
        <w:t xml:space="preserve"> </w:t>
      </w:r>
      <w:r>
        <w:t xml:space="preserve">(</w:t>
      </w:r>
      <w:hyperlink w:anchor="ref-farghaliStrategiesEnergyContext2023">
        <w:r>
          <w:rPr>
            <w:rStyle w:val="Hyperlink"/>
          </w:rPr>
          <w:t xml:space="preserve">Farghali et al., 2023</w:t>
        </w:r>
      </w:hyperlink>
      <w:r>
        <w:t xml:space="preserve">)</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Interventions often focus on X, Y, Z. For example, …</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w:t>
      </w:r>
      <w:hyperlink w:anchor="X583a2aeb73133489b1bca7034fc4c88220fccdb">
        <w:r>
          <w:rPr>
            <w:rStyle w:val="Hyperlink"/>
          </w:rPr>
          <w:t xml:space="preserve">Canfield et al., 2017</w:t>
        </w:r>
      </w:hyperlink>
      <w:r>
        <w:t xml:space="preserve">;</w:t>
      </w:r>
      <w:r>
        <w:t xml:space="preserve"> </w:t>
      </w:r>
      <w:hyperlink w:anchor="X5af67f995b39de65510a4284ea565163ed449fb">
        <w:r>
          <w:rPr>
            <w:rStyle w:val="Hyperlink"/>
          </w:rPr>
          <w:t xml:space="preserve">Fischer, 2008</w:t>
        </w:r>
      </w:hyperlink>
      <w:r>
        <w:t xml:space="preserve">)</w:t>
      </w:r>
      <w:r>
        <w:t xml:space="preserve">. Consequently, a pressing challenge lies in designing communication strategies that effectively convey energy data and motivate practical conservation decisions. We set out to explore if consumers are able to develop plans that would help meet certain energy consumption goals.</w:t>
      </w:r>
    </w:p>
    <w:bookmarkStart w:id="41" w:name="representation-formats"/>
    <w:p>
      <w:pPr>
        <w:pStyle w:val="Heading3"/>
      </w:pPr>
      <w:r>
        <w:t xml:space="preserve">Representation Formats</w:t>
      </w:r>
    </w:p>
    <w:p>
      <w:pPr>
        <w:pStyle w:val="FirstParagraph"/>
      </w:pPr>
      <w:r>
        <w:t xml:space="preserve">Receiving feedback about one’s energy use is an important step in identifying potential actions to reduce energy consumption. However, it is crucial to understand how consumers use the information that is given with their energy bill and whether consumers are able to translate a energy saving goal into an action plan.</w:t>
      </w:r>
    </w:p>
    <w:p>
      <w:pPr>
        <w:pStyle w:val="BodyText"/>
      </w:pPr>
      <w:r>
        <w:t xml:space="preserve">Building on the study of Canfield et al. (2017), we aimed to test xxx.</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w:t>
      </w:r>
      <w:hyperlink w:anchor="X017f3aa19ce35c5f02a682eb2019dab7020f49c">
        <w:r>
          <w:rPr>
            <w:rStyle w:val="Hyperlink"/>
          </w:rPr>
          <w:t xml:space="preserve">Abrahamse et al., 2005</w:t>
        </w:r>
      </w:hyperlink>
      <w:r>
        <w:t xml:space="preserve">;</w:t>
      </w:r>
      <w:r>
        <w:t xml:space="preserve"> </w:t>
      </w:r>
      <w:hyperlink w:anchor="X6b928f3b3d6d58eb00a6f05f7cc31476714d0fc">
        <w:r>
          <w:rPr>
            <w:rStyle w:val="Hyperlink"/>
          </w:rPr>
          <w:t xml:space="preserve">Nemati &amp; Penn, 2020</w:t>
        </w:r>
      </w:hyperlink>
      <w:r>
        <w:t xml:space="preserve">)</w:t>
      </w:r>
      <w:r>
        <w:t xml:space="preserve">. For instance,</w:t>
      </w:r>
      <w:r>
        <w:t xml:space="preserve"> </w:t>
      </w:r>
      <w:r>
        <w:t xml:space="preserve">Abrahamse et al. (</w:t>
      </w:r>
      <w:hyperlink w:anchor="X017f3aa19ce35c5f02a682eb2019dab7020f49c">
        <w:r>
          <w:rPr>
            <w:rStyle w:val="Hyperlink"/>
          </w:rPr>
          <w:t xml:space="preserve">2005</w:t>
        </w:r>
      </w:hyperlink>
      <w:r>
        <w:t xml:space="preserve">)</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w:t>
      </w:r>
      <w:hyperlink w:anchor="Xd44db9aff911e722b730a7e513225ab165d3721">
        <w:r>
          <w:rPr>
            <w:rStyle w:val="Hyperlink"/>
          </w:rPr>
          <w:t xml:space="preserve">2024</w:t>
        </w:r>
      </w:hyperlink>
      <w:r>
        <w:t xml:space="preserve">)</w:t>
      </w:r>
      <w:r>
        <w:t xml:space="preserve"> </w:t>
      </w:r>
      <w:r>
        <w:t xml:space="preserve">rreported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w:t>
      </w:r>
      <w:hyperlink w:anchor="ref-attariPublicPerceptionsEnergy2010">
        <w:r>
          <w:rPr>
            <w:rStyle w:val="Hyperlink"/>
          </w:rPr>
          <w:t xml:space="preserve">Attari et al., 2010</w:t>
        </w:r>
      </w:hyperlink>
      <w:r>
        <w:t xml:space="preserve">)</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w:t>
      </w:r>
      <w:hyperlink w:anchor="X6b928f3b3d6d58eb00a6f05f7cc31476714d0fc">
        <w:r>
          <w:rPr>
            <w:rStyle w:val="Hyperlink"/>
          </w:rPr>
          <w:t xml:space="preserve">Nemati &amp; Penn, 2020</w:t>
        </w:r>
      </w:hyperlink>
      <w:r>
        <w:t xml:space="preserve">)</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w:t>
      </w:r>
      <w:hyperlink w:anchor="ref-weberWhyCanOnly2018">
        <w:r>
          <w:rPr>
            <w:rStyle w:val="Hyperlink"/>
          </w:rPr>
          <w:t xml:space="preserve">2018</w:t>
        </w:r>
      </w:hyperlink>
      <w:r>
        <w:t xml:space="preserve">)</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w:t>
      </w:r>
      <w:r>
        <w:t xml:space="preserve"> </w:t>
      </w:r>
      <w:r>
        <w:t xml:space="preserve">(</w:t>
      </w:r>
      <w:hyperlink w:anchor="X583a2aeb73133489b1bca7034fc4c88220fccdb">
        <w:r>
          <w:rPr>
            <w:rStyle w:val="Hyperlink"/>
          </w:rPr>
          <w:t xml:space="preserve">Canfield et al., 2017</w:t>
        </w:r>
      </w:hyperlink>
      <w:r>
        <w:t xml:space="preserve">)</w:t>
      </w:r>
      <w:r>
        <w:t xml:space="preserve">. Furthermore, the framing of energy costs, such as displaying monthly rather than daily or yearly expenses, can significantly affect consumers’ choices</w:t>
      </w:r>
      <w:r>
        <w:t xml:space="preserve"> </w:t>
      </w:r>
      <w:r>
        <w:t xml:space="preserve">(</w:t>
      </w:r>
      <w:hyperlink w:anchor="ref-gillConsumerMatchingCosts2022">
        <w:r>
          <w:rPr>
            <w:rStyle w:val="Hyperlink"/>
          </w:rPr>
          <w:t xml:space="preserve">Gill et al., 2022</w:t>
        </w:r>
      </w:hyperlink>
      <w:r>
        <w:t xml:space="preserve">)</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as well as better long-term appliance selection with information presented in monetary terms</w:t>
      </w:r>
      <w:r>
        <w:t xml:space="preserve"> </w:t>
      </w:r>
      <w:r>
        <w:t xml:space="preserve">(</w:t>
      </w:r>
      <w:hyperlink w:anchor="ref-blaschBoundedlyRationalConsumers2019">
        <w:r>
          <w:rPr>
            <w:rStyle w:val="Hyperlink"/>
          </w:rPr>
          <w:t xml:space="preserve">Blasch et al., 2019</w:t>
        </w:r>
      </w:hyperlink>
      <w:r>
        <w:t xml:space="preserve">)</w:t>
      </w:r>
      <w:r>
        <w:t xml:space="preserve">. However, it remains uncertain how these reported benefits might generalize to the more complex task of household energy planning, where usage patterns are multifaceted and subject to a variety of contextual influences.</w:t>
      </w:r>
    </w:p>
    <w:bookmarkEnd w:id="41"/>
    <w:bookmarkStart w:id="42" w:name="overview-of-current-research"/>
    <w:p>
      <w:pPr>
        <w:pStyle w:val="Heading3"/>
      </w:pPr>
      <w:r>
        <w:t xml:space="preserve">Overview of Current Research</w:t>
      </w:r>
    </w:p>
    <w:p>
      <w:pPr>
        <w:pStyle w:val="FirstParagraph"/>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42"/>
    <w:bookmarkEnd w:id="43"/>
    <w:bookmarkStart w:id="71"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51" w:name="methods"/>
    <w:p>
      <w:pPr>
        <w:pStyle w:val="Heading2"/>
      </w:pPr>
      <w:r>
        <w:t xml:space="preserve">Methods</w:t>
      </w:r>
    </w:p>
    <w:bookmarkStart w:id="44"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235 participants were initially recruited. Data from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44"/>
    <w:bookmarkStart w:id="45"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their knowledge of energy consumption and conversion</w:t>
      </w:r>
      <w:r>
        <w:t xml:space="preserve"> </w:t>
      </w:r>
      <w:r>
        <w:t xml:space="preserve">(</w:t>
      </w:r>
      <w:hyperlink w:anchor="ref-dewatersEnergyLiteracySecondary2011">
        <w:r>
          <w:rPr>
            <w:rStyle w:val="Hyperlink"/>
          </w:rPr>
          <w:t xml:space="preserve">DeWaters &amp; Powers, 2011</w:t>
        </w:r>
      </w:hyperlink>
      <w:r>
        <w:t xml:space="preserve">)</w:t>
      </w:r>
      <w:r>
        <w:t xml:space="preserve">, and a question indicating whether they used a calculator for the task.</w:t>
      </w:r>
    </w:p>
    <w:bookmarkEnd w:id="45"/>
    <w:bookmarkStart w:id="50"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 .</w:t>
      </w:r>
    </w:p>
    <w:bookmarkStart w:id="49" w:name="fig-task"/>
    <w:p>
      <w:pPr>
        <w:pStyle w:val="FigureTitle"/>
      </w:pPr>
      <w:r>
        <w:t xml:space="preserve">Figure 1</w:t>
      </w:r>
    </w:p>
    <w:p>
      <w:pPr>
        <w:pStyle w:val="Caption"/>
      </w:pPr>
      <w:r>
        <w:t xml:space="preserve">Example energy planning task trial</w:t>
      </w:r>
    </w:p>
    <w:p>
      <w:pPr>
        <w:pStyle w:val="FigureWithNote"/>
      </w:pPr>
      <w:r>
        <w:drawing>
          <wp:inline>
            <wp:extent cx="5943600" cy="6795002"/>
            <wp:effectExtent b="0" l="0" r="0" t="0"/>
            <wp:docPr descr="" title="" id="47" name="Picture"/>
            <a:graphic>
              <a:graphicData uri="http://schemas.openxmlformats.org/drawingml/2006/picture">
                <pic:pic>
                  <pic:nvPicPr>
                    <pic:cNvPr descr="./assets/images/wells10e_pub.png" id="48" name="Picture"/>
                    <pic:cNvPicPr>
                      <a:picLocks noChangeArrowheads="1" noChangeAspect="1"/>
                    </pic:cNvPicPr>
                  </pic:nvPicPr>
                  <pic:blipFill>
                    <a:blip r:embed="rId46"/>
                    <a:stretch>
                      <a:fillRect/>
                    </a:stretch>
                  </pic:blipFill>
                  <pic:spPr bwMode="auto">
                    <a:xfrm>
                      <a:off x="0" y="0"/>
                      <a:ext cx="5943600" cy="6795002"/>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kwH and USD.</w:t>
      </w:r>
    </w:p>
    <w:bookmarkEnd w:id="50"/>
    <w:bookmarkEnd w:id="51"/>
    <w:bookmarkStart w:id="52" w:name="measures"/>
    <w:p>
      <w:pPr>
        <w:pStyle w:val="Heading2"/>
      </w:pPr>
      <w:r>
        <w:t xml:space="preserve">Measures</w:t>
      </w:r>
    </w:p>
    <w:bookmarkEnd w:id="52"/>
    <w:bookmarkStart w:id="69" w:name="results"/>
    <w:p>
      <w:pPr>
        <w:pStyle w:val="Heading2"/>
      </w:pPr>
      <w:r>
        <w:t xml:space="preserve">Results</w:t>
      </w:r>
    </w:p>
    <w:p>
      <w:pPr>
        <w:pStyle w:val="FirstParagraph"/>
      </w:pPr>
      <w:r>
        <w:t xml:space="preserve">All preprocessing and analyses were carried out in R</w:t>
      </w:r>
      <w:r>
        <w:t xml:space="preserve"> </w:t>
      </w:r>
      <w:r>
        <w:t xml:space="preserve">(</w:t>
      </w:r>
      <w:hyperlink w:anchor="X7b3c79bfb7654af1f4b03dba64dad1a6765c972">
        <w:r>
          <w:rPr>
            <w:rStyle w:val="Hyperlink"/>
          </w:rPr>
          <w:t xml:space="preserve">Team, 2020</w:t>
        </w:r>
      </w:hyperlink>
      <w:r>
        <w:t xml:space="preserve">)</w:t>
      </w:r>
      <w:r>
        <w:t xml:space="preserve"> </w:t>
      </w:r>
      <w:r>
        <w:t xml:space="preserve">and the Tidyverse package</w:t>
      </w:r>
      <w:r>
        <w:t xml:space="preserve"> </w:t>
      </w:r>
      <w:r>
        <w:t xml:space="preserve">(</w:t>
      </w:r>
      <w:hyperlink w:anchor="ref-wickhamWelcomeTidyverse2019">
        <w:r>
          <w:rPr>
            <w:rStyle w:val="Hyperlink"/>
          </w:rPr>
          <w:t xml:space="preserve">Wickham et al., 2019</w:t>
        </w:r>
      </w:hyperlink>
      <w:r>
        <w:t xml:space="preserve">)</w:t>
      </w:r>
      <w:r>
        <w:t xml:space="preserve">. Mixed Bayesian regressions were fit using the brms package</w:t>
      </w:r>
      <w:r>
        <w:t xml:space="preserve"> </w:t>
      </w:r>
      <w:r>
        <w:t xml:space="preserve">(</w:t>
      </w:r>
      <w:hyperlink w:anchor="ref-burknerBrmsPackageBayesian2017">
        <w:r>
          <w:rPr>
            <w:rStyle w:val="Hyperlink"/>
          </w:rPr>
          <w:t xml:space="preserve">Bürkner, 2017</w:t>
        </w:r>
      </w:hyperlink>
      <w:r>
        <w:t xml:space="preserve">)</w:t>
      </w:r>
      <w:r>
        <w:t xml:space="preserve">, with participants and family scenario (states) set as random effects.</w:t>
      </w:r>
    </w:p>
    <w:bookmarkStart w:id="53" w:name="tbl-s1-agg"/>
    <w:p>
      <w:pPr>
        <w:pStyle w:val="FigureTitle"/>
      </w:pPr>
      <w:r>
        <w:t xml:space="preserve">Table 1</w:t>
      </w:r>
    </w:p>
    <w:p>
      <w:pPr>
        <w:pStyle w:val="Caption"/>
      </w:pPr>
      <w:r>
        <w:t xml:space="preserve">Study 1: Summary of planning accuracy by reference class</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pPr>
            <w:r>
              <w:t xml:space="preserve">Reference Class</w:t>
            </w:r>
          </w:p>
        </w:tc>
        <w:tc>
          <w:tcPr/>
          <w:p>
            <w:pPr>
              <w:pStyle w:val="Compact"/>
              <w:jc w:val="left"/>
            </w:pPr>
            <w:r>
              <w:t xml:space="preserve">Avg. % Change</w:t>
            </w:r>
          </w:p>
        </w:tc>
        <w:tc>
          <w:tcPr/>
          <w:p>
            <w:pPr>
              <w:pStyle w:val="Compact"/>
              <w:jc w:val="left"/>
            </w:pPr>
            <w:r>
              <w:t xml:space="preserve">% meeting goal (exact)</w:t>
            </w:r>
          </w:p>
        </w:tc>
        <w:tc>
          <w:tcPr/>
          <w:p>
            <w:pPr>
              <w:pStyle w:val="Compact"/>
              <w:jc w:val="left"/>
            </w:pPr>
            <w:r>
              <w:t xml:space="preserve">% meeting goal (close match)</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0.22</w:t>
            </w:r>
          </w:p>
        </w:tc>
        <w:tc>
          <w:tcPr/>
          <w:p>
            <w:pPr>
              <w:pStyle w:val="Compact"/>
              <w:jc w:val="left"/>
            </w:pPr>
            <w:r>
              <w:t xml:space="preserve">0.38</w:t>
            </w:r>
          </w:p>
        </w:tc>
        <w:tc>
          <w:tcPr/>
          <w:p>
            <w:pPr>
              <w:pStyle w:val="Compact"/>
              <w:jc w:val="left"/>
            </w:pPr>
            <w:r>
              <w:t xml:space="preserve">0.54</w:t>
            </w:r>
          </w:p>
        </w:tc>
        <w:tc>
          <w:tcPr/>
          <w:p>
            <w:pPr>
              <w:pStyle w:val="Compact"/>
              <w:jc w:val="left"/>
            </w:pPr>
            <w:r>
              <w:t xml:space="preserve">0.03</w:t>
            </w:r>
          </w:p>
        </w:tc>
        <w:tc>
          <w:tcPr/>
          <w:p>
            <w:pPr>
              <w:pStyle w:val="Compact"/>
              <w:jc w:val="left"/>
            </w:pPr>
            <w:r>
              <w:t xml:space="preserve">-3.7</w:t>
            </w:r>
          </w:p>
        </w:tc>
      </w:tr>
      <w:tr>
        <w:tc>
          <w:tcPr/>
          <w:p>
            <w:pPr>
              <w:pStyle w:val="Compact"/>
              <w:jc w:val="left"/>
            </w:pPr>
            <w:r>
              <w:t xml:space="preserve">Percentage</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0.06</w:t>
            </w:r>
          </w:p>
        </w:tc>
        <w:tc>
          <w:tcPr/>
          <w:p>
            <w:pPr>
              <w:pStyle w:val="Compact"/>
              <w:jc w:val="left"/>
            </w:pPr>
            <w:r>
              <w:t xml:space="preserve">-3.1</w:t>
            </w:r>
          </w:p>
        </w:tc>
      </w:tr>
      <w:tr>
        <w:tc>
          <w:tcPr/>
          <w:p>
            <w:pPr>
              <w:pStyle w:val="Compact"/>
              <w:jc w:val="left"/>
            </w:pPr>
            <w:r>
              <w:t xml:space="preserve">USD</w:t>
            </w:r>
          </w:p>
        </w:tc>
        <w:tc>
          <w:tcPr/>
          <w:p>
            <w:pPr>
              <w:pStyle w:val="Compact"/>
              <w:jc w:val="left"/>
            </w:pPr>
            <w:r>
              <w:t xml:space="preserve">0.23</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0.10</w:t>
            </w:r>
          </w:p>
        </w:tc>
        <w:tc>
          <w:tcPr/>
          <w:p>
            <w:pPr>
              <w:pStyle w:val="Compact"/>
              <w:jc w:val="left"/>
            </w:pPr>
            <w:r>
              <w:t xml:space="preserve">-2.4</w:t>
            </w:r>
          </w:p>
        </w:tc>
      </w:tr>
    </w:tbl>
    <w:bookmarkEnd w:id="53"/>
    <w:p>
      <w:pPr>
        <w:pStyle w:val="FigureNote"/>
      </w:pPr>
      <w:r>
        <w:rPr>
          <w:i/>
          <w:iCs/>
        </w:rPr>
        <w:t xml:space="preserve">Note</w:t>
      </w:r>
      <w:r>
        <w:t xml:space="preserve">. The table shows performance as both the % of trials where participants matched the goal, and the mean absolute error from the target reduction goal. Percentage meeting goal refers to … ETC</w:t>
      </w:r>
    </w:p>
    <w:p>
      <w:pPr>
        <w:pStyle w:val="BodyText"/>
      </w:pPr>
      <w:hyperlink w:anchor="tbl-s1-agg">
        <w:r>
          <w:rPr>
            <w:rStyle w:val="Hyperlink"/>
          </w:rPr>
          <w:t xml:space="preserve">Table 1</w:t>
        </w:r>
      </w:hyperlink>
      <w:r>
        <w:t xml:space="preserve"> </w:t>
      </w:r>
      <w:r>
        <w:t xml:space="preserve">shows the average x,y,z, separately for the conditions of … . As can be seen in Table 1,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the goal was framed in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bookmarkStart w:id="57" w:name="fig-s1-log-dist"/>
    <w:p>
      <w:pPr>
        <w:pStyle w:val="FigureTitle"/>
      </w:pPr>
      <w:r>
        <w:t xml:space="preserve">Figure 2</w:t>
      </w:r>
    </w:p>
    <w:p>
      <w:pPr>
        <w:pStyle w:val="Caption"/>
      </w:pPr>
      <w:r>
        <w:t xml:space="preserve">Experiment 1: Planning Error Distributions</w:t>
      </w:r>
    </w:p>
    <w:p>
      <w:pPr>
        <w:pStyle w:val="FigureWithNote"/>
      </w:pPr>
      <w:r>
        <w:drawing>
          <wp:inline>
            <wp:extent cx="5943600" cy="4322618"/>
            <wp:effectExtent b="0" l="0" r="0" t="0"/>
            <wp:docPr descr="" title="" id="55" name="Picture"/>
            <a:graphic>
              <a:graphicData uri="http://schemas.openxmlformats.org/drawingml/2006/picture">
                <pic:pic>
                  <pic:nvPicPr>
                    <pic:cNvPr descr="manuscript_files/figure-docx/fig-s1-log-dist-1.png" id="56" name="Picture"/>
                    <pic:cNvPicPr>
                      <a:picLocks noChangeArrowheads="1" noChangeAspect="1"/>
                    </pic:cNvPicPr>
                  </pic:nvPicPr>
                  <pic:blipFill>
                    <a:blip r:embed="rId54"/>
                    <a:stretch>
                      <a:fillRect/>
                    </a:stretch>
                  </pic:blipFill>
                  <pic:spPr bwMode="auto">
                    <a:xfrm>
                      <a:off x="0" y="0"/>
                      <a:ext cx="5943600" cy="4322618"/>
                    </a:xfrm>
                    <a:prstGeom prst="rect">
                      <a:avLst/>
                    </a:prstGeom>
                    <a:noFill/>
                    <a:ln w="9525">
                      <a:noFill/>
                      <a:headEnd/>
                      <a:tailEnd/>
                    </a:ln>
                  </pic:spPr>
                </pic:pic>
              </a:graphicData>
            </a:graphic>
          </wp:inline>
        </w:drawing>
      </w:r>
    </w:p>
    <w:bookmarkEnd w:id="57"/>
    <w:p>
      <w:pPr>
        <w:pStyle w:val="FigureNote"/>
      </w:pPr>
      <w:r>
        <w:rPr>
          <w:i/>
          <w:iCs/>
        </w:rPr>
        <w:t xml:space="preserve">Note</w:t>
      </w:r>
      <w:r>
        <w:t xml:space="preserve">.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Start w:id="58" w:name="tbl-s1-prop"/>
    <w:p>
      <w:pPr>
        <w:pStyle w:val="FigureTitle"/>
      </w:pPr>
      <w:r>
        <w:t xml:space="preserve">Table 2</w:t>
      </w:r>
    </w:p>
    <w:p>
      <w:pPr>
        <w:pStyle w:val="Caption"/>
      </w:pPr>
      <w:r>
        <w:t xml:space="preserve">Study 1: Descriptive Performance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Accuracy Level</w:t>
            </w:r>
          </w:p>
        </w:tc>
        <w:tc>
          <w:tcPr/>
          <w:p>
            <w:pPr>
              <w:pStyle w:val="Compact"/>
              <w:jc w:val="left"/>
            </w:pPr>
            <w:r>
              <w:t xml:space="preserve">kWh</w:t>
            </w:r>
          </w:p>
        </w:tc>
        <w:tc>
          <w:tcPr/>
          <w:p>
            <w:pPr>
              <w:pStyle w:val="Compact"/>
              <w:jc w:val="left"/>
            </w:pPr>
            <w:r>
              <w:t xml:space="preserve">Percentage</w:t>
            </w:r>
          </w:p>
        </w:tc>
        <w:tc>
          <w:tcPr/>
          <w:p>
            <w:pPr>
              <w:pStyle w:val="Compact"/>
              <w:jc w:val="left"/>
            </w:pPr>
            <w:r>
              <w:t xml:space="preserve">USD</w:t>
            </w:r>
          </w:p>
        </w:tc>
        <w:tc>
          <w:tcPr/>
          <w:p>
            <w:pPr>
              <w:pStyle w:val="Compact"/>
              <w:jc w:val="left"/>
            </w:pPr>
            <w:r>
              <w:t xml:space="preserve">Combined Groups %</w:t>
            </w:r>
          </w:p>
        </w:tc>
      </w:tr>
      <w:tr>
        <w:tc>
          <w:tcPr/>
          <w:p>
            <w:pPr>
              <w:pStyle w:val="Compact"/>
              <w:jc w:val="left"/>
            </w:pPr>
            <w:r>
              <w:t xml:space="preserve">Exact match</w:t>
            </w:r>
          </w:p>
        </w:tc>
        <w:tc>
          <w:tcPr/>
          <w:p>
            <w:pPr>
              <w:pStyle w:val="Compact"/>
              <w:jc w:val="left"/>
            </w:pPr>
            <w:r>
              <w:t xml:space="preserve">38.5%</w:t>
            </w:r>
          </w:p>
        </w:tc>
        <w:tc>
          <w:tcPr/>
          <w:p>
            <w:pPr>
              <w:pStyle w:val="Compact"/>
              <w:jc w:val="left"/>
            </w:pPr>
            <w:r>
              <w:t xml:space="preserve">22.4%</w:t>
            </w:r>
          </w:p>
        </w:tc>
        <w:tc>
          <w:tcPr/>
          <w:p>
            <w:pPr>
              <w:pStyle w:val="Compact"/>
              <w:jc w:val="left"/>
            </w:pPr>
            <w:r>
              <w:t xml:space="preserve">10.2%</w:t>
            </w:r>
          </w:p>
        </w:tc>
        <w:tc>
          <w:tcPr/>
          <w:p>
            <w:pPr>
              <w:pStyle w:val="Compact"/>
              <w:jc w:val="left"/>
            </w:pPr>
            <w:r>
              <w:t xml:space="preserve">23.1%</w:t>
            </w:r>
          </w:p>
        </w:tc>
      </w:tr>
      <w:tr>
        <w:tc>
          <w:tcPr/>
          <w:p>
            <w:pPr>
              <w:pStyle w:val="Compact"/>
              <w:jc w:val="left"/>
            </w:pPr>
            <w:r>
              <w:t xml:space="preserve">0.01-5% error</w:t>
            </w:r>
          </w:p>
        </w:tc>
        <w:tc>
          <w:tcPr/>
          <w:p>
            <w:pPr>
              <w:pStyle w:val="Compact"/>
              <w:jc w:val="left"/>
            </w:pPr>
            <w:r>
              <w:t xml:space="preserve">22.7%</w:t>
            </w:r>
          </w:p>
        </w:tc>
        <w:tc>
          <w:tcPr/>
          <w:p>
            <w:pPr>
              <w:pStyle w:val="Compact"/>
              <w:jc w:val="left"/>
            </w:pPr>
            <w:r>
              <w:t xml:space="preserve">29.5%</w:t>
            </w:r>
          </w:p>
        </w:tc>
        <w:tc>
          <w:tcPr/>
          <w:p>
            <w:pPr>
              <w:pStyle w:val="Compact"/>
              <w:jc w:val="left"/>
            </w:pPr>
            <w:r>
              <w:t xml:space="preserve">25%</w:t>
            </w:r>
          </w:p>
        </w:tc>
        <w:tc>
          <w:tcPr/>
          <w:p>
            <w:pPr>
              <w:pStyle w:val="Compact"/>
              <w:jc w:val="left"/>
            </w:pPr>
            <w:r>
              <w:t xml:space="preserve">25.5%</w:t>
            </w:r>
          </w:p>
        </w:tc>
      </w:tr>
      <w:tr>
        <w:tc>
          <w:tcPr/>
          <w:p>
            <w:pPr>
              <w:pStyle w:val="Compact"/>
              <w:jc w:val="left"/>
            </w:pPr>
            <w:r>
              <w:t xml:space="preserve">Over 5% error</w:t>
            </w:r>
          </w:p>
        </w:tc>
        <w:tc>
          <w:tcPr/>
          <w:p>
            <w:pPr>
              <w:pStyle w:val="Compact"/>
              <w:jc w:val="left"/>
            </w:pPr>
            <w:r>
              <w:t xml:space="preserve">38.8%</w:t>
            </w:r>
          </w:p>
        </w:tc>
        <w:tc>
          <w:tcPr/>
          <w:p>
            <w:pPr>
              <w:pStyle w:val="Compact"/>
              <w:jc w:val="left"/>
            </w:pPr>
            <w:r>
              <w:t xml:space="preserve">48.1%</w:t>
            </w:r>
          </w:p>
        </w:tc>
        <w:tc>
          <w:tcPr/>
          <w:p>
            <w:pPr>
              <w:pStyle w:val="Compact"/>
              <w:jc w:val="left"/>
            </w:pPr>
            <w:r>
              <w:t xml:space="preserve">64.8%</w:t>
            </w:r>
          </w:p>
        </w:tc>
        <w:tc>
          <w:tcPr/>
          <w:p>
            <w:pPr>
              <w:pStyle w:val="Compact"/>
              <w:jc w:val="left"/>
            </w:pPr>
            <w:r>
              <w:t xml:space="preserve">51.3%</w:t>
            </w:r>
          </w:p>
        </w:tc>
      </w:tr>
    </w:tbl>
    <w:bookmarkEnd w:id="58"/>
    <w:p>
      <w:pPr>
        <w:pStyle w:val="FigureNote"/>
      </w:pPr>
      <w:r>
        <w:rPr>
          <w:i/>
          <w:iCs/>
        </w:rPr>
        <w:t xml:space="preserve">Note</w:t>
      </w:r>
      <w:r>
        <w:t xml:space="preserve">.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bookmarkStart w:id="59" w:name="tbl-s1-reg"/>
    <w:p>
      <w:pPr>
        <w:pStyle w:val="FigureTitle"/>
      </w:pPr>
      <w:r>
        <w:t xml:space="preserve">Table 3</w:t>
      </w:r>
    </w:p>
    <w:p>
      <w:pPr>
        <w:pStyle w:val="Caption"/>
      </w:pPr>
      <w:r>
        <w:rPr>
          <w:b/>
          <w:bCs/>
        </w:rPr>
        <w:t xml:space="preserve">Experiment 1</w:t>
      </w:r>
      <w:r>
        <w:t xml:space="preserve">: Ordinal Regression results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-4.21</w:t>
            </w:r>
          </w:p>
        </w:tc>
        <w:tc>
          <w:tcPr/>
          <w:p>
            <w:pPr>
              <w:pStyle w:val="Compact"/>
              <w:jc w:val="left"/>
            </w:pPr>
            <w:r>
              <w:t xml:space="preserve">-5.90</w:t>
            </w:r>
          </w:p>
        </w:tc>
        <w:tc>
          <w:tcPr/>
          <w:p>
            <w:pPr>
              <w:pStyle w:val="Compact"/>
              <w:jc w:val="left"/>
            </w:pPr>
            <w:r>
              <w:t xml:space="preserve">-2.58</w:t>
            </w:r>
          </w:p>
        </w:tc>
        <w:tc>
          <w:tcPr/>
          <w:p>
            <w:pPr>
              <w:pStyle w:val="Compact"/>
              <w:jc w:val="left"/>
            </w:pPr>
            <w:r>
              <w:t xml:space="preserve">1.00</w:t>
            </w:r>
          </w:p>
        </w:tc>
      </w:tr>
      <w:tr>
        <w:tc>
          <w:tcPr/>
          <w:p>
            <w:pPr>
              <w:pStyle w:val="Compact"/>
              <w:jc w:val="left"/>
            </w:pPr>
            <w:r>
              <w:t xml:space="preserve">Intercept[2]</w:t>
            </w:r>
          </w:p>
        </w:tc>
        <w:tc>
          <w:tcPr/>
          <w:p>
            <w:pPr>
              <w:pStyle w:val="Compact"/>
              <w:jc w:val="left"/>
            </w:pPr>
            <w:r>
              <w:t xml:space="preserve">-0.89</w:t>
            </w:r>
          </w:p>
        </w:tc>
        <w:tc>
          <w:tcPr/>
          <w:p>
            <w:pPr>
              <w:pStyle w:val="Compact"/>
              <w:jc w:val="left"/>
            </w:pPr>
            <w:r>
              <w:t xml:space="preserve">-2.49</w:t>
            </w:r>
          </w:p>
        </w:tc>
        <w:tc>
          <w:tcPr/>
          <w:p>
            <w:pPr>
              <w:pStyle w:val="Compact"/>
              <w:jc w:val="left"/>
            </w:pPr>
            <w:r>
              <w:t xml:space="preserve">0.71</w:t>
            </w:r>
          </w:p>
        </w:tc>
        <w:tc>
          <w:tcPr/>
          <w:p>
            <w:pPr>
              <w:pStyle w:val="Compact"/>
              <w:jc w:val="left"/>
            </w:pPr>
            <w:r>
              <w:t xml:space="preserve">0.87</w:t>
            </w:r>
          </w:p>
        </w:tc>
      </w:tr>
      <w:tr>
        <w:tc>
          <w:tcPr/>
          <w:p>
            <w:pPr>
              <w:pStyle w:val="Compact"/>
              <w:jc w:val="left"/>
            </w:pPr>
            <w:r>
              <w:t xml:space="preserve">refClassPercentage</w:t>
            </w:r>
          </w:p>
        </w:tc>
        <w:tc>
          <w:tcPr/>
          <w:p>
            <w:pPr>
              <w:pStyle w:val="Compact"/>
              <w:jc w:val="left"/>
            </w:pPr>
            <w:r>
              <w:t xml:space="preserve">1.44</w:t>
            </w:r>
          </w:p>
        </w:tc>
        <w:tc>
          <w:tcPr/>
          <w:p>
            <w:pPr>
              <w:pStyle w:val="Compact"/>
              <w:jc w:val="left"/>
            </w:pPr>
            <w:r>
              <w:t xml:space="preserve">0.07</w:t>
            </w:r>
          </w:p>
        </w:tc>
        <w:tc>
          <w:tcPr/>
          <w:p>
            <w:pPr>
              <w:pStyle w:val="Compact"/>
              <w:jc w:val="left"/>
            </w:pPr>
            <w:r>
              <w:t xml:space="preserve">2.88</w:t>
            </w:r>
          </w:p>
        </w:tc>
        <w:tc>
          <w:tcPr/>
          <w:p>
            <w:pPr>
              <w:pStyle w:val="Compact"/>
              <w:jc w:val="left"/>
            </w:pPr>
            <w:r>
              <w:t xml:space="preserve">0.98</w:t>
            </w:r>
          </w:p>
        </w:tc>
      </w:tr>
      <w:tr>
        <w:tc>
          <w:tcPr/>
          <w:p>
            <w:pPr>
              <w:pStyle w:val="Compact"/>
              <w:jc w:val="left"/>
            </w:pPr>
            <w:r>
              <w:t xml:space="preserve">refClassUSD</w:t>
            </w:r>
          </w:p>
        </w:tc>
        <w:tc>
          <w:tcPr/>
          <w:p>
            <w:pPr>
              <w:pStyle w:val="Compact"/>
              <w:jc w:val="left"/>
            </w:pPr>
            <w:r>
              <w:t xml:space="preserve">3.13</w:t>
            </w:r>
          </w:p>
        </w:tc>
        <w:tc>
          <w:tcPr/>
          <w:p>
            <w:pPr>
              <w:pStyle w:val="Compact"/>
              <w:jc w:val="left"/>
            </w:pPr>
            <w:r>
              <w:t xml:space="preserve">1.81</w:t>
            </w:r>
          </w:p>
        </w:tc>
        <w:tc>
          <w:tcPr/>
          <w:p>
            <w:pPr>
              <w:pStyle w:val="Compact"/>
              <w:jc w:val="left"/>
            </w:pPr>
            <w:r>
              <w:t xml:space="preserve">4.50</w:t>
            </w:r>
          </w:p>
        </w:tc>
        <w:tc>
          <w:tcPr/>
          <w:p>
            <w:pPr>
              <w:pStyle w:val="Compact"/>
              <w:jc w:val="left"/>
            </w:pPr>
            <w:r>
              <w:t xml:space="preserve">1.00</w:t>
            </w:r>
          </w:p>
        </w:tc>
      </w:tr>
      <w:tr>
        <w:tc>
          <w:tcPr/>
          <w:p>
            <w:pPr>
              <w:pStyle w:val="Compact"/>
              <w:jc w:val="left"/>
            </w:pPr>
            <w:r>
              <w:t xml:space="preserve">calcUsedCalculator</w:t>
            </w:r>
          </w:p>
        </w:tc>
        <w:tc>
          <w:tcPr/>
          <w:p>
            <w:pPr>
              <w:pStyle w:val="Compact"/>
              <w:jc w:val="left"/>
            </w:pPr>
            <w:r>
              <w:t xml:space="preserve">-3.30</w:t>
            </w:r>
          </w:p>
        </w:tc>
        <w:tc>
          <w:tcPr/>
          <w:p>
            <w:pPr>
              <w:pStyle w:val="Compact"/>
              <w:jc w:val="left"/>
            </w:pPr>
            <w:r>
              <w:t xml:space="preserve">-4.80</w:t>
            </w:r>
          </w:p>
        </w:tc>
        <w:tc>
          <w:tcPr/>
          <w:p>
            <w:pPr>
              <w:pStyle w:val="Compact"/>
              <w:jc w:val="left"/>
            </w:pPr>
            <w:r>
              <w:t xml:space="preserve">-1.92</w:t>
            </w:r>
          </w:p>
        </w:tc>
        <w:tc>
          <w:tcPr/>
          <w:p>
            <w:pPr>
              <w:pStyle w:val="Compact"/>
              <w:jc w:val="left"/>
            </w:pPr>
            <w:r>
              <w:t xml:space="preserve">1.00</w:t>
            </w:r>
          </w:p>
        </w:tc>
      </w:tr>
    </w:tbl>
    <w:bookmarkEnd w:id="59"/>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w:t>
      </w:r>
    </w:p>
    <w:p>
      <w:pPr>
        <w:pStyle w:val="BodyText"/>
      </w:pPr>
      <w:r>
        <w:t xml:space="preserve"> </w:t>
      </w:r>
    </w:p>
    <w:bookmarkStart w:id="60" w:name="tbl-s1-ord"/>
    <w:p>
      <w:pPr>
        <w:pStyle w:val="FigureTitle"/>
      </w:pPr>
      <w:r>
        <w:t xml:space="preserve">Table 4</w:t>
      </w:r>
    </w:p>
    <w:p>
      <w:pPr>
        <w:pStyle w:val="Caption"/>
      </w:pPr>
      <w:r>
        <w:rPr>
          <w:b/>
          <w:bCs/>
        </w:rPr>
        <w:t xml:space="preserve">Experiment 1</w:t>
      </w:r>
      <w:r>
        <w:t xml:space="preserve">: 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4.2</w:t>
            </w:r>
          </w:p>
        </w:tc>
        <w:tc>
          <w:tcPr/>
          <w:p>
            <w:pPr>
              <w:pStyle w:val="Compact"/>
              <w:jc w:val="left"/>
            </w:pPr>
            <w:r>
              <w:t xml:space="preserve">1.1</w:t>
            </w:r>
          </w:p>
        </w:tc>
        <w:tc>
          <w:tcPr/>
          <w:p>
            <w:pPr>
              <w:pStyle w:val="Compact"/>
              <w:jc w:val="left"/>
            </w:pPr>
            <w:r>
              <w:t xml:space="preserve">18</w:t>
            </w:r>
          </w:p>
        </w:tc>
      </w:tr>
      <w:tr>
        <w:tc>
          <w:tcPr/>
          <w:p>
            <w:pPr>
              <w:pStyle w:val="Compact"/>
              <w:jc w:val="left"/>
            </w:pPr>
            <w:r>
              <w:t xml:space="preserve">USD vs kWh</w:t>
            </w:r>
          </w:p>
        </w:tc>
        <w:tc>
          <w:tcPr/>
          <w:p>
            <w:pPr>
              <w:pStyle w:val="Compact"/>
              <w:jc w:val="left"/>
            </w:pPr>
            <w:r>
              <w:t xml:space="preserve">22.9</w:t>
            </w:r>
          </w:p>
        </w:tc>
        <w:tc>
          <w:tcPr/>
          <w:p>
            <w:pPr>
              <w:pStyle w:val="Compact"/>
              <w:jc w:val="left"/>
            </w:pPr>
            <w:r>
              <w:t xml:space="preserve">6.1</w:t>
            </w:r>
          </w:p>
        </w:tc>
        <w:tc>
          <w:tcPr/>
          <w:p>
            <w:pPr>
              <w:pStyle w:val="Compact"/>
              <w:jc w:val="left"/>
            </w:pPr>
            <w:r>
              <w:t xml:space="preserve">90</w:t>
            </w:r>
          </w:p>
        </w:tc>
      </w:tr>
    </w:tbl>
    <w:bookmarkEnd w:id="60"/>
    <w:p>
      <w:pPr>
        <w:pStyle w:val="FigureNote"/>
      </w:pPr>
      <w:r>
        <w:rPr>
          <w:i/>
          <w:iCs/>
        </w:rPr>
        <w:t xml:space="preserve">Note</w:t>
      </w:r>
      <w:r>
        <w:t xml:space="preserve">. Odds ratios greater than 1 indicate increased odds of falling into a worse accuracy category compared to the kWh condition</w:t>
      </w:r>
    </w:p>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bookmarkStart w:id="64" w:name="fig-s1-ppd"/>
    <w:p>
      <w:pPr>
        <w:pStyle w:val="FigureTitle"/>
      </w:pPr>
      <w:r>
        <w:t xml:space="preserve">Figure 3</w:t>
      </w:r>
    </w:p>
    <w:p>
      <w:pPr>
        <w:pStyle w:val="Caption"/>
      </w:pPr>
      <w:r>
        <w:t xml:space="preserve">Experiment 1: Posterior Predictive Check</w:t>
      </w:r>
    </w:p>
    <w:p>
      <w:pPr>
        <w:pStyle w:val="FigureWithNote"/>
      </w:pPr>
      <w:r>
        <w:drawing>
          <wp:inline>
            <wp:extent cx="5943600" cy="5943600"/>
            <wp:effectExtent b="0" l="0" r="0" t="0"/>
            <wp:docPr descr="" title="" id="62" name="Picture"/>
            <a:graphic>
              <a:graphicData uri="http://schemas.openxmlformats.org/drawingml/2006/picture">
                <pic:pic>
                  <pic:nvPicPr>
                    <pic:cNvPr descr="manuscript_files/figure-docx/fig-s1-ppd-1.png" id="63"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bookmarkEnd w:id="64"/>
    <w:p>
      <w:pPr>
        <w:pStyle w:val="FigureNote"/>
      </w:pPr>
      <w:r>
        <w:rPr>
          <w:i/>
          <w:iCs/>
        </w:rPr>
        <w:t xml:space="preserve">Note</w:t>
      </w:r>
      <w:r>
        <w:t xml:space="preserve">.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bookmarkStart w:id="68" w:name="fig-s1-els"/>
    <w:p>
      <w:pPr>
        <w:pStyle w:val="FigureTitle"/>
      </w:pPr>
      <w:r>
        <w:t xml:space="preserve">Figure 4</w:t>
      </w:r>
    </w:p>
    <w:p>
      <w:pPr>
        <w:pStyle w:val="Caption"/>
      </w:pPr>
      <w:r>
        <w:t xml:space="preserve">Experiment 1. Conditional effect of energy literacy on log absolute error</w:t>
      </w:r>
    </w:p>
    <w:p>
      <w:pPr>
        <w:pStyle w:val="FigureWithNote"/>
      </w:pPr>
      <w:r>
        <w:drawing>
          <wp:inline>
            <wp:extent cx="5943600" cy="5943600"/>
            <wp:effectExtent b="0" l="0" r="0" t="0"/>
            <wp:docPr descr="" title="" id="66" name="Picture"/>
            <a:graphic>
              <a:graphicData uri="http://schemas.openxmlformats.org/drawingml/2006/picture">
                <pic:pic>
                  <pic:nvPicPr>
                    <pic:cNvPr descr="manuscript_files/figure-docx/fig-s1-els-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w:t>
      </w:r>
      <w:hyperlink w:anchor="ref-dewatersEnergyLiteracySecondary2011">
        <w:r>
          <w:rPr>
            <w:rStyle w:val="Hyperlink"/>
          </w:rPr>
          <w:t xml:space="preserve">DeWaters &amp; Powers, 2011</w:t>
        </w:r>
      </w:hyperlink>
      <w:r>
        <w:t xml:space="preserve">)</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69"/>
    <w:bookmarkStart w:id="70"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70"/>
    <w:bookmarkEnd w:id="71"/>
    <w:bookmarkStart w:id="94" w:name="experiment-2"/>
    <w:p>
      <w:pPr>
        <w:pStyle w:val="Heading1"/>
      </w:pPr>
      <w:r>
        <w:t xml:space="preserve">Experiment 2</w:t>
      </w:r>
    </w:p>
    <w:bookmarkStart w:id="72" w:name="methods-1"/>
    <w:p>
      <w:pPr>
        <w:pStyle w:val="Heading2"/>
      </w:pPr>
      <w:r>
        <w:t xml:space="preserve">Methods</w:t>
      </w:r>
    </w:p>
    <w:p>
      <w:pPr>
        <w:pStyle w:val="FirstParagraph"/>
      </w:pPr>
      <w:r>
        <w:t xml:space="preserve">In Experiment 2, We recruited 206 participants from Amazon Mechanical Turk, but data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72"/>
    <w:bookmarkStart w:id="92" w:name="results-1"/>
    <w:p>
      <w:pPr>
        <w:pStyle w:val="Heading2"/>
      </w:pPr>
      <w:r>
        <w:t xml:space="preserve">Results</w:t>
      </w:r>
    </w:p>
    <w:bookmarkStart w:id="73" w:name="tbl-s2-agg"/>
    <w:p>
      <w:pPr>
        <w:pStyle w:val="FigureTitle"/>
      </w:pPr>
      <w:r>
        <w:t xml:space="preserve">Table 5</w:t>
      </w:r>
    </w:p>
    <w:p>
      <w:pPr>
        <w:pStyle w:val="Caption"/>
      </w:pPr>
      <w:r>
        <w:t xml:space="preserve">Experiment 2: Summary of planning accuracy by reference class</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pPr>
            <w:r>
              <w:t xml:space="preserve">Reference Class</w:t>
            </w:r>
          </w:p>
        </w:tc>
        <w:tc>
          <w:tcPr/>
          <w:p>
            <w:pPr>
              <w:pStyle w:val="Compact"/>
              <w:jc w:val="left"/>
            </w:pPr>
            <w:r>
              <w:t xml:space="preserve">% meeting goal (exact)</w:t>
            </w:r>
          </w:p>
        </w:tc>
        <w:tc>
          <w:tcPr/>
          <w:p>
            <w:pPr>
              <w:pStyle w:val="Compact"/>
              <w:jc w:val="left"/>
            </w:pPr>
            <w:r>
              <w:t xml:space="preserve">% meeting goal (close match)</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0.44</w:t>
            </w:r>
          </w:p>
        </w:tc>
        <w:tc>
          <w:tcPr/>
          <w:p>
            <w:pPr>
              <w:pStyle w:val="Compact"/>
              <w:jc w:val="left"/>
            </w:pPr>
            <w:r>
              <w:t xml:space="preserve">0.52</w:t>
            </w:r>
          </w:p>
        </w:tc>
        <w:tc>
          <w:tcPr/>
          <w:p>
            <w:pPr>
              <w:pStyle w:val="Compact"/>
              <w:jc w:val="left"/>
            </w:pPr>
            <w:r>
              <w:t xml:space="preserve">0.02</w:t>
            </w:r>
          </w:p>
        </w:tc>
        <w:tc>
          <w:tcPr/>
          <w:p>
            <w:pPr>
              <w:pStyle w:val="Compact"/>
              <w:jc w:val="left"/>
            </w:pPr>
            <w:r>
              <w:t xml:space="preserve">-3.9</w:t>
            </w:r>
          </w:p>
        </w:tc>
      </w:tr>
      <w:tr>
        <w:tc>
          <w:tcPr/>
          <w:p>
            <w:pPr>
              <w:pStyle w:val="Compact"/>
              <w:jc w:val="left"/>
            </w:pPr>
            <w:r>
              <w:t xml:space="preserve">Percentage</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0.06</w:t>
            </w:r>
          </w:p>
        </w:tc>
        <w:tc>
          <w:tcPr/>
          <w:p>
            <w:pPr>
              <w:pStyle w:val="Compact"/>
              <w:jc w:val="left"/>
            </w:pPr>
            <w:r>
              <w:t xml:space="preserve">-3.2</w:t>
            </w:r>
          </w:p>
        </w:tc>
      </w:tr>
      <w:tr>
        <w:tc>
          <w:tcPr/>
          <w:p>
            <w:pPr>
              <w:pStyle w:val="Compact"/>
              <w:jc w:val="left"/>
            </w:pPr>
            <w:r>
              <w:t xml:space="preserve">USD</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0.10</w:t>
            </w:r>
          </w:p>
        </w:tc>
        <w:tc>
          <w:tcPr/>
          <w:p>
            <w:pPr>
              <w:pStyle w:val="Compact"/>
              <w:jc w:val="left"/>
            </w:pPr>
            <w:r>
              <w:t xml:space="preserve">-2.4</w:t>
            </w:r>
          </w:p>
        </w:tc>
      </w:tr>
    </w:tbl>
    <w:bookmarkEnd w:id="73"/>
    <w:p>
      <w:pPr>
        <w:pStyle w:val="FigureNote"/>
      </w:pPr>
      <w:r>
        <w:rPr>
          <w:i/>
          <w:iCs/>
        </w:rPr>
        <w:t xml:space="preserve">Note</w:t>
      </w:r>
      <w:r>
        <w:t xml:space="preserve">. The table shows performance as both the % of trials where participants matched the goal, and the mean absolute error from the target reduction goal.</w:t>
      </w:r>
    </w:p>
    <w:bookmarkStart w:id="77" w:name="fig-s2-log-dist"/>
    <w:p>
      <w:pPr>
        <w:pStyle w:val="FigureTitle"/>
      </w:pPr>
      <w:r>
        <w:t xml:space="preserve">Figure 5</w:t>
      </w:r>
    </w:p>
    <w:p>
      <w:pPr>
        <w:pStyle w:val="Caption"/>
      </w:pPr>
      <w:r>
        <w:t xml:space="preserve">Experiment 2: Planning Error Distributions</w:t>
      </w:r>
    </w:p>
    <w:p>
      <w:pPr>
        <w:pStyle w:val="FigureWithNote"/>
      </w:pPr>
      <w:r>
        <w:drawing>
          <wp:inline>
            <wp:extent cx="5943600" cy="4322618"/>
            <wp:effectExtent b="0" l="0" r="0" t="0"/>
            <wp:docPr descr="" title="" id="75" name="Picture"/>
            <a:graphic>
              <a:graphicData uri="http://schemas.openxmlformats.org/drawingml/2006/picture">
                <pic:pic>
                  <pic:nvPicPr>
                    <pic:cNvPr descr="manuscript_files/figure-docx/fig-s2-log-dist-1.png" id="76" name="Picture"/>
                    <pic:cNvPicPr>
                      <a:picLocks noChangeArrowheads="1" noChangeAspect="1"/>
                    </pic:cNvPicPr>
                  </pic:nvPicPr>
                  <pic:blipFill>
                    <a:blip r:embed="rId74"/>
                    <a:stretch>
                      <a:fillRect/>
                    </a:stretch>
                  </pic:blipFill>
                  <pic:spPr bwMode="auto">
                    <a:xfrm>
                      <a:off x="0" y="0"/>
                      <a:ext cx="5943600" cy="4322618"/>
                    </a:xfrm>
                    <a:prstGeom prst="rect">
                      <a:avLst/>
                    </a:prstGeom>
                    <a:noFill/>
                    <a:ln w="9525">
                      <a:noFill/>
                      <a:headEnd/>
                      <a:tailEnd/>
                    </a:ln>
                  </pic:spPr>
                </pic:pic>
              </a:graphicData>
            </a:graphic>
          </wp:inline>
        </w:drawing>
      </w:r>
    </w:p>
    <w:bookmarkEnd w:id="77"/>
    <w:p>
      <w:pPr>
        <w:pStyle w:val="FigureNote"/>
      </w:pPr>
      <w:r>
        <w:rPr>
          <w:i/>
          <w:iCs/>
        </w:rPr>
        <w:t xml:space="preserve">Note</w:t>
      </w:r>
      <w:r>
        <w:t xml:space="preserve">.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Start w:id="78" w:name="tbl-s2-reg"/>
    <w:p>
      <w:pPr>
        <w:pStyle w:val="FigureTitle"/>
      </w:pPr>
      <w:r>
        <w:t xml:space="preserve">Table 6</w:t>
      </w:r>
    </w:p>
    <w:p>
      <w:pPr>
        <w:pStyle w:val="Caption"/>
      </w:pPr>
      <w:r>
        <w:rPr>
          <w:b/>
          <w:bCs/>
        </w:rPr>
        <w:t xml:space="preserve">Experiment 2.</w:t>
      </w:r>
      <w:r>
        <w:t xml:space="preserve"> </w:t>
      </w:r>
      <w:r>
        <w:t xml:space="preserve">Parameter estimates from the ordinal regression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-1.45</w:t>
            </w:r>
          </w:p>
        </w:tc>
        <w:tc>
          <w:tcPr/>
          <w:p>
            <w:pPr>
              <w:pStyle w:val="Compact"/>
              <w:jc w:val="left"/>
            </w:pPr>
            <w:r>
              <w:t xml:space="preserve">-2.85</w:t>
            </w:r>
          </w:p>
        </w:tc>
        <w:tc>
          <w:tcPr/>
          <w:p>
            <w:pPr>
              <w:pStyle w:val="Compact"/>
              <w:jc w:val="left"/>
            </w:pPr>
            <w:r>
              <w:t xml:space="preserve">-0.07</w:t>
            </w:r>
          </w:p>
        </w:tc>
        <w:tc>
          <w:tcPr/>
          <w:p>
            <w:pPr>
              <w:pStyle w:val="Compact"/>
              <w:jc w:val="left"/>
            </w:pPr>
            <w:r>
              <w:t xml:space="preserve">0.98</w:t>
            </w:r>
          </w:p>
        </w:tc>
      </w:tr>
      <w:tr>
        <w:tc>
          <w:tcPr/>
          <w:p>
            <w:pPr>
              <w:pStyle w:val="Compact"/>
              <w:jc w:val="left"/>
            </w:pPr>
            <w:r>
              <w:t xml:space="preserve">Intercept[2]</w:t>
            </w:r>
          </w:p>
        </w:tc>
        <w:tc>
          <w:tcPr/>
          <w:p>
            <w:pPr>
              <w:pStyle w:val="Compact"/>
              <w:jc w:val="left"/>
            </w:pPr>
            <w:r>
              <w:t xml:space="preserve">1.26</w:t>
            </w:r>
          </w:p>
        </w:tc>
        <w:tc>
          <w:tcPr/>
          <w:p>
            <w:pPr>
              <w:pStyle w:val="Compact"/>
              <w:jc w:val="left"/>
            </w:pPr>
            <w:r>
              <w:t xml:space="preserve">-0.09</w:t>
            </w:r>
          </w:p>
        </w:tc>
        <w:tc>
          <w:tcPr/>
          <w:p>
            <w:pPr>
              <w:pStyle w:val="Compact"/>
              <w:jc w:val="left"/>
            </w:pPr>
            <w:r>
              <w:t xml:space="preserve">2.65</w:t>
            </w:r>
          </w:p>
        </w:tc>
        <w:tc>
          <w:tcPr/>
          <w:p>
            <w:pPr>
              <w:pStyle w:val="Compact"/>
              <w:jc w:val="left"/>
            </w:pPr>
            <w:r>
              <w:t xml:space="preserve">0.97</w:t>
            </w:r>
          </w:p>
        </w:tc>
      </w:tr>
      <w:tr>
        <w:tc>
          <w:tcPr/>
          <w:p>
            <w:pPr>
              <w:pStyle w:val="Compact"/>
              <w:jc w:val="left"/>
            </w:pPr>
            <w:r>
              <w:t xml:space="preserve">refClassPercentage</w:t>
            </w:r>
          </w:p>
        </w:tc>
        <w:tc>
          <w:tcPr/>
          <w:p>
            <w:pPr>
              <w:pStyle w:val="Compact"/>
              <w:jc w:val="left"/>
            </w:pPr>
            <w:r>
              <w:t xml:space="preserve">1.02</w:t>
            </w:r>
          </w:p>
        </w:tc>
        <w:tc>
          <w:tcPr/>
          <w:p>
            <w:pPr>
              <w:pStyle w:val="Compact"/>
              <w:jc w:val="left"/>
            </w:pPr>
            <w:r>
              <w:t xml:space="preserve">-0.63</w:t>
            </w:r>
          </w:p>
        </w:tc>
        <w:tc>
          <w:tcPr/>
          <w:p>
            <w:pPr>
              <w:pStyle w:val="Compact"/>
              <w:jc w:val="left"/>
            </w:pPr>
            <w:r>
              <w:t xml:space="preserve">2.71</w:t>
            </w:r>
          </w:p>
        </w:tc>
        <w:tc>
          <w:tcPr/>
          <w:p>
            <w:pPr>
              <w:pStyle w:val="Compact"/>
              <w:jc w:val="left"/>
            </w:pPr>
            <w:r>
              <w:t xml:space="preserve">0.89</w:t>
            </w:r>
          </w:p>
        </w:tc>
      </w:tr>
      <w:tr>
        <w:tc>
          <w:tcPr/>
          <w:p>
            <w:pPr>
              <w:pStyle w:val="Compact"/>
              <w:jc w:val="left"/>
            </w:pPr>
            <w:r>
              <w:t xml:space="preserve">refClassUSD</w:t>
            </w:r>
          </w:p>
        </w:tc>
        <w:tc>
          <w:tcPr/>
          <w:p>
            <w:pPr>
              <w:pStyle w:val="Compact"/>
              <w:jc w:val="left"/>
            </w:pPr>
            <w:r>
              <w:t xml:space="preserve">2.27</w:t>
            </w:r>
          </w:p>
        </w:tc>
        <w:tc>
          <w:tcPr/>
          <w:p>
            <w:pPr>
              <w:pStyle w:val="Compact"/>
              <w:jc w:val="left"/>
            </w:pPr>
            <w:r>
              <w:t xml:space="preserve">0.53</w:t>
            </w:r>
          </w:p>
        </w:tc>
        <w:tc>
          <w:tcPr/>
          <w:p>
            <w:pPr>
              <w:pStyle w:val="Compact"/>
              <w:jc w:val="left"/>
            </w:pPr>
            <w:r>
              <w:t xml:space="preserve">3.98</w:t>
            </w:r>
          </w:p>
        </w:tc>
        <w:tc>
          <w:tcPr/>
          <w:p>
            <w:pPr>
              <w:pStyle w:val="Compact"/>
              <w:jc w:val="left"/>
            </w:pPr>
            <w:r>
              <w:t xml:space="preserve">0.99</w:t>
            </w:r>
          </w:p>
        </w:tc>
      </w:tr>
      <w:tr>
        <w:tc>
          <w:tcPr/>
          <w:p>
            <w:pPr>
              <w:pStyle w:val="Compact"/>
              <w:jc w:val="left"/>
            </w:pPr>
            <w:r>
              <w:t xml:space="preserve">calcNoCalculator</w:t>
            </w:r>
          </w:p>
        </w:tc>
        <w:tc>
          <w:tcPr/>
          <w:p>
            <w:pPr>
              <w:pStyle w:val="Compact"/>
              <w:jc w:val="left"/>
            </w:pPr>
            <w:r>
              <w:t xml:space="preserve">4.10</w:t>
            </w:r>
          </w:p>
        </w:tc>
        <w:tc>
          <w:tcPr/>
          <w:p>
            <w:pPr>
              <w:pStyle w:val="Compact"/>
              <w:jc w:val="left"/>
            </w:pPr>
            <w:r>
              <w:t xml:space="preserve">2.20</w:t>
            </w:r>
          </w:p>
        </w:tc>
        <w:tc>
          <w:tcPr/>
          <w:p>
            <w:pPr>
              <w:pStyle w:val="Compact"/>
              <w:jc w:val="left"/>
            </w:pPr>
            <w:r>
              <w:t xml:space="preserve">6.06</w:t>
            </w:r>
          </w:p>
        </w:tc>
        <w:tc>
          <w:tcPr/>
          <w:p>
            <w:pPr>
              <w:pStyle w:val="Compact"/>
              <w:jc w:val="left"/>
            </w:pPr>
            <w:r>
              <w:t xml:space="preserve">1.00</w:t>
            </w:r>
          </w:p>
        </w:tc>
      </w:tr>
      <w:tr>
        <w:tc>
          <w:tcPr/>
          <w:p>
            <w:pPr>
              <w:pStyle w:val="Compact"/>
              <w:jc w:val="left"/>
            </w:pPr>
            <w:r>
              <w:t xml:space="preserve">pct_goal15%</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0.04</w:t>
            </w:r>
          </w:p>
        </w:tc>
        <w:tc>
          <w:tcPr/>
          <w:p>
            <w:pPr>
              <w:pStyle w:val="Compact"/>
              <w:jc w:val="left"/>
            </w:pPr>
            <w:r>
              <w:t xml:space="preserve">0.96</w:t>
            </w:r>
          </w:p>
        </w:tc>
      </w:tr>
      <w:tr>
        <w:tc>
          <w:tcPr/>
          <w:p>
            <w:pPr>
              <w:pStyle w:val="Compact"/>
              <w:jc w:val="left"/>
            </w:pPr>
            <w:r>
              <w:t xml:space="preserve">roundedRounded</w:t>
            </w:r>
          </w:p>
        </w:tc>
        <w:tc>
          <w:tcPr/>
          <w:p>
            <w:pPr>
              <w:pStyle w:val="Compact"/>
              <w:jc w:val="left"/>
            </w:pPr>
            <w:r>
              <w:t xml:space="preserve">-0.53</w:t>
            </w:r>
          </w:p>
        </w:tc>
        <w:tc>
          <w:tcPr/>
          <w:p>
            <w:pPr>
              <w:pStyle w:val="Compact"/>
              <w:jc w:val="left"/>
            </w:pPr>
            <w:r>
              <w:t xml:space="preserve">-0.96</w:t>
            </w:r>
          </w:p>
        </w:tc>
        <w:tc>
          <w:tcPr/>
          <w:p>
            <w:pPr>
              <w:pStyle w:val="Compact"/>
              <w:jc w:val="left"/>
            </w:pPr>
            <w:r>
              <w:t xml:space="preserve">-0.11</w:t>
            </w:r>
          </w:p>
        </w:tc>
        <w:tc>
          <w:tcPr/>
          <w:p>
            <w:pPr>
              <w:pStyle w:val="Compact"/>
              <w:jc w:val="left"/>
            </w:pPr>
            <w:r>
              <w:t xml:space="preserve">0.99</w:t>
            </w:r>
          </w:p>
        </w:tc>
      </w:tr>
    </w:tbl>
    <w:bookmarkEnd w:id="78"/>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w:t>
      </w:r>
    </w:p>
    <w:p>
      <w:pPr>
        <w:pStyle w:val="BodyText"/>
      </w:pPr>
      <w:r>
        <w:t xml:space="preserve"> </w:t>
      </w:r>
    </w:p>
    <w:bookmarkStart w:id="79" w:name="tbl-s2-ord"/>
    <w:p>
      <w:pPr>
        <w:pStyle w:val="FigureTitle"/>
      </w:pPr>
      <w:r>
        <w:t xml:space="preserve">Table 7</w:t>
      </w:r>
    </w:p>
    <w:p>
      <w:pPr>
        <w:pStyle w:val="Caption"/>
      </w:pP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2.78</w:t>
            </w:r>
          </w:p>
        </w:tc>
        <w:tc>
          <w:tcPr/>
          <w:p>
            <w:pPr>
              <w:pStyle w:val="Compact"/>
              <w:jc w:val="left"/>
            </w:pPr>
            <w:r>
              <w:t xml:space="preserve">0.53</w:t>
            </w:r>
          </w:p>
        </w:tc>
        <w:tc>
          <w:tcPr/>
          <w:p>
            <w:pPr>
              <w:pStyle w:val="Compact"/>
              <w:jc w:val="left"/>
            </w:pPr>
            <w:r>
              <w:t xml:space="preserve">15.0</w:t>
            </w:r>
          </w:p>
        </w:tc>
      </w:tr>
      <w:tr>
        <w:tc>
          <w:tcPr/>
          <w:p>
            <w:pPr>
              <w:pStyle w:val="Compact"/>
              <w:jc w:val="left"/>
            </w:pPr>
            <w:r>
              <w:t xml:space="preserve">USD vs kWh</w:t>
            </w:r>
          </w:p>
        </w:tc>
        <w:tc>
          <w:tcPr/>
          <w:p>
            <w:pPr>
              <w:pStyle w:val="Compact"/>
              <w:jc w:val="left"/>
            </w:pPr>
            <w:r>
              <w:t xml:space="preserve">9.68</w:t>
            </w:r>
          </w:p>
        </w:tc>
        <w:tc>
          <w:tcPr/>
          <w:p>
            <w:pPr>
              <w:pStyle w:val="Compact"/>
              <w:jc w:val="left"/>
            </w:pPr>
            <w:r>
              <w:t xml:space="preserve">1.69</w:t>
            </w:r>
          </w:p>
        </w:tc>
        <w:tc>
          <w:tcPr/>
          <w:p>
            <w:pPr>
              <w:pStyle w:val="Compact"/>
              <w:jc w:val="left"/>
            </w:pPr>
            <w:r>
              <w:t xml:space="preserve">53.4</w:t>
            </w:r>
          </w:p>
        </w:tc>
      </w:tr>
      <w:tr>
        <w:tc>
          <w:tcPr/>
          <w:p>
            <w:pPr>
              <w:pStyle w:val="Compact"/>
              <w:jc w:val="left"/>
            </w:pPr>
            <w:r>
              <w:t xml:space="preserve">calcNoCalculator</w:t>
            </w:r>
          </w:p>
        </w:tc>
        <w:tc>
          <w:tcPr/>
          <w:p>
            <w:pPr>
              <w:pStyle w:val="Compact"/>
              <w:jc w:val="left"/>
            </w:pPr>
            <w:r>
              <w:t xml:space="preserve">60.37</w:t>
            </w:r>
          </w:p>
        </w:tc>
        <w:tc>
          <w:tcPr/>
          <w:p>
            <w:pPr>
              <w:pStyle w:val="Compact"/>
              <w:jc w:val="left"/>
            </w:pPr>
            <w:r>
              <w:t xml:space="preserve">9.02</w:t>
            </w:r>
          </w:p>
        </w:tc>
        <w:tc>
          <w:tcPr/>
          <w:p>
            <w:pPr>
              <w:pStyle w:val="Compact"/>
              <w:jc w:val="left"/>
            </w:pPr>
            <w:r>
              <w:t xml:space="preserve">426.4</w:t>
            </w:r>
          </w:p>
        </w:tc>
      </w:tr>
      <w:tr>
        <w:tc>
          <w:tcPr/>
          <w:p>
            <w:pPr>
              <w:pStyle w:val="Compact"/>
              <w:jc w:val="left"/>
            </w:pPr>
            <w:r>
              <w:t xml:space="preserve">15% Goal vs 10% Goal</w:t>
            </w:r>
          </w:p>
        </w:tc>
        <w:tc>
          <w:tcPr/>
          <w:p>
            <w:pPr>
              <w:pStyle w:val="Compact"/>
              <w:jc w:val="left"/>
            </w:pPr>
            <w:r>
              <w:t xml:space="preserve">0.68</w:t>
            </w:r>
          </w:p>
        </w:tc>
        <w:tc>
          <w:tcPr/>
          <w:p>
            <w:pPr>
              <w:pStyle w:val="Compact"/>
              <w:jc w:val="left"/>
            </w:pPr>
            <w:r>
              <w:t xml:space="preserve">0.44</w:t>
            </w:r>
          </w:p>
        </w:tc>
        <w:tc>
          <w:tcPr/>
          <w:p>
            <w:pPr>
              <w:pStyle w:val="Compact"/>
              <w:jc w:val="left"/>
            </w:pPr>
            <w:r>
              <w:t xml:space="preserve">1.0</w:t>
            </w:r>
          </w:p>
        </w:tc>
      </w:tr>
      <w:tr>
        <w:tc>
          <w:tcPr/>
          <w:p>
            <w:pPr>
              <w:pStyle w:val="Compact"/>
              <w:jc w:val="left"/>
            </w:pPr>
            <w:r>
              <w:t xml:space="preserve">Rounded vs Not</w:t>
            </w:r>
          </w:p>
        </w:tc>
        <w:tc>
          <w:tcPr/>
          <w:p>
            <w:pPr>
              <w:pStyle w:val="Compact"/>
              <w:jc w:val="left"/>
            </w:pPr>
            <w:r>
              <w:t xml:space="preserve">0.59</w:t>
            </w:r>
          </w:p>
        </w:tc>
        <w:tc>
          <w:tcPr/>
          <w:p>
            <w:pPr>
              <w:pStyle w:val="Compact"/>
              <w:jc w:val="left"/>
            </w:pPr>
            <w:r>
              <w:t xml:space="preserve">0.38</w:t>
            </w:r>
          </w:p>
        </w:tc>
        <w:tc>
          <w:tcPr/>
          <w:p>
            <w:pPr>
              <w:pStyle w:val="Compact"/>
              <w:jc w:val="left"/>
            </w:pPr>
            <w:r>
              <w:t xml:space="preserve">0.9</w:t>
            </w:r>
          </w:p>
        </w:tc>
      </w:tr>
    </w:tbl>
    <w:bookmarkEnd w:id="79"/>
    <w:p>
      <w:pPr>
        <w:pStyle w:val="FigureNote"/>
      </w:pPr>
      <w:r>
        <w:rPr>
          <w:i/>
          <w:iCs/>
        </w:rPr>
        <w:t xml:space="preserve">Note</w:t>
      </w:r>
      <w:r>
        <w:t xml:space="preserve">. Odds ratios greater than 1 indicate increased odds of falling into a worse accuracy category compared to the kWh condition</w:t>
      </w:r>
    </w:p>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bookmarkStart w:id="83" w:name="fig-s2-ame"/>
    <w:p>
      <w:pPr>
        <w:pStyle w:val="FigureTitle"/>
      </w:pPr>
      <w:r>
        <w:t xml:space="preserve">Figure 6</w:t>
      </w:r>
    </w:p>
    <w:p>
      <w:pPr>
        <w:pStyle w:val="Caption"/>
      </w:pPr>
      <w:r>
        <w:t xml:space="preserve">Experiment 2. Average marginal effects of reference class on accuracy levels</w:t>
      </w:r>
    </w:p>
    <w:p>
      <w:pPr>
        <w:pStyle w:val="FigureWithNote"/>
      </w:pPr>
      <w:r>
        <w:drawing>
          <wp:inline>
            <wp:extent cx="5943600" cy="4322618"/>
            <wp:effectExtent b="0" l="0" r="0" t="0"/>
            <wp:docPr descr="" title="" id="81" name="Picture"/>
            <a:graphic>
              <a:graphicData uri="http://schemas.openxmlformats.org/drawingml/2006/picture">
                <pic:pic>
                  <pic:nvPicPr>
                    <pic:cNvPr descr="manuscript_files/figure-docx/fig-s2-ame-1.png" id="82" name="Picture"/>
                    <pic:cNvPicPr>
                      <a:picLocks noChangeArrowheads="1" noChangeAspect="1"/>
                    </pic:cNvPicPr>
                  </pic:nvPicPr>
                  <pic:blipFill>
                    <a:blip r:embed="rId80"/>
                    <a:stretch>
                      <a:fillRect/>
                    </a:stretch>
                  </pic:blipFill>
                  <pic:spPr bwMode="auto">
                    <a:xfrm>
                      <a:off x="0" y="0"/>
                      <a:ext cx="5943600" cy="4322618"/>
                    </a:xfrm>
                    <a:prstGeom prst="rect">
                      <a:avLst/>
                    </a:prstGeom>
                    <a:noFill/>
                    <a:ln w="9525">
                      <a:noFill/>
                      <a:headEnd/>
                      <a:tailEnd/>
                    </a:ln>
                  </pic:spPr>
                </pic:pic>
              </a:graphicData>
            </a:graphic>
          </wp:inline>
        </w:drawing>
      </w:r>
    </w:p>
    <w:bookmarkEnd w:id="83"/>
    <w:p>
      <w:pPr>
        <w:pStyle w:val="FigureNote"/>
      </w:pPr>
      <w:r>
        <w:rPr>
          <w:i/>
          <w:iCs/>
        </w:rPr>
        <w:t xml:space="preserve">Note</w:t>
      </w:r>
      <w:r>
        <w:t xml:space="preserve">.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Start w:id="87" w:name="fig-s2-ppd"/>
    <w:p>
      <w:pPr>
        <w:pStyle w:val="FigureTitle"/>
      </w:pPr>
      <w:r>
        <w:t xml:space="preserve">Figure 7</w:t>
      </w:r>
    </w:p>
    <w:p>
      <w:pPr>
        <w:pStyle w:val="Caption"/>
      </w:pPr>
      <w:r>
        <w:t xml:space="preserve">Experiment 2. Posterior predictive check of the bayesian regression model</w:t>
      </w:r>
    </w:p>
    <w:p>
      <w:pPr>
        <w:pStyle w:val="FigureWithNote"/>
      </w:pPr>
      <w:r>
        <w:drawing>
          <wp:inline>
            <wp:extent cx="5943600" cy="5943600"/>
            <wp:effectExtent b="0" l="0" r="0" t="0"/>
            <wp:docPr descr="" title="" id="85" name="Picture"/>
            <a:graphic>
              <a:graphicData uri="http://schemas.openxmlformats.org/drawingml/2006/picture">
                <pic:pic>
                  <pic:nvPicPr>
                    <pic:cNvPr descr="manuscript_files/figure-docx/fig-s2-ppd-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The plot shows the observed and predicted frequencies of each accuracy level, faceted by reference class (kWh, Percentage, USD). The model provides a reasonable fit to the observed data, with the predicted proportions closely matching the observed frequencies.</w:t>
      </w:r>
    </w:p>
    <w:bookmarkStart w:id="91" w:name="fig-s2-els"/>
    <w:p>
      <w:pPr>
        <w:pStyle w:val="FigureTitle"/>
      </w:pPr>
      <w:r>
        <w:t xml:space="preserve">Figure 8</w:t>
      </w:r>
    </w:p>
    <w:p>
      <w:pPr>
        <w:pStyle w:val="Caption"/>
      </w:pPr>
      <w:r>
        <w:t xml:space="preserve">Experiment 2. Conditional effect of energy literacy on log absolute error</w:t>
      </w:r>
    </w:p>
    <w:p>
      <w:pPr>
        <w:pStyle w:val="FigureWithNote"/>
      </w:pPr>
      <w:r>
        <w:drawing>
          <wp:inline>
            <wp:extent cx="5943600" cy="5943600"/>
            <wp:effectExtent b="0" l="0" r="0" t="0"/>
            <wp:docPr descr="" title="" id="89" name="Picture"/>
            <a:graphic>
              <a:graphicData uri="http://schemas.openxmlformats.org/drawingml/2006/picture">
                <pic:pic>
                  <pic:nvPicPr>
                    <pic:cNvPr descr="manuscript_files/figure-docx/fig-s2-els-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bookmarkEnd w:id="91"/>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92"/>
    <w:bookmarkStart w:id="93"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93"/>
    <w:bookmarkEnd w:id="94"/>
    <w:bookmarkStart w:id="96"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w:t>
      </w:r>
      <w:r>
        <w:t xml:space="preserve"> </w:t>
      </w:r>
      <w:r>
        <w:t xml:space="preserve">(</w:t>
      </w:r>
      <w:hyperlink w:anchor="ref-attariPublicPerceptionsEnergy2010">
        <w:r>
          <w:rPr>
            <w:rStyle w:val="Hyperlink"/>
          </w:rPr>
          <w:t xml:space="preserve">Attari et al., 2010</w:t>
        </w:r>
      </w:hyperlink>
      <w:r>
        <w:t xml:space="preserve">;</w:t>
      </w:r>
      <w:r>
        <w:t xml:space="preserve"> </w:t>
      </w:r>
      <w:hyperlink w:anchor="X583a2aeb73133489b1bca7034fc4c88220fccdb">
        <w:r>
          <w:rPr>
            <w:rStyle w:val="Hyperlink"/>
          </w:rPr>
          <w:t xml:space="preserve">Canfield et al., 2017</w:t>
        </w:r>
      </w:hyperlink>
      <w:r>
        <w:t xml:space="preserve">)</w:t>
      </w:r>
    </w:p>
    <w:p>
      <w:pPr>
        <w:pStyle w:val="BodyText"/>
      </w:pPr>
      <w:r>
        <w:t xml:space="preserve">While prior research has suggested that consumers sometimes prefer monetary formats</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w:t>
      </w:r>
      <w:r>
        <w:t xml:space="preserve">or that monetary framing can improve appliance choices</w:t>
      </w:r>
      <w:r>
        <w:t xml:space="preserve"> </w:t>
      </w:r>
      <w:r>
        <w:t xml:space="preserve">(</w:t>
      </w:r>
      <w:hyperlink w:anchor="ref-blaschBoundedlyRationalConsumers2019">
        <w:r>
          <w:rPr>
            <w:rStyle w:val="Hyperlink"/>
          </w:rPr>
          <w:t xml:space="preserve">Blasch et al., 2019</w:t>
        </w:r>
      </w:hyperlink>
      <w:r>
        <w:t xml:space="preserve">)</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w:t>
      </w:r>
      <w:hyperlink w:anchor="ref-fisher100BiasEffects2022">
        <w:r>
          <w:rPr>
            <w:rStyle w:val="Hyperlink"/>
          </w:rPr>
          <w:t xml:space="preserve">Fisher &amp; Mormann, 2022</w:t>
        </w:r>
      </w:hyperlink>
      <w:r>
        <w:t xml:space="preserve">)</w:t>
      </w:r>
      <w:r>
        <w:t xml:space="preserve">. Research on consumer heuristics in energy judgments</w:t>
      </w:r>
      <w:r>
        <w:t xml:space="preserve"> </w:t>
      </w:r>
      <w:r>
        <w:t xml:space="preserve">(</w:t>
      </w:r>
      <w:hyperlink w:anchor="Xb1100beca2d010ddfe6cd55e590057ba1b04648">
        <w:r>
          <w:rPr>
            <w:rStyle w:val="Hyperlink"/>
          </w:rPr>
          <w:t xml:space="preserve">Van Den Broek &amp; Walker, 2019</w:t>
        </w:r>
      </w:hyperlink>
      <w:r>
        <w:t xml:space="preserve">)</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w:t>
      </w:r>
      <w:hyperlink w:anchor="ref-herberzKiloWhatDefault2020">
        <w:r>
          <w:rPr>
            <w:rStyle w:val="Hyperlink"/>
          </w:rPr>
          <w:t xml:space="preserve">Herberz et al., 2020</w:t>
        </w:r>
      </w:hyperlink>
      <w:r>
        <w:t xml:space="preserve">)</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pPr>
        <w:pStyle w:val="BodyText"/>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w:t>
      </w:r>
      <w:hyperlink w:anchor="X5af67f995b39de65510a4284ea565163ed449fb">
        <w:r>
          <w:rPr>
            <w:rStyle w:val="Hyperlink"/>
          </w:rPr>
          <w:t xml:space="preserve">Fischer, 2008</w:t>
        </w:r>
      </w:hyperlink>
      <w:r>
        <w:t xml:space="preserve">)</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w:t>
      </w:r>
      <w:hyperlink w:anchor="Xd44db9aff911e722b730a7e513225ab165d3721">
        <w:r>
          <w:rPr>
            <w:rStyle w:val="Hyperlink"/>
          </w:rPr>
          <w:t xml:space="preserve">Tonke, 2024</w:t>
        </w:r>
      </w:hyperlink>
      <w:r>
        <w:t xml:space="preserve">)</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pict>
          <v:rect style="width:0;height:1.5pt" o:hralign="center" o:hrstd="t" o:hr="t"/>
        </w:pict>
      </w:r>
    </w:p>
    <w:p>
      <w:pPr>
        <w:pStyle w:val="FirstParagraph"/>
      </w:pPr>
      <w:r>
        <w:t xml:space="preserve">Supplementary information and materials can be found online at</w:t>
      </w:r>
      <w:r>
        <w:t xml:space="preserve"> </w:t>
      </w:r>
      <w:hyperlink r:id="rId95">
        <w:r>
          <w:rPr>
            <w:rStyle w:val="Hyperlink"/>
          </w:rPr>
          <w:t xml:space="preserve">this website</w:t>
        </w:r>
      </w:hyperlink>
    </w:p>
    <w:p>
      <w:r>
        <w:br w:type="page"/>
      </w:r>
    </w:p>
    <w:bookmarkEnd w:id="96"/>
    <w:bookmarkStart w:id="140" w:name="references"/>
    <w:p>
      <w:pPr>
        <w:pStyle w:val="Heading1"/>
      </w:pPr>
      <w:r>
        <w:t xml:space="preserve">References</w:t>
      </w:r>
    </w:p>
    <w:bookmarkStart w:id="139" w:name="refs"/>
    <w:bookmarkStart w:id="98"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97">
        <w:r>
          <w:rPr>
            <w:rStyle w:val="Hyperlink"/>
          </w:rPr>
          <w:t xml:space="preserve">https://doi.org/10.1016/j.jenvp.2005.08.002</w:t>
        </w:r>
      </w:hyperlink>
    </w:p>
    <w:bookmarkEnd w:id="98"/>
    <w:bookmarkStart w:id="100"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99">
        <w:r>
          <w:rPr>
            <w:rStyle w:val="Hyperlink"/>
          </w:rPr>
          <w:t xml:space="preserve">https://doi.org/10.1073/pnas.1001509107</w:t>
        </w:r>
      </w:hyperlink>
    </w:p>
    <w:bookmarkEnd w:id="100"/>
    <w:bookmarkStart w:id="102"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101">
        <w:r>
          <w:rPr>
            <w:rStyle w:val="Hyperlink"/>
          </w:rPr>
          <w:t xml:space="preserve">https://doi.org/10.1038/s41560-020-0582-0</w:t>
        </w:r>
      </w:hyperlink>
    </w:p>
    <w:bookmarkEnd w:id="102"/>
    <w:bookmarkStart w:id="104"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103">
        <w:r>
          <w:rPr>
            <w:rStyle w:val="Hyperlink"/>
          </w:rPr>
          <w:t xml:space="preserve">https://doi.org/10.1016/j.reseneeco.2017.06.001</w:t>
        </w:r>
      </w:hyperlink>
    </w:p>
    <w:bookmarkEnd w:id="104"/>
    <w:bookmarkStart w:id="106"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5">
        <w:r>
          <w:rPr>
            <w:rStyle w:val="Hyperlink"/>
          </w:rPr>
          <w:t xml:space="preserve">https://doi.org/10.18637/jss.v080.i01</w:t>
        </w:r>
      </w:hyperlink>
    </w:p>
    <w:bookmarkEnd w:id="106"/>
    <w:bookmarkStart w:id="108"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107">
        <w:r>
          <w:rPr>
            <w:rStyle w:val="Hyperlink"/>
          </w:rPr>
          <w:t xml:space="preserve">https://doi.org/10.1080/13669877.2015.1121909</w:t>
        </w:r>
      </w:hyperlink>
    </w:p>
    <w:bookmarkEnd w:id="108"/>
    <w:bookmarkStart w:id="110"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109">
        <w:r>
          <w:rPr>
            <w:rStyle w:val="Hyperlink"/>
          </w:rPr>
          <w:t xml:space="preserve">https://doi.org/10.1016/j.enpol.2010.12.049</w:t>
        </w:r>
      </w:hyperlink>
    </w:p>
    <w:bookmarkEnd w:id="110"/>
    <w:bookmarkStart w:id="112"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111">
        <w:r>
          <w:rPr>
            <w:rStyle w:val="Hyperlink"/>
          </w:rPr>
          <w:t xml:space="preserve">https://doi.org/10.1007/s10311-023-01591-5</w:t>
        </w:r>
      </w:hyperlink>
    </w:p>
    <w:bookmarkEnd w:id="112"/>
    <w:bookmarkStart w:id="114"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113">
        <w:r>
          <w:rPr>
            <w:rStyle w:val="Hyperlink"/>
          </w:rPr>
          <w:t xml:space="preserve">https://doi.org/10.1007/s12053-008-9009-7</w:t>
        </w:r>
      </w:hyperlink>
    </w:p>
    <w:bookmarkEnd w:id="114"/>
    <w:bookmarkStart w:id="116"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115">
        <w:r>
          <w:rPr>
            <w:rStyle w:val="Hyperlink"/>
          </w:rPr>
          <w:t xml:space="preserve">https://doi.org/10.1093/jcr/ucac006</w:t>
        </w:r>
      </w:hyperlink>
    </w:p>
    <w:bookmarkEnd w:id="116"/>
    <w:bookmarkStart w:id="118"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117">
        <w:r>
          <w:rPr>
            <w:rStyle w:val="Hyperlink"/>
          </w:rPr>
          <w:t xml:space="preserve">https://doi.org/10.1136/bmj.327.7417.741</w:t>
        </w:r>
      </w:hyperlink>
    </w:p>
    <w:bookmarkEnd w:id="118"/>
    <w:bookmarkStart w:id="120"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119">
        <w:r>
          <w:rPr>
            <w:rStyle w:val="Hyperlink"/>
          </w:rPr>
          <w:t xml:space="preserve">https://doi.org/10.1002/cb.2051</w:t>
        </w:r>
      </w:hyperlink>
    </w:p>
    <w:bookmarkEnd w:id="120"/>
    <w:bookmarkStart w:id="122"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121">
        <w:r>
          <w:rPr>
            <w:rStyle w:val="Hyperlink"/>
          </w:rPr>
          <w:t xml:space="preserve">https://doi.org/10.1017/S1930297500008172</w:t>
        </w:r>
      </w:hyperlink>
    </w:p>
    <w:bookmarkEnd w:id="122"/>
    <w:bookmarkStart w:id="124"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23">
        <w:r>
          <w:rPr>
            <w:rStyle w:val="Hyperlink"/>
          </w:rPr>
          <w:t xml:space="preserve">https://doi.org/10.1016/j.enbuild.2010.10.010</w:t>
        </w:r>
      </w:hyperlink>
    </w:p>
    <w:bookmarkEnd w:id="124"/>
    <w:bookmarkStart w:id="126"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25">
        <w:r>
          <w:rPr>
            <w:rStyle w:val="Hyperlink"/>
          </w:rPr>
          <w:t xml:space="preserve">https://doi.org/10.1038/s41560-020-00763-9</w:t>
        </w:r>
      </w:hyperlink>
    </w:p>
    <w:bookmarkEnd w:id="126"/>
    <w:bookmarkStart w:id="128"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27">
        <w:r>
          <w:rPr>
            <w:rStyle w:val="Hyperlink"/>
          </w:rPr>
          <w:t xml:space="preserve">https://doi.org/10.1016/j.reseneeco.2020.101201</w:t>
        </w:r>
      </w:hyperlink>
    </w:p>
    <w:bookmarkEnd w:id="128"/>
    <w:bookmarkStart w:id="129"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29"/>
    <w:bookmarkStart w:id="130"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30"/>
    <w:bookmarkStart w:id="132"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31">
        <w:r>
          <w:rPr>
            <w:rStyle w:val="Hyperlink"/>
          </w:rPr>
          <w:t xml:space="preserve">https://doi.org/10.1016/j.jdeveco.2023.103202</w:t>
        </w:r>
      </w:hyperlink>
    </w:p>
    <w:bookmarkEnd w:id="132"/>
    <w:bookmarkStart w:id="134"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133">
        <w:r>
          <w:rPr>
            <w:rStyle w:val="Hyperlink"/>
          </w:rPr>
          <w:t xml:space="preserve">https://doi.org/10.1016/j.jenvp.2019.02.008</w:t>
        </w:r>
      </w:hyperlink>
    </w:p>
    <w:bookmarkEnd w:id="134"/>
    <w:bookmarkStart w:id="136"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35">
        <w:r>
          <w:rPr>
            <w:rStyle w:val="Hyperlink"/>
          </w:rPr>
          <w:t xml:space="preserve">https://doi.org/10.3389/fpsyg.2018.01833</w:t>
        </w:r>
      </w:hyperlink>
    </w:p>
    <w:bookmarkEnd w:id="136"/>
    <w:bookmarkStart w:id="138"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37">
        <w:r>
          <w:rPr>
            <w:rStyle w:val="Hyperlink"/>
          </w:rPr>
          <w:t xml:space="preserve">https://doi.org/10.21105/joss.01686</w:t>
        </w:r>
      </w:hyperlink>
    </w:p>
    <w:bookmarkEnd w:id="138"/>
    <w:bookmarkEnd w:id="139"/>
    <w:bookmarkEnd w:id="1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21" Target="media/rId21.sv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74" Target="media/rId74.png" /><Relationship Type="http://schemas.openxmlformats.org/officeDocument/2006/relationships/image" Id="rId84" Target="media/rId8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119" Target="https://doi.org/10.1002/cb.2051" TargetMode="External" /><Relationship Type="http://schemas.openxmlformats.org/officeDocument/2006/relationships/hyperlink" Id="rId111" Target="https://doi.org/10.1007/s10311-023-01591-5" TargetMode="External" /><Relationship Type="http://schemas.openxmlformats.org/officeDocument/2006/relationships/hyperlink" Id="rId113" Target="https://doi.org/10.1007/s12053-008-9009-7" TargetMode="External" /><Relationship Type="http://schemas.openxmlformats.org/officeDocument/2006/relationships/hyperlink" Id="rId123" Target="https://doi.org/10.1016/j.enbuild.2010.10.010" TargetMode="External" /><Relationship Type="http://schemas.openxmlformats.org/officeDocument/2006/relationships/hyperlink" Id="rId109" Target="https://doi.org/10.1016/j.enpol.2010.12.049" TargetMode="External" /><Relationship Type="http://schemas.openxmlformats.org/officeDocument/2006/relationships/hyperlink" Id="rId131" Target="https://doi.org/10.1016/j.jdeveco.2023.103202" TargetMode="External" /><Relationship Type="http://schemas.openxmlformats.org/officeDocument/2006/relationships/hyperlink" Id="rId97" Target="https://doi.org/10.1016/j.jenvp.2005.08.002" TargetMode="External" /><Relationship Type="http://schemas.openxmlformats.org/officeDocument/2006/relationships/hyperlink" Id="rId133" Target="https://doi.org/10.1016/j.jenvp.2019.02.008" TargetMode="External" /><Relationship Type="http://schemas.openxmlformats.org/officeDocument/2006/relationships/hyperlink" Id="rId103" Target="https://doi.org/10.1016/j.reseneeco.2017.06.001" TargetMode="External" /><Relationship Type="http://schemas.openxmlformats.org/officeDocument/2006/relationships/hyperlink" Id="rId127" Target="https://doi.org/10.1016/j.reseneeco.2020.101201" TargetMode="External" /><Relationship Type="http://schemas.openxmlformats.org/officeDocument/2006/relationships/hyperlink" Id="rId121" Target="https://doi.org/10.1017/S1930297500008172" TargetMode="External" /><Relationship Type="http://schemas.openxmlformats.org/officeDocument/2006/relationships/hyperlink" Id="rId125" Target="https://doi.org/10.1038/s41560-020-00763-9" TargetMode="External" /><Relationship Type="http://schemas.openxmlformats.org/officeDocument/2006/relationships/hyperlink" Id="rId101" Target="https://doi.org/10.1038/s41560-020-0582-0" TargetMode="External" /><Relationship Type="http://schemas.openxmlformats.org/officeDocument/2006/relationships/hyperlink" Id="rId99" Target="https://doi.org/10.1073/pnas.1001509107" TargetMode="External" /><Relationship Type="http://schemas.openxmlformats.org/officeDocument/2006/relationships/hyperlink" Id="rId107" Target="https://doi.org/10.1080/13669877.2015.1121909" TargetMode="External" /><Relationship Type="http://schemas.openxmlformats.org/officeDocument/2006/relationships/hyperlink" Id="rId115" Target="https://doi.org/10.1093/jcr/ucac006" TargetMode="External" /><Relationship Type="http://schemas.openxmlformats.org/officeDocument/2006/relationships/hyperlink" Id="rId117" Target="https://doi.org/10.1136/bmj.327.7417.741" TargetMode="External" /><Relationship Type="http://schemas.openxmlformats.org/officeDocument/2006/relationships/hyperlink" Id="rId105" Target="https://doi.org/10.18637/jss.v080.i01" TargetMode="External" /><Relationship Type="http://schemas.openxmlformats.org/officeDocument/2006/relationships/hyperlink" Id="rId137" Target="https://doi.org/10.21105/joss.01686" TargetMode="External" /><Relationship Type="http://schemas.openxmlformats.org/officeDocument/2006/relationships/hyperlink" Id="rId135" Target="https://doi.org/10.3389/fpsyg.2018.01833" TargetMode="External" /><Relationship Type="http://schemas.openxmlformats.org/officeDocument/2006/relationships/hyperlink" Id="rId95" Target="https://tegorman13.github.io/Representation_Study/manuscript/output/appendix.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cb.2051" TargetMode="External" /><Relationship Type="http://schemas.openxmlformats.org/officeDocument/2006/relationships/hyperlink" Id="rId111" Target="https://doi.org/10.1007/s10311-023-01591-5" TargetMode="External" /><Relationship Type="http://schemas.openxmlformats.org/officeDocument/2006/relationships/hyperlink" Id="rId113" Target="https://doi.org/10.1007/s12053-008-9009-7" TargetMode="External" /><Relationship Type="http://schemas.openxmlformats.org/officeDocument/2006/relationships/hyperlink" Id="rId123" Target="https://doi.org/10.1016/j.enbuild.2010.10.010" TargetMode="External" /><Relationship Type="http://schemas.openxmlformats.org/officeDocument/2006/relationships/hyperlink" Id="rId109" Target="https://doi.org/10.1016/j.enpol.2010.12.049" TargetMode="External" /><Relationship Type="http://schemas.openxmlformats.org/officeDocument/2006/relationships/hyperlink" Id="rId131" Target="https://doi.org/10.1016/j.jdeveco.2023.103202" TargetMode="External" /><Relationship Type="http://schemas.openxmlformats.org/officeDocument/2006/relationships/hyperlink" Id="rId97" Target="https://doi.org/10.1016/j.jenvp.2005.08.002" TargetMode="External" /><Relationship Type="http://schemas.openxmlformats.org/officeDocument/2006/relationships/hyperlink" Id="rId133" Target="https://doi.org/10.1016/j.jenvp.2019.02.008" TargetMode="External" /><Relationship Type="http://schemas.openxmlformats.org/officeDocument/2006/relationships/hyperlink" Id="rId103" Target="https://doi.org/10.1016/j.reseneeco.2017.06.001" TargetMode="External" /><Relationship Type="http://schemas.openxmlformats.org/officeDocument/2006/relationships/hyperlink" Id="rId127" Target="https://doi.org/10.1016/j.reseneeco.2020.101201" TargetMode="External" /><Relationship Type="http://schemas.openxmlformats.org/officeDocument/2006/relationships/hyperlink" Id="rId121" Target="https://doi.org/10.1017/S1930297500008172" TargetMode="External" /><Relationship Type="http://schemas.openxmlformats.org/officeDocument/2006/relationships/hyperlink" Id="rId125" Target="https://doi.org/10.1038/s41560-020-00763-9" TargetMode="External" /><Relationship Type="http://schemas.openxmlformats.org/officeDocument/2006/relationships/hyperlink" Id="rId101" Target="https://doi.org/10.1038/s41560-020-0582-0" TargetMode="External" /><Relationship Type="http://schemas.openxmlformats.org/officeDocument/2006/relationships/hyperlink" Id="rId99" Target="https://doi.org/10.1073/pnas.1001509107" TargetMode="External" /><Relationship Type="http://schemas.openxmlformats.org/officeDocument/2006/relationships/hyperlink" Id="rId107" Target="https://doi.org/10.1080/13669877.2015.1121909" TargetMode="External" /><Relationship Type="http://schemas.openxmlformats.org/officeDocument/2006/relationships/hyperlink" Id="rId115" Target="https://doi.org/10.1093/jcr/ucac006" TargetMode="External" /><Relationship Type="http://schemas.openxmlformats.org/officeDocument/2006/relationships/hyperlink" Id="rId117" Target="https://doi.org/10.1136/bmj.327.7417.741" TargetMode="External" /><Relationship Type="http://schemas.openxmlformats.org/officeDocument/2006/relationships/hyperlink" Id="rId105" Target="https://doi.org/10.18637/jss.v080.i01" TargetMode="External" /><Relationship Type="http://schemas.openxmlformats.org/officeDocument/2006/relationships/hyperlink" Id="rId137" Target="https://doi.org/10.21105/joss.01686" TargetMode="External" /><Relationship Type="http://schemas.openxmlformats.org/officeDocument/2006/relationships/hyperlink" Id="rId135" Target="https://doi.org/10.3389/fpsyg.2018.01833" TargetMode="External" /><Relationship Type="http://schemas.openxmlformats.org/officeDocument/2006/relationships/hyperlink" Id="rId95" Target="https://tegorman13.github.io/Representation_Study/manuscript/output/ap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HOW INFORMATION FORMAT AFFECTS ACCURACY</dc:description>
  <cp:keywords>Information format, Energy literacy, Decision-making, Planning</cp:keywords>
  <dcterms:created xsi:type="dcterms:W3CDTF">2025-01-25T16:13:24Z</dcterms:created>
  <dcterms:modified xsi:type="dcterms:W3CDTF">2025-01-25T16:13:24Z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2025-01-25</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HOW INFORMATION FORMAT AFFECTS ACCURACY</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