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37.png" ContentType="image/png"/>
  <Override PartName="/word/media/rId43.png" ContentType="image/png"/>
  <Override PartName="/word/media/rId75.png" ContentType="image/png"/>
  <Override PartName="/word/media/rId79.png" ContentType="image/png"/>
  <Override PartName="/word/media/rId83.png" ContentType="image/png"/>
  <Override PartName="/word/media/rId53.png" ContentType="image/png"/>
  <Override PartName="/word/media/rId58.png" ContentType="image/png"/>
  <Override PartName="/word/media/rId63.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w:t>
      </w:r>
    </w:p>
    <w:p>
      <w:pPr>
        <w:pStyle w:val="BodyText"/>
      </w:pPr>
      <w:r>
        <w:t xml:space="preserve">The concept of cognitive fit posits that performance improves when the information presentation format aligns with the task requirements</w:t>
      </w:r>
      <w:r>
        <w:t xml:space="preserve"> </w:t>
      </w:r>
      <w:r>
        <w:t xml:space="preserve">(Vessey, 1991)</w:t>
      </w:r>
      <w:r>
        <w:t xml:space="preserve">, and that such an alignment can reduce cognitive load and enhance accuracy in planning</w:t>
      </w:r>
      <w:r>
        <w:t xml:space="preserve"> </w:t>
      </w:r>
      <w:r>
        <w:t xml:space="preserve">(Shah &amp; Freedman, 2011)</w:t>
      </w:r>
      <w:r>
        <w:t xml:space="preserve">. For instance, tables are generally more effective than graphs for conveying specific electricity usage data because they facilitate straightforward point reading</w:t>
      </w:r>
      <w:r>
        <w:t xml:space="preserve"> </w:t>
      </w:r>
      <w:r>
        <w:t xml:space="preserve">(Canfield et al., 2017)</w:t>
      </w:r>
      <w:r>
        <w:t xml:space="preserve">. However, the effectiveness of the format varies with the type of information and individual differences, such as energy literacy, which significantly impacts comprehension and conservation intent. Moreover, the unit in which numerical information is presented influences how decision-makers evaluate and choose between options, with default units increasing value sensitivity</w:t>
      </w:r>
      <w:r>
        <w:t xml:space="preserve"> </w:t>
      </w:r>
      <w:r>
        <w:t xml:space="preserve">(Herberz et al., 2020)</w:t>
      </w:r>
      <w:r>
        <w:t xml:space="preserve">. In the context of energy, presenting information in terms of multiple translations can increase preference for options aligned with activated objectives, such as pro-environmental values</w:t>
      </w:r>
      <w:r>
        <w:t xml:space="preserve"> </w:t>
      </w:r>
      <w:r>
        <w:t xml:space="preserve">(Ungemach et al., 2018)</w:t>
      </w:r>
      <w:r>
        <w:t xml:space="preserve">. Furthermore, mental accounting mechanisms, where individuals create mental budgets linking specific consumption acts to specific payments, significantly impact energy decisions and behaviors</w:t>
      </w:r>
      <w:r>
        <w:t xml:space="preserve"> </w:t>
      </w:r>
      <w:r>
        <w:t xml:space="preserve">(Hahnel et al., 2020)</w:t>
      </w:r>
      <w:r>
        <w:t xml:space="preserve">.</w:t>
      </w:r>
    </w:p>
    <w:p>
      <w:pPr>
        <w:pStyle w:val="BodyText"/>
      </w:pPr>
      <w:r>
        <w:t xml:space="preserve">Evidence from research on energy consumption feedback, normative comparisons, and eco-feedback platforms suggests that comprehensible and contextually meaningful data presentations can improve users’ ability to plan reductions, especially when these formats are integrated into daily routines</w:t>
      </w:r>
      <w:r>
        <w:t xml:space="preserve"> </w:t>
      </w:r>
      <w:r>
        <w:t xml:space="preserve">(Canfield et al., 2017; Fischer, 2008; Kim et al., 2022; Schwartz et al., 2015)</w:t>
      </w:r>
      <w:r>
        <w:t xml:space="preserve">. Furthermore, temporal and monetary frames have been shown to alter decision quality, with monthly costs or absolute consumption levels often encouraging more energy-efficient intentions than abstract annual or percentage-based metrics</w:t>
      </w:r>
      <w:r>
        <w:t xml:space="preserve"> </w:t>
      </w:r>
      <w:r>
        <w:t xml:space="preserve">(Gill et al., 2022; Larrick &amp; Soll, 2008)</w:t>
      </w:r>
      <w:r>
        <w:t xml:space="preserve">. In this context, tailoring reference classes to align with intuitive cognitive processes can help bridge the gap between aggregate reduction goals and targeted, appliance-specific conservation strategies.</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Addressing this gap is crucial for developing effective interventions that promote energy conservation behaviors.</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50"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29"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and other appliances (e.g., TV, lighting).</w:t>
      </w:r>
    </w:p>
    <w:p>
      <w:pPr>
        <w:pStyle w:val="BodyText"/>
      </w:pPr>
      <w:r>
        <w:t xml:space="preserve">For each family scenario, the participants were shown a table containing the families utility usage from the prior year, alongside the state averages for each appliance category (both prior year usage and stage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3954517"/>
                  <wp:effectExtent b="0" l="0" r="0" t="0"/>
                  <wp:docPr descr="" title="" id="26" name="Picture"/>
                  <a:graphic>
                    <a:graphicData uri="http://schemas.openxmlformats.org/drawingml/2006/picture">
                      <pic:pic>
                        <pic:nvPicPr>
                          <pic:cNvPr descr="./assets/images/Smith_10R_Wells_15E.png" id="27" name="Picture"/>
                          <pic:cNvPicPr>
                            <a:picLocks noChangeArrowheads="1" noChangeAspect="1"/>
                          </pic:cNvPicPr>
                        </pic:nvPicPr>
                        <pic:blipFill>
                          <a:blip r:embed="rId25"/>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trial in the energy planning task. Participants are shown the prior year electricity use of a household, and are tasked with creating a plan for the next year that will meet the energy reduction goal. Study 1 manipulates the format of the reduction goal to be either a percentage (15% given as goal reduction), kilowatt hours (5965 kWh given), or USD ($656)</w:t>
            </w:r>
          </w:p>
          <w:bookmarkEnd w:id="28"/>
        </w:tc>
      </w:tr>
    </w:tbl>
    <w:p>
      <w:pPr>
        <w:pStyle w:val="BodyText"/>
      </w:pPr>
      <w:r>
        <w:t xml:space="preserve">Additional data collected included:</w:t>
      </w:r>
    </w:p>
    <w:p>
      <w:pPr>
        <w:pStyle w:val="Compact"/>
        <w:numPr>
          <w:ilvl w:val="0"/>
          <w:numId w:val="1002"/>
        </w:numPr>
      </w:pPr>
      <w:r>
        <w:rPr>
          <w:b/>
          <w:bCs/>
        </w:rPr>
        <w:t xml:space="preserve">Energy Literacy Quiz</w:t>
      </w:r>
      <w:r>
        <w:t xml:space="preserve">: An 8-item questionnaire assessing participants’ knowledge of energy consumption and conversion.</w:t>
      </w:r>
    </w:p>
    <w:p>
      <w:pPr>
        <w:pStyle w:val="Compact"/>
        <w:numPr>
          <w:ilvl w:val="0"/>
          <w:numId w:val="1002"/>
        </w:numPr>
      </w:pPr>
      <w:r>
        <w:rPr>
          <w:b/>
          <w:bCs/>
        </w:rPr>
        <w:t xml:space="preserve">Calculator Usage Tracking</w:t>
      </w:r>
      <w:r>
        <w:t xml:space="preserve">: Questions determined whether participants used a calculator, paper/pen, or other methods to complete the tasks.</w:t>
      </w:r>
    </w:p>
    <w:p>
      <w:pPr>
        <w:pStyle w:val="Compact"/>
        <w:numPr>
          <w:ilvl w:val="0"/>
          <w:numId w:val="1002"/>
        </w:numPr>
      </w:pPr>
      <w:r>
        <w:rPr>
          <w:b/>
          <w:bCs/>
        </w:rPr>
        <w:t xml:space="preserve">Demographic Survey</w:t>
      </w:r>
      <w:r>
        <w:t xml:space="preserve">: Collected information on gender, age, income, education, employment status, and state of residence.</w:t>
      </w:r>
    </w:p>
    <w:p>
      <w:pPr>
        <w:pStyle w:val="Compact"/>
        <w:numPr>
          <w:ilvl w:val="0"/>
          <w:numId w:val="1002"/>
        </w:numPr>
      </w:pPr>
      <w:r>
        <w:rPr>
          <w:b/>
          <w:bCs/>
        </w:rPr>
        <w:t xml:space="preserve">Environmental Attitudes Survey</w:t>
      </w:r>
      <w:r>
        <w:t xml:space="preserve">: Assessed participants’ pro-environmental attitudes and perceived importance of energy conservation.</w:t>
      </w:r>
    </w:p>
    <w:bookmarkEnd w:id="29"/>
    <w:bookmarkEnd w:id="30"/>
    <w:bookmarkStart w:id="48" w:name="results"/>
    <w:p>
      <w:pPr>
        <w:pStyle w:val="Heading2"/>
      </w:pPr>
      <w:r>
        <w:t xml:space="preserve">Results</w:t>
      </w:r>
    </w:p>
    <w:bookmarkStart w:id="47"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334000" cy="3879272"/>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Study 1: Distribution of log absolute error by reference class.</w:t>
            </w:r>
          </w:p>
          <w:bookmarkEnd w:id="35"/>
        </w:tc>
      </w:tr>
    </w:tbl>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37.5%</w:t>
                  </w:r>
                </w:p>
              </w:tc>
              <w:tc>
                <w:tcPr/>
                <w:p>
                  <w:pPr>
                    <w:pStyle w:val="Compact"/>
                    <w:jc w:val="left"/>
                    <w:jc w:val="center"/>
                  </w:pPr>
                  <w:r>
                    <w:t xml:space="preserve">22.1%</w:t>
                  </w:r>
                </w:p>
              </w:tc>
              <w:tc>
                <w:tcPr/>
                <w:p>
                  <w:pPr>
                    <w:pStyle w:val="Compact"/>
                    <w:jc w:val="left"/>
                    <w:jc w:val="center"/>
                  </w:pPr>
                  <w:r>
                    <w:t xml:space="preserve">9.8%</w:t>
                  </w:r>
                </w:p>
              </w:tc>
              <w:tc>
                <w:tcPr/>
                <w:p>
                  <w:pPr>
                    <w:pStyle w:val="Compact"/>
                    <w:jc w:val="left"/>
                    <w:jc w:val="center"/>
                  </w:pPr>
                  <w:r>
                    <w:t xml:space="preserve">22.6%</w:t>
                  </w:r>
                </w:p>
              </w:tc>
            </w:tr>
            <w:tr>
              <w:tc>
                <w:tcPr/>
                <w:p>
                  <w:pPr>
                    <w:pStyle w:val="Compact"/>
                    <w:jc w:val="left"/>
                    <w:jc w:val="center"/>
                  </w:pPr>
                  <w:r>
                    <w:t xml:space="preserve">0.01-2% error</w:t>
                  </w:r>
                </w:p>
              </w:tc>
              <w:tc>
                <w:tcPr/>
                <w:p>
                  <w:pPr>
                    <w:pStyle w:val="Compact"/>
                    <w:jc w:val="left"/>
                    <w:jc w:val="center"/>
                  </w:pPr>
                  <w:r>
                    <w:t xml:space="preserve">15.1%</w:t>
                  </w:r>
                </w:p>
              </w:tc>
              <w:tc>
                <w:tcPr/>
                <w:p>
                  <w:pPr>
                    <w:pStyle w:val="Compact"/>
                    <w:jc w:val="left"/>
                    <w:jc w:val="center"/>
                  </w:pPr>
                  <w:r>
                    <w:t xml:space="preserve">17.6%</w:t>
                  </w:r>
                </w:p>
              </w:tc>
              <w:tc>
                <w:tcPr/>
                <w:p>
                  <w:pPr>
                    <w:pStyle w:val="Compact"/>
                    <w:jc w:val="left"/>
                    <w:jc w:val="center"/>
                  </w:pPr>
                  <w:r>
                    <w:t xml:space="preserve">11.2%</w:t>
                  </w:r>
                </w:p>
              </w:tc>
              <w:tc>
                <w:tcPr/>
                <w:p>
                  <w:pPr>
                    <w:pStyle w:val="Compact"/>
                    <w:jc w:val="left"/>
                    <w:jc w:val="center"/>
                  </w:pPr>
                  <w:r>
                    <w:t xml:space="preserve">14.4%</w:t>
                  </w:r>
                </w:p>
              </w:tc>
            </w:tr>
            <w:tr>
              <w:tc>
                <w:tcPr/>
                <w:p>
                  <w:pPr>
                    <w:pStyle w:val="Compact"/>
                    <w:jc w:val="left"/>
                    <w:jc w:val="center"/>
                  </w:pPr>
                  <w:r>
                    <w:t xml:space="preserve">2.01-15% error</w:t>
                  </w:r>
                </w:p>
              </w:tc>
              <w:tc>
                <w:tcPr/>
                <w:p>
                  <w:pPr>
                    <w:pStyle w:val="Compact"/>
                    <w:jc w:val="left"/>
                    <w:jc w:val="center"/>
                  </w:pPr>
                  <w:r>
                    <w:t xml:space="preserve">27.6%</w:t>
                  </w:r>
                </w:p>
              </w:tc>
              <w:tc>
                <w:tcPr/>
                <w:p>
                  <w:pPr>
                    <w:pStyle w:val="Compact"/>
                    <w:jc w:val="left"/>
                    <w:jc w:val="center"/>
                  </w:pPr>
                  <w:r>
                    <w:t xml:space="preserve">43.4%</w:t>
                  </w:r>
                </w:p>
              </w:tc>
              <w:tc>
                <w:tcPr/>
                <w:p>
                  <w:pPr>
                    <w:pStyle w:val="Compact"/>
                    <w:jc w:val="left"/>
                    <w:jc w:val="center"/>
                  </w:pPr>
                  <w:r>
                    <w:t xml:space="preserve">49.2%</w:t>
                  </w:r>
                </w:p>
              </w:tc>
              <w:tc>
                <w:tcPr/>
                <w:p>
                  <w:pPr>
                    <w:pStyle w:val="Compact"/>
                    <w:jc w:val="left"/>
                    <w:jc w:val="center"/>
                  </w:pPr>
                  <w:r>
                    <w:t xml:space="preserve">40.3%</w:t>
                  </w:r>
                </w:p>
              </w:tc>
            </w:tr>
            <w:tr>
              <w:tc>
                <w:tcPr/>
                <w:p>
                  <w:pPr>
                    <w:pStyle w:val="Compact"/>
                    <w:jc w:val="left"/>
                    <w:jc w:val="center"/>
                  </w:pPr>
                  <w:r>
                    <w:t xml:space="preserve">Over 15% error</w:t>
                  </w:r>
                </w:p>
              </w:tc>
              <w:tc>
                <w:tcPr/>
                <w:p>
                  <w:pPr>
                    <w:pStyle w:val="Compact"/>
                    <w:jc w:val="left"/>
                    <w:jc w:val="center"/>
                  </w:pPr>
                  <w:r>
                    <w:t xml:space="preserve">19.9%</w:t>
                  </w:r>
                </w:p>
              </w:tc>
              <w:tc>
                <w:tcPr/>
                <w:p>
                  <w:pPr>
                    <w:pStyle w:val="Compact"/>
                    <w:jc w:val="left"/>
                    <w:jc w:val="center"/>
                  </w:pPr>
                  <w:r>
                    <w:t xml:space="preserve">16.9%</w:t>
                  </w:r>
                </w:p>
              </w:tc>
              <w:tc>
                <w:tcPr/>
                <w:p>
                  <w:pPr>
                    <w:pStyle w:val="Compact"/>
                    <w:jc w:val="left"/>
                    <w:jc w:val="center"/>
                  </w:pPr>
                  <w:r>
                    <w:t xml:space="preserve">29.8%</w:t>
                  </w:r>
                </w:p>
              </w:tc>
              <w:tc>
                <w:tcPr/>
                <w:p>
                  <w:pPr>
                    <w:pStyle w:val="Compact"/>
                    <w:jc w:val="left"/>
                    <w:jc w:val="center"/>
                  </w:pPr>
                  <w:r>
                    <w:t xml:space="preserve">22.8%</w:t>
                  </w:r>
                </w:p>
              </w:tc>
            </w:tr>
          </w:tbl>
          <w:bookmarkEnd w:id="36"/>
          <w:p/>
        </w:tc>
      </w:tr>
    </w:tbl>
    <w:tbl>
      <w:tblPr>
        <w:tblStyle w:val="Table"/>
        <w:tblW w:type="pct" w:w="5000"/>
        <w:tblLayout w:type="fixed"/>
        <w:tblLook w:firstRow="0" w:lastRow="0" w:firstColumn="0" w:lastColumn="0" w:noHBand="0" w:noVBand="0" w:val="0000"/>
      </w:tblPr>
      <w:tblGrid>
        <w:gridCol w:w="7920"/>
      </w:tblGrid>
      <w:tr>
        <w:tc>
          <w:tcPr/>
          <w:bookmarkStart w:id="40" w:name="fig-s1-plot"/>
          <w:p>
            <w:pPr>
              <w:pStyle w:val="Compact"/>
              <w:jc w:val="center"/>
            </w:pPr>
            <w:r>
              <w:drawing>
                <wp:inline>
                  <wp:extent cx="5334000" cy="4267200"/>
                  <wp:effectExtent b="0" l="0" r="0" t="0"/>
                  <wp:docPr descr="" title="" id="38" name="Picture"/>
                  <a:graphic>
                    <a:graphicData uri="http://schemas.openxmlformats.org/drawingml/2006/picture">
                      <pic:pic>
                        <pic:nvPicPr>
                          <pic:cNvPr descr="manuscript_files/figure-docx/fig-s1-plot-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Study 1: Proportion of participants in each accuracy level, colored by reference class. A larger % of participants in the Exact Match, or 0.01-2% error bins indicates better performance.</w:t>
            </w:r>
          </w:p>
          <w:bookmarkEnd w:id="40"/>
        </w:tc>
      </w:tr>
    </w:tbl>
    <w:p>
      <w:pPr>
        <w:pStyle w:val="BodyText"/>
      </w:pPr>
      <w:r>
        <w:t xml:space="preserve">We next categorized responses into four accuracy levels (exact match [0% error], minor deviations [0.01–2%], moderate deviations [2.01–15%], and major deviations [&gt;15%])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w:t>
      </w:r>
    </w:p>
    <w:tbl>
      <w:tblPr>
        <w:tblStyle w:val="Table"/>
        <w:tblW w:type="pct" w:w="5000"/>
        <w:tblLayout w:type="fixed"/>
        <w:tblLook w:firstRow="0" w:lastRow="0" w:firstColumn="0" w:lastColumn="0" w:noHBand="0" w:noVBand="0" w:val="0000"/>
      </w:tblPr>
      <w:tblGrid>
        <w:gridCol w:w="7920"/>
      </w:tblGrid>
      <w:tr>
        <w:tc>
          <w:tcPr/>
          <w:bookmarkStart w:id="41"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-3.8</w:t>
                  </w:r>
                </w:p>
              </w:tc>
              <w:tc>
                <w:tcPr/>
                <w:p>
                  <w:pPr>
                    <w:pStyle w:val="Compact"/>
                    <w:jc w:val="left"/>
                    <w:jc w:val="center"/>
                  </w:pPr>
                  <w:r>
                    <w:t xml:space="preserve">-5.45</w:t>
                  </w:r>
                </w:p>
              </w:tc>
              <w:tc>
                <w:tcPr/>
                <w:p>
                  <w:pPr>
                    <w:pStyle w:val="Compact"/>
                    <w:jc w:val="left"/>
                    <w:jc w:val="center"/>
                  </w:pPr>
                  <w:r>
                    <w:t xml:space="preserve">-2.28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-1.7</w:t>
                  </w:r>
                </w:p>
              </w:tc>
              <w:tc>
                <w:tcPr/>
                <w:p>
                  <w:pPr>
                    <w:pStyle w:val="Compact"/>
                    <w:jc w:val="left"/>
                    <w:jc w:val="center"/>
                  </w:pPr>
                  <w:r>
                    <w:t xml:space="preserve">-3.29</w:t>
                  </w:r>
                </w:p>
              </w:tc>
              <w:tc>
                <w:tcPr/>
                <w:p>
                  <w:pPr>
                    <w:pStyle w:val="Compact"/>
                    <w:jc w:val="left"/>
                    <w:jc w:val="center"/>
                  </w:pPr>
                  <w:r>
                    <w:t xml:space="preserve">-0.15</w:t>
                  </w:r>
                </w:p>
              </w:tc>
              <w:tc>
                <w:tcPr/>
                <w:p>
                  <w:pPr>
                    <w:pStyle w:val="Compact"/>
                    <w:jc w:val="left"/>
                    <w:jc w:val="center"/>
                  </w:pPr>
                  <w:r>
                    <w:t xml:space="preserve">0.98</w:t>
                  </w:r>
                </w:p>
              </w:tc>
            </w:tr>
            <w:tr>
              <w:tc>
                <w:tcPr/>
                <w:p>
                  <w:pPr>
                    <w:pStyle w:val="Compact"/>
                    <w:jc w:val="left"/>
                    <w:jc w:val="center"/>
                  </w:pPr>
                  <w:r>
                    <w:t xml:space="preserve">Intercept[3]</w:t>
                  </w:r>
                </w:p>
              </w:tc>
              <w:tc>
                <w:tcPr/>
                <w:p>
                  <w:pPr>
                    <w:pStyle w:val="Compact"/>
                    <w:jc w:val="left"/>
                    <w:jc w:val="center"/>
                  </w:pPr>
                  <w:r>
                    <w:t xml:space="preserve">2.8</w:t>
                  </w:r>
                </w:p>
              </w:tc>
              <w:tc>
                <w:tcPr/>
                <w:p>
                  <w:pPr>
                    <w:pStyle w:val="Compact"/>
                    <w:jc w:val="left"/>
                    <w:jc w:val="center"/>
                  </w:pPr>
                  <w:r>
                    <w:t xml:space="preserve">1.27</w:t>
                  </w:r>
                </w:p>
              </w:tc>
              <w:tc>
                <w:tcPr/>
                <w:p>
                  <w:pPr>
                    <w:pStyle w:val="Compact"/>
                    <w:jc w:val="left"/>
                    <w:jc w:val="center"/>
                  </w:pPr>
                  <w:r>
                    <w:t xml:space="preserve">4.40</w:t>
                  </w:r>
                </w:p>
              </w:tc>
              <w:tc>
                <w:tcPr/>
                <w:p>
                  <w:pPr>
                    <w:pStyle w:val="Compact"/>
                    <w:jc w:val="left"/>
                    <w:jc w:val="center"/>
                  </w:pPr>
                  <w:r>
                    <w:t xml:space="preserve">1.00</w:t>
                  </w:r>
                </w:p>
              </w:tc>
            </w:tr>
            <w:tr>
              <w:tc>
                <w:tcPr/>
                <w:p>
                  <w:pPr>
                    <w:pStyle w:val="Compact"/>
                    <w:jc w:val="left"/>
                    <w:jc w:val="center"/>
                  </w:pPr>
                  <w:r>
                    <w:t xml:space="preserve">refClassPercentage</w:t>
                  </w:r>
                </w:p>
              </w:tc>
              <w:tc>
                <w:tcPr/>
                <w:p>
                  <w:pPr>
                    <w:pStyle w:val="Compact"/>
                    <w:jc w:val="left"/>
                    <w:jc w:val="center"/>
                  </w:pPr>
                  <w:r>
                    <w:t xml:space="preserve">1.3</w:t>
                  </w:r>
                </w:p>
              </w:tc>
              <w:tc>
                <w:tcPr/>
                <w:p>
                  <w:pPr>
                    <w:pStyle w:val="Compact"/>
                    <w:jc w:val="left"/>
                    <w:jc w:val="center"/>
                  </w:pPr>
                  <w:r>
                    <w:t xml:space="preserve">0.01</w:t>
                  </w:r>
                </w:p>
              </w:tc>
              <w:tc>
                <w:tcPr/>
                <w:p>
                  <w:pPr>
                    <w:pStyle w:val="Compact"/>
                    <w:jc w:val="left"/>
                    <w:jc w:val="center"/>
                  </w:pPr>
                  <w:r>
                    <w:t xml:space="preserve">2.66</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2.8</w:t>
                  </w:r>
                </w:p>
              </w:tc>
              <w:tc>
                <w:tcPr/>
                <w:p>
                  <w:pPr>
                    <w:pStyle w:val="Compact"/>
                    <w:jc w:val="left"/>
                    <w:jc w:val="center"/>
                  </w:pPr>
                  <w:r>
                    <w:t xml:space="preserve">1.52</w:t>
                  </w:r>
                </w:p>
              </w:tc>
              <w:tc>
                <w:tcPr/>
                <w:p>
                  <w:pPr>
                    <w:pStyle w:val="Compact"/>
                    <w:jc w:val="left"/>
                    <w:jc w:val="center"/>
                  </w:pPr>
                  <w:r>
                    <w:t xml:space="preserve">4.04</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-2.8</w:t>
                  </w:r>
                </w:p>
              </w:tc>
              <w:tc>
                <w:tcPr/>
                <w:p>
                  <w:pPr>
                    <w:pStyle w:val="Compact"/>
                    <w:jc w:val="left"/>
                    <w:jc w:val="center"/>
                  </w:pPr>
                  <w:r>
                    <w:t xml:space="preserve">-4.09</w:t>
                  </w:r>
                </w:p>
              </w:tc>
              <w:tc>
                <w:tcPr/>
                <w:p>
                  <w:pPr>
                    <w:pStyle w:val="Compact"/>
                    <w:jc w:val="left"/>
                    <w:jc w:val="center"/>
                  </w:pPr>
                  <w:r>
                    <w:t xml:space="preserve">-1.56</w:t>
                  </w:r>
                </w:p>
              </w:tc>
              <w:tc>
                <w:tcPr/>
                <w:p>
                  <w:pPr>
                    <w:pStyle w:val="Compact"/>
                    <w:jc w:val="left"/>
                    <w:jc w:val="center"/>
                  </w:pPr>
                  <w:r>
                    <w:t xml:space="preserve">1.00</w:t>
                  </w:r>
                </w:p>
              </w:tc>
            </w:tr>
          </w:tbl>
          <w:bookmarkEnd w:id="4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3.7</w:t>
                  </w:r>
                </w:p>
              </w:tc>
              <w:tc>
                <w:tcPr/>
                <w:p>
                  <w:pPr>
                    <w:pStyle w:val="Compact"/>
                    <w:jc w:val="left"/>
                    <w:jc w:val="center"/>
                  </w:pPr>
                  <w:r>
                    <w:t xml:space="preserve">1.0</w:t>
                  </w:r>
                </w:p>
              </w:tc>
              <w:tc>
                <w:tcPr/>
                <w:p>
                  <w:pPr>
                    <w:pStyle w:val="Compact"/>
                    <w:jc w:val="left"/>
                    <w:jc w:val="center"/>
                  </w:pPr>
                  <w:r>
                    <w:t xml:space="preserve">14</w:t>
                  </w:r>
                </w:p>
              </w:tc>
            </w:tr>
            <w:tr>
              <w:tc>
                <w:tcPr/>
                <w:p>
                  <w:pPr>
                    <w:pStyle w:val="Compact"/>
                    <w:jc w:val="left"/>
                    <w:jc w:val="center"/>
                  </w:pPr>
                  <w:r>
                    <w:t xml:space="preserve">USD vs kWh</w:t>
                  </w:r>
                </w:p>
              </w:tc>
              <w:tc>
                <w:tcPr/>
                <w:p>
                  <w:pPr>
                    <w:pStyle w:val="Compact"/>
                    <w:jc w:val="left"/>
                    <w:jc w:val="center"/>
                  </w:pPr>
                  <w:r>
                    <w:t xml:space="preserve">15.7</w:t>
                  </w:r>
                </w:p>
              </w:tc>
              <w:tc>
                <w:tcPr/>
                <w:p>
                  <w:pPr>
                    <w:pStyle w:val="Compact"/>
                    <w:jc w:val="left"/>
                    <w:jc w:val="center"/>
                  </w:pPr>
                  <w:r>
                    <w:t xml:space="preserve">4.6</w:t>
                  </w:r>
                </w:p>
              </w:tc>
              <w:tc>
                <w:tcPr/>
                <w:p>
                  <w:pPr>
                    <w:pStyle w:val="Compact"/>
                    <w:jc w:val="left"/>
                    <w:jc w:val="center"/>
                  </w:pPr>
                  <w:r>
                    <w:t xml:space="preserve">57</w:t>
                  </w:r>
                </w:p>
              </w:tc>
            </w:tr>
          </w:tbl>
          <w:bookmarkEnd w:id="42"/>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s1-ppd"/>
          <w:p>
            <w:pPr>
              <w:pStyle w:val="Compact"/>
              <w:jc w:val="center"/>
            </w:pPr>
            <w:r>
              <w:drawing>
                <wp:inline>
                  <wp:extent cx="5334000" cy="4267200"/>
                  <wp:effectExtent b="0" l="0" r="0" t="0"/>
                  <wp:docPr descr="" title="" id="44" name="Picture"/>
                  <a:graphic>
                    <a:graphicData uri="http://schemas.openxmlformats.org/drawingml/2006/picture">
                      <pic:pic>
                        <pic:nvPicPr>
                          <pic:cNvPr descr="manuscript_files/figure-docx/fig-s1-ppd-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Study 1: Proportion of participants in each accuracy level, colored by reference class, and seprated in facets based on the levels of reduction goal. A larger % of participants in the Exact Match, or 0.01-2% error bins indicates better performance.</w:t>
            </w:r>
          </w:p>
          <w:bookmarkEnd w:id="46"/>
        </w:tc>
      </w:tr>
    </w:tbl>
    <w:bookmarkEnd w:id="47"/>
    <w:bookmarkEnd w:id="48"/>
    <w:bookmarkStart w:id="49" w:name="experiment-1-discussion"/>
    <w:p>
      <w:pPr>
        <w:pStyle w:val="Heading2"/>
      </w:pPr>
      <w:r>
        <w:t xml:space="preserve">Experiment 1: Discussion</w:t>
      </w:r>
    </w:p>
    <w:p>
      <w:pPr>
        <w:pStyle w:val="FirstParagraph"/>
      </w:pPr>
      <w:r>
        <w:t xml:space="preserve">Experiment 1 examined how different numerical representations of energy reduction goals influenced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9"/>
    <w:bookmarkEnd w:id="50"/>
    <w:bookmarkStart w:id="89" w:name="experiment-2"/>
    <w:p>
      <w:pPr>
        <w:pStyle w:val="Heading1"/>
      </w:pPr>
      <w:r>
        <w:t xml:space="preserve">Experiment 2</w:t>
      </w:r>
    </w:p>
    <w:bookmarkStart w:id="51" w:name="methods-1"/>
    <w:p>
      <w:pPr>
        <w:pStyle w:val="Heading2"/>
      </w:pPr>
      <w:r>
        <w:t xml:space="preserve">Methods</w:t>
      </w:r>
    </w:p>
    <w:p>
      <w:pPr>
        <w:pStyle w:val="FirstParagraph"/>
      </w:pPr>
      <w:r>
        <w:t xml:space="preserve">The experimental procedures in study 2 are quite similar to those in study 1, but we also included a rounding manipulation (rounded vs. not rounded), and a manipulation of the goal (10% reduction vs. 15% rediction). We recruited 206 participants from Amazon Mechanical Turk, but data from from 10 participants were corrupted due to experimenter error, leaving a final sample of 196 participants.</w:t>
      </w:r>
    </w:p>
    <w:p>
      <w:pPr>
        <w:pStyle w:val="BodyText"/>
      </w:pPr>
      <w:r>
        <w:t xml:space="preserve">Note that reference class remains a between-subjects variable, while percent goal, rounding, and state are within-subjects variables. In study 2, the new design is a 4 state temperature (2 warm vs. 2 cold states) X 2 task goal (10% vs. 15%) X 2 last year’s usage for the family and the state average (exact vs. rounded numbers) within X 3 task reference class (USD vs. Percentage vs. kWh) between.</w:t>
      </w:r>
    </w:p>
    <w:bookmarkEnd w:id="51"/>
    <w:bookmarkStart w:id="88"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2" w:name="tbl-s2-agg"/>
          <w:p>
            <w:pPr>
              <w:jc w:val="center"/>
            </w:pPr>
            <w:pPr>
              <w:jc w:val="start"/>
              <w:spacing w:before="200"/>
              <w:pStyle w:val="ImageCaption"/>
            </w:pPr>
            <w:r>
              <w:t xml:space="preserve">Table 5: Study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2"/>
          <w:p/>
        </w:tc>
      </w:tr>
    </w:tbl>
    <w:tbl>
      <w:tblPr>
        <w:tblStyle w:val="Table"/>
        <w:tblW w:type="pct" w:w="5000"/>
        <w:tblLayout w:type="fixed"/>
        <w:tblLook w:firstRow="0" w:lastRow="0" w:firstColumn="0" w:lastColumn="0" w:noHBand="0" w:noVBand="0" w:val="0000"/>
      </w:tblPr>
      <w:tblGrid>
        <w:gridCol w:w="7920"/>
      </w:tblGrid>
      <w:tr>
        <w:tc>
          <w:tcPr/>
          <w:bookmarkStart w:id="56" w:name="fig-s2-log-dist"/>
          <w:p>
            <w:pPr>
              <w:pStyle w:val="Compact"/>
              <w:jc w:val="center"/>
            </w:pPr>
            <w:r>
              <w:drawing>
                <wp:inline>
                  <wp:extent cx="5334000" cy="3879272"/>
                  <wp:effectExtent b="0" l="0" r="0" t="0"/>
                  <wp:docPr descr="" title="" id="54" name="Picture"/>
                  <a:graphic>
                    <a:graphicData uri="http://schemas.openxmlformats.org/drawingml/2006/picture">
                      <pic:pic>
                        <pic:nvPicPr>
                          <pic:cNvPr descr="manuscript_files/figure-docx/fig-s2-log-dist-1.png" id="55" name="Picture"/>
                          <pic:cNvPicPr>
                            <a:picLocks noChangeArrowheads="1" noChangeAspect="1"/>
                          </pic:cNvPicPr>
                        </pic:nvPicPr>
                        <pic:blipFill>
                          <a:blip r:embed="rId53"/>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Study 1: Distribution of log absolute error by reference class.</w:t>
            </w:r>
          </w:p>
          <w:bookmarkEnd w:id="56"/>
        </w:tc>
      </w:tr>
    </w:tbl>
    <w:tbl>
      <w:tblPr>
        <w:tblStyle w:val="Table"/>
        <w:tblW w:type="pct" w:w="5000"/>
        <w:tblLayout w:type="fixed"/>
        <w:tblLook w:firstRow="0" w:lastRow="0" w:firstColumn="0" w:lastColumn="0" w:noHBand="0" w:noVBand="0" w:val="0000"/>
      </w:tblPr>
      <w:tblGrid>
        <w:gridCol w:w="7920"/>
      </w:tblGrid>
      <w:tr>
        <w:tc>
          <w:tcPr/>
          <w:bookmarkStart w:id="57" w:name="tbl-s2-prop"/>
          <w:p>
            <w:pPr>
              <w:jc w:val="center"/>
            </w:pPr>
            <w:pPr>
              <w:jc w:val="start"/>
              <w:spacing w:before="200"/>
              <w:pStyle w:val="ImageCaption"/>
            </w:pPr>
            <w:r>
              <w:t xml:space="preserve">Table 6: Study 2: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43.5%</w:t>
                  </w:r>
                </w:p>
              </w:tc>
              <w:tc>
                <w:tcPr/>
                <w:p>
                  <w:pPr>
                    <w:pStyle w:val="Compact"/>
                    <w:jc w:val="left"/>
                    <w:jc w:val="center"/>
                  </w:pPr>
                  <w:r>
                    <w:t xml:space="preserve">26.8%</w:t>
                  </w:r>
                </w:p>
              </w:tc>
              <w:tc>
                <w:tcPr/>
                <w:p>
                  <w:pPr>
                    <w:pStyle w:val="Compact"/>
                    <w:jc w:val="left"/>
                    <w:jc w:val="center"/>
                  </w:pPr>
                  <w:r>
                    <w:t xml:space="preserve">18.5%</w:t>
                  </w:r>
                </w:p>
              </w:tc>
              <w:tc>
                <w:tcPr/>
                <w:p>
                  <w:pPr>
                    <w:pStyle w:val="Compact"/>
                    <w:jc w:val="left"/>
                    <w:jc w:val="center"/>
                  </w:pPr>
                  <w:r>
                    <w:t xml:space="preserve">30.2%</w:t>
                  </w:r>
                </w:p>
              </w:tc>
            </w:tr>
            <w:tr>
              <w:tc>
                <w:tcPr/>
                <w:p>
                  <w:pPr>
                    <w:pStyle w:val="Compact"/>
                    <w:jc w:val="left"/>
                    <w:jc w:val="center"/>
                  </w:pPr>
                  <w:r>
                    <w:t xml:space="preserve">0.01-2% error</w:t>
                  </w:r>
                </w:p>
              </w:tc>
              <w:tc>
                <w:tcPr/>
                <w:p>
                  <w:pPr>
                    <w:pStyle w:val="Compact"/>
                    <w:jc w:val="left"/>
                    <w:jc w:val="center"/>
                  </w:pPr>
                  <w:r>
                    <w:t xml:space="preserve">8%</w:t>
                  </w:r>
                </w:p>
              </w:tc>
              <w:tc>
                <w:tcPr/>
                <w:p>
                  <w:pPr>
                    <w:pStyle w:val="Compact"/>
                    <w:jc w:val="left"/>
                    <w:jc w:val="center"/>
                  </w:pPr>
                  <w:r>
                    <w:t xml:space="preserve">13.8%</w:t>
                  </w:r>
                </w:p>
              </w:tc>
              <w:tc>
                <w:tcPr/>
                <w:p>
                  <w:pPr>
                    <w:pStyle w:val="Compact"/>
                    <w:jc w:val="left"/>
                    <w:jc w:val="center"/>
                  </w:pPr>
                  <w:r>
                    <w:t xml:space="preserve">9.1%</w:t>
                  </w:r>
                </w:p>
              </w:tc>
              <w:tc>
                <w:tcPr/>
                <w:p>
                  <w:pPr>
                    <w:pStyle w:val="Compact"/>
                    <w:jc w:val="left"/>
                    <w:jc w:val="center"/>
                  </w:pPr>
                  <w:r>
                    <w:t xml:space="preserve">10.3%</w:t>
                  </w:r>
                </w:p>
              </w:tc>
            </w:tr>
            <w:tr>
              <w:tc>
                <w:tcPr/>
                <w:p>
                  <w:pPr>
                    <w:pStyle w:val="Compact"/>
                    <w:jc w:val="left"/>
                    <w:jc w:val="center"/>
                  </w:pPr>
                  <w:r>
                    <w:t xml:space="preserve">2.01-15% error</w:t>
                  </w:r>
                </w:p>
              </w:tc>
              <w:tc>
                <w:tcPr/>
                <w:p>
                  <w:pPr>
                    <w:pStyle w:val="Compact"/>
                    <w:jc w:val="left"/>
                    <w:jc w:val="center"/>
                  </w:pPr>
                  <w:r>
                    <w:t xml:space="preserve">21%</w:t>
                  </w:r>
                </w:p>
              </w:tc>
              <w:tc>
                <w:tcPr/>
                <w:p>
                  <w:pPr>
                    <w:pStyle w:val="Compact"/>
                    <w:jc w:val="left"/>
                    <w:jc w:val="center"/>
                  </w:pPr>
                  <w:r>
                    <w:t xml:space="preserve">33.3%</w:t>
                  </w:r>
                </w:p>
              </w:tc>
              <w:tc>
                <w:tcPr/>
                <w:p>
                  <w:pPr>
                    <w:pStyle w:val="Compact"/>
                    <w:jc w:val="left"/>
                    <w:jc w:val="center"/>
                  </w:pPr>
                  <w:r>
                    <w:t xml:space="preserve">38.4%</w:t>
                  </w:r>
                </w:p>
              </w:tc>
              <w:tc>
                <w:tcPr/>
                <w:p>
                  <w:pPr>
                    <w:pStyle w:val="Compact"/>
                    <w:jc w:val="left"/>
                    <w:jc w:val="center"/>
                  </w:pPr>
                  <w:r>
                    <w:t xml:space="preserve">30.5%</w:t>
                  </w:r>
                </w:p>
              </w:tc>
            </w:tr>
            <w:tr>
              <w:tc>
                <w:tcPr/>
                <w:p>
                  <w:pPr>
                    <w:pStyle w:val="Compact"/>
                    <w:jc w:val="left"/>
                    <w:jc w:val="center"/>
                  </w:pPr>
                  <w:r>
                    <w:t xml:space="preserve">Over 15% error</w:t>
                  </w:r>
                </w:p>
              </w:tc>
              <w:tc>
                <w:tcPr/>
                <w:p>
                  <w:pPr>
                    <w:pStyle w:val="Compact"/>
                    <w:jc w:val="left"/>
                    <w:jc w:val="center"/>
                  </w:pPr>
                  <w:r>
                    <w:t xml:space="preserve">27.5%</w:t>
                  </w:r>
                </w:p>
              </w:tc>
              <w:tc>
                <w:tcPr/>
                <w:p>
                  <w:pPr>
                    <w:pStyle w:val="Compact"/>
                    <w:jc w:val="left"/>
                    <w:jc w:val="center"/>
                  </w:pPr>
                  <w:r>
                    <w:t xml:space="preserve">26.1%</w:t>
                  </w:r>
                </w:p>
              </w:tc>
              <w:tc>
                <w:tcPr/>
                <w:p>
                  <w:pPr>
                    <w:pStyle w:val="Compact"/>
                    <w:jc w:val="left"/>
                    <w:jc w:val="center"/>
                  </w:pPr>
                  <w:r>
                    <w:t xml:space="preserve">34.1%</w:t>
                  </w:r>
                </w:p>
              </w:tc>
              <w:tc>
                <w:tcPr/>
                <w:p>
                  <w:pPr>
                    <w:pStyle w:val="Compact"/>
                    <w:jc w:val="left"/>
                    <w:jc w:val="center"/>
                  </w:pPr>
                  <w:r>
                    <w:t xml:space="preserve">29%</w:t>
                  </w:r>
                </w:p>
              </w:tc>
            </w:tr>
          </w:tbl>
          <w:bookmarkEnd w:id="57"/>
          <w:p/>
        </w:tc>
      </w:tr>
    </w:tbl>
    <w:tbl>
      <w:tblPr>
        <w:tblStyle w:val="Table"/>
        <w:tblW w:type="pct" w:w="5000"/>
        <w:tblLayout w:type="fixed"/>
        <w:tblLook w:firstRow="0" w:lastRow="0" w:firstColumn="0" w:lastColumn="0" w:noHBand="0" w:noVBand="0" w:val="0000"/>
      </w:tblPr>
      <w:tblGrid>
        <w:gridCol w:w="7920"/>
      </w:tblGrid>
      <w:tr>
        <w:tc>
          <w:tcPr/>
          <w:bookmarkStart w:id="62" w:name="fig-s2-plot"/>
          <w:p>
            <w:pPr>
              <w:pStyle w:val="Compact"/>
              <w:jc w:val="center"/>
            </w:pPr>
            <w:bookmarkStart w:id="61" w:name="fig-s2-plot"/>
            <w:r>
              <w:drawing>
                <wp:inline>
                  <wp:extent cx="5334000" cy="4267200"/>
                  <wp:effectExtent b="0" l="0" r="0" t="0"/>
                  <wp:docPr descr="" title="" id="59" name="Picture"/>
                  <a:graphic>
                    <a:graphicData uri="http://schemas.openxmlformats.org/drawingml/2006/picture">
                      <pic:pic>
                        <pic:nvPicPr>
                          <pic:cNvPr descr="manuscript_files/figure-docx/fig-s2-plot-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bookmarkEnd w:id="61"/>
          </w:p>
          <w:p>
            <w:pPr>
              <w:jc w:val="center"/>
            </w:pPr>
            <w:pPr>
              <w:jc w:val="start"/>
              <w:spacing w:before="200"/>
              <w:pStyle w:val="ImageCaption"/>
            </w:pPr>
            <w:r>
              <w:t xml:space="preserve">Figure 6</w:t>
            </w:r>
          </w:p>
          <w:bookmarkEnd w:id="62"/>
        </w:tc>
      </w:tr>
    </w:tbl>
    <w:p>
      <w:pPr>
        <w:pStyle w:val="BodyText"/>
      </w:pPr>
      <w:hyperlink w:anchor="tbl-s2-prop">
        <w:r>
          <w:rPr>
            <w:rStyle w:val="Hyperlink"/>
          </w:rPr>
          <w:t xml:space="preserve">Table 6</w:t>
        </w:r>
      </w:hyperlink>
      <w:r>
        <w:t xml:space="preserve"> </w:t>
      </w:r>
      <w:r>
        <w:t xml:space="preserve">shows that, once again, participants in the kWh condition achieved closer alignment with the target goals (44% exact matches), followed by Percentage (27%) and USD (18%). These percentages are consistent with the patterns observed in Study 1, reinforcing the conclusion that providing goals in kWh supports better accuracy.</w:t>
      </w:r>
    </w:p>
    <w:tbl>
      <w:tblPr>
        <w:tblStyle w:val="Table"/>
        <w:tblW w:type="pct" w:w="5000"/>
        <w:tblLayout w:type="fixed"/>
        <w:tblLook w:firstRow="0" w:lastRow="0" w:firstColumn="0" w:lastColumn="0" w:noHBand="0" w:noVBand="0" w:val="0000"/>
      </w:tblPr>
      <w:tblGrid>
        <w:gridCol w:w="7920"/>
      </w:tblGrid>
      <w:tr>
        <w:tc>
          <w:tcPr/>
          <w:bookmarkStart w:id="66" w:name="fig-s2-plot2"/>
          <w:p>
            <w:pPr>
              <w:pStyle w:val="Compact"/>
              <w:jc w:val="center"/>
            </w:pPr>
            <w:r>
              <w:drawing>
                <wp:inline>
                  <wp:extent cx="5334000" cy="4364181"/>
                  <wp:effectExtent b="0" l="0" r="0" t="0"/>
                  <wp:docPr descr="" title="" id="64" name="Picture"/>
                  <a:graphic>
                    <a:graphicData uri="http://schemas.openxmlformats.org/drawingml/2006/picture">
                      <pic:pic>
                        <pic:nvPicPr>
                          <pic:cNvPr descr="manuscript_files/figure-docx/fig-s2-plot2-1.png" id="65" name="Picture"/>
                          <pic:cNvPicPr>
                            <a:picLocks noChangeArrowheads="1" noChangeAspect="1"/>
                          </pic:cNvPicPr>
                        </pic:nvPicPr>
                        <pic:blipFill>
                          <a:blip r:embed="rId63"/>
                          <a:stretch>
                            <a:fillRect/>
                          </a:stretch>
                        </pic:blipFill>
                        <pic:spPr bwMode="auto">
                          <a:xfrm>
                            <a:off x="0" y="0"/>
                            <a:ext cx="5334000" cy="436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Study 2: Proportion of participants in each accuracy level, colored by reference class, and seprated in facets based on the levels of reduction goal, and rounding. A larger % of participants in the Exact Match, or 0.01-2% error bins indicates better performance.</w:t>
            </w:r>
          </w:p>
          <w:bookmarkEnd w:id="66"/>
        </w:tc>
      </w:tr>
    </w:tbl>
    <w:bookmarkStart w:id="67" w:name="tbl-s2-ord"/>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2.29</w:t>
            </w:r>
          </w:p>
        </w:tc>
        <w:tc>
          <w:tcPr/>
          <w:p>
            <w:pPr>
              <w:pStyle w:val="Compact"/>
              <w:jc w:val="left"/>
            </w:pPr>
            <w:r>
              <w:t xml:space="preserve">0.53</w:t>
            </w:r>
          </w:p>
        </w:tc>
        <w:tc>
          <w:tcPr/>
          <w:p>
            <w:pPr>
              <w:pStyle w:val="Compact"/>
              <w:jc w:val="left"/>
            </w:pPr>
            <w:r>
              <w:t xml:space="preserve">10.31</w:t>
            </w:r>
          </w:p>
        </w:tc>
      </w:tr>
      <w:tr>
        <w:tc>
          <w:tcPr/>
          <w:p>
            <w:pPr>
              <w:pStyle w:val="Compact"/>
              <w:jc w:val="left"/>
            </w:pPr>
            <w:r>
              <w:t xml:space="preserve">USD vs kWh</w:t>
            </w:r>
          </w:p>
        </w:tc>
        <w:tc>
          <w:tcPr/>
          <w:p>
            <w:pPr>
              <w:pStyle w:val="Compact"/>
              <w:jc w:val="left"/>
            </w:pPr>
            <w:r>
              <w:t xml:space="preserve">6.49</w:t>
            </w:r>
          </w:p>
        </w:tc>
        <w:tc>
          <w:tcPr/>
          <w:p>
            <w:pPr>
              <w:pStyle w:val="Compact"/>
              <w:jc w:val="left"/>
            </w:pPr>
            <w:r>
              <w:t xml:space="preserve">1.37</w:t>
            </w:r>
          </w:p>
        </w:tc>
        <w:tc>
          <w:tcPr/>
          <w:p>
            <w:pPr>
              <w:pStyle w:val="Compact"/>
              <w:jc w:val="left"/>
            </w:pPr>
            <w:r>
              <w:t xml:space="preserve">28.42</w:t>
            </w:r>
          </w:p>
        </w:tc>
      </w:tr>
      <w:tr>
        <w:tc>
          <w:tcPr/>
          <w:p>
            <w:pPr>
              <w:pStyle w:val="Compact"/>
              <w:jc w:val="left"/>
            </w:pPr>
            <w:r>
              <w:t xml:space="preserve">Rounded vs Not</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0.73</w:t>
            </w:r>
          </w:p>
        </w:tc>
      </w:tr>
      <w:tr>
        <w:tc>
          <w:tcPr/>
          <w:p>
            <w:pPr>
              <w:pStyle w:val="Compact"/>
              <w:jc w:val="left"/>
            </w:pPr>
            <w:r>
              <w:t xml:space="preserve">15% Goal vs 10% Goal</w:t>
            </w:r>
          </w:p>
        </w:tc>
        <w:tc>
          <w:tcPr/>
          <w:p>
            <w:pPr>
              <w:pStyle w:val="Compact"/>
              <w:jc w:val="left"/>
            </w:pPr>
            <w:r>
              <w:t xml:space="preserve">0.65</w:t>
            </w:r>
          </w:p>
        </w:tc>
        <w:tc>
          <w:tcPr/>
          <w:p>
            <w:pPr>
              <w:pStyle w:val="Compact"/>
              <w:jc w:val="left"/>
            </w:pPr>
            <w:r>
              <w:t xml:space="preserve">0.45</w:t>
            </w:r>
          </w:p>
        </w:tc>
        <w:tc>
          <w:tcPr/>
          <w:p>
            <w:pPr>
              <w:pStyle w:val="Compact"/>
              <w:jc w:val="left"/>
            </w:pPr>
            <w:r>
              <w:t xml:space="preserve">0.91</w:t>
            </w:r>
          </w:p>
        </w:tc>
      </w:tr>
    </w:tbl>
    <w:bookmarkEnd w:id="67"/>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Ordinal Regression Model Results.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-2.13</w:t>
                  </w:r>
                </w:p>
              </w:tc>
              <w:tc>
                <w:tcPr/>
                <w:p>
                  <w:pPr>
                    <w:pStyle w:val="Compact"/>
                    <w:jc w:val="left"/>
                    <w:jc w:val="center"/>
                  </w:pPr>
                  <w:r>
                    <w:t xml:space="preserve">-3.39</w:t>
                  </w:r>
                </w:p>
              </w:tc>
              <w:tc>
                <w:tcPr/>
                <w:p>
                  <w:pPr>
                    <w:pStyle w:val="Compact"/>
                    <w:jc w:val="left"/>
                    <w:jc w:val="center"/>
                  </w:pPr>
                  <w:r>
                    <w:t xml:space="preserve">-0.86</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-0.62</w:t>
                  </w:r>
                </w:p>
              </w:tc>
              <w:tc>
                <w:tcPr/>
                <w:p>
                  <w:pPr>
                    <w:pStyle w:val="Compact"/>
                    <w:jc w:val="left"/>
                    <w:jc w:val="center"/>
                  </w:pPr>
                  <w:r>
                    <w:t xml:space="preserve">-1.89</w:t>
                  </w:r>
                </w:p>
              </w:tc>
              <w:tc>
                <w:tcPr/>
                <w:p>
                  <w:pPr>
                    <w:pStyle w:val="Compact"/>
                    <w:jc w:val="left"/>
                    <w:jc w:val="center"/>
                  </w:pPr>
                  <w:r>
                    <w:t xml:space="preserve">0.63</w:t>
                  </w:r>
                </w:p>
              </w:tc>
              <w:tc>
                <w:tcPr/>
                <w:p>
                  <w:pPr>
                    <w:pStyle w:val="Compact"/>
                    <w:jc w:val="left"/>
                    <w:jc w:val="center"/>
                  </w:pPr>
                  <w:r>
                    <w:t xml:space="preserve">0.84</w:t>
                  </w:r>
                </w:p>
              </w:tc>
            </w:tr>
            <w:tr>
              <w:tc>
                <w:tcPr/>
                <w:p>
                  <w:pPr>
                    <w:pStyle w:val="Compact"/>
                    <w:jc w:val="left"/>
                    <w:jc w:val="center"/>
                  </w:pPr>
                  <w:r>
                    <w:t xml:space="preserve">Intercept[3]</w:t>
                  </w:r>
                </w:p>
              </w:tc>
              <w:tc>
                <w:tcPr/>
                <w:p>
                  <w:pPr>
                    <w:pStyle w:val="Compact"/>
                    <w:jc w:val="left"/>
                    <w:jc w:val="center"/>
                  </w:pPr>
                  <w:r>
                    <w:t xml:space="preserve">3.15</w:t>
                  </w:r>
                </w:p>
              </w:tc>
              <w:tc>
                <w:tcPr/>
                <w:p>
                  <w:pPr>
                    <w:pStyle w:val="Compact"/>
                    <w:jc w:val="left"/>
                    <w:jc w:val="center"/>
                  </w:pPr>
                  <w:r>
                    <w:t xml:space="preserve">1.88</w:t>
                  </w:r>
                </w:p>
              </w:tc>
              <w:tc>
                <w:tcPr/>
                <w:p>
                  <w:pPr>
                    <w:pStyle w:val="Compact"/>
                    <w:jc w:val="left"/>
                    <w:jc w:val="center"/>
                  </w:pPr>
                  <w:r>
                    <w:t xml:space="preserve">4.42</w:t>
                  </w:r>
                </w:p>
              </w:tc>
              <w:tc>
                <w:tcPr/>
                <w:p>
                  <w:pPr>
                    <w:pStyle w:val="Compact"/>
                    <w:jc w:val="left"/>
                    <w:jc w:val="center"/>
                  </w:pPr>
                  <w:r>
                    <w:t xml:space="preserve">1.00</w:t>
                  </w:r>
                </w:p>
              </w:tc>
            </w:tr>
            <w:tr>
              <w:tc>
                <w:tcPr/>
                <w:p>
                  <w:pPr>
                    <w:pStyle w:val="Compact"/>
                    <w:jc w:val="left"/>
                    <w:jc w:val="center"/>
                  </w:pPr>
                  <w:r>
                    <w:t xml:space="preserve">refClassPercentage</w:t>
                  </w:r>
                </w:p>
              </w:tc>
              <w:tc>
                <w:tcPr/>
                <w:p>
                  <w:pPr>
                    <w:pStyle w:val="Compact"/>
                    <w:jc w:val="left"/>
                    <w:jc w:val="center"/>
                  </w:pPr>
                  <w:r>
                    <w:t xml:space="preserve">0.83</w:t>
                  </w:r>
                </w:p>
              </w:tc>
              <w:tc>
                <w:tcPr/>
                <w:p>
                  <w:pPr>
                    <w:pStyle w:val="Compact"/>
                    <w:jc w:val="left"/>
                    <w:jc w:val="center"/>
                  </w:pPr>
                  <w:r>
                    <w:t xml:space="preserve">-0.64</w:t>
                  </w:r>
                </w:p>
              </w:tc>
              <w:tc>
                <w:tcPr/>
                <w:p>
                  <w:pPr>
                    <w:pStyle w:val="Compact"/>
                    <w:jc w:val="left"/>
                    <w:jc w:val="center"/>
                  </w:pPr>
                  <w:r>
                    <w:t xml:space="preserve">2.33</w:t>
                  </w:r>
                </w:p>
              </w:tc>
              <w:tc>
                <w:tcPr/>
                <w:p>
                  <w:pPr>
                    <w:pStyle w:val="Compact"/>
                    <w:jc w:val="left"/>
                    <w:jc w:val="center"/>
                  </w:pPr>
                  <w:r>
                    <w:t xml:space="preserve">0.87</w:t>
                  </w:r>
                </w:p>
              </w:tc>
            </w:tr>
            <w:tr>
              <w:tc>
                <w:tcPr/>
                <w:p>
                  <w:pPr>
                    <w:pStyle w:val="Compact"/>
                    <w:jc w:val="left"/>
                    <w:jc w:val="center"/>
                  </w:pPr>
                  <w:r>
                    <w:t xml:space="preserve">refClassUSD</w:t>
                  </w:r>
                </w:p>
              </w:tc>
              <w:tc>
                <w:tcPr/>
                <w:p>
                  <w:pPr>
                    <w:pStyle w:val="Compact"/>
                    <w:jc w:val="left"/>
                    <w:jc w:val="center"/>
                  </w:pPr>
                  <w:r>
                    <w:t xml:space="preserve">1.87</w:t>
                  </w:r>
                </w:p>
              </w:tc>
              <w:tc>
                <w:tcPr/>
                <w:p>
                  <w:pPr>
                    <w:pStyle w:val="Compact"/>
                    <w:jc w:val="left"/>
                    <w:jc w:val="center"/>
                  </w:pPr>
                  <w:r>
                    <w:t xml:space="preserve">0.31</w:t>
                  </w:r>
                </w:p>
              </w:tc>
              <w:tc>
                <w:tcPr/>
                <w:p>
                  <w:pPr>
                    <w:pStyle w:val="Compact"/>
                    <w:jc w:val="left"/>
                    <w:jc w:val="center"/>
                  </w:pPr>
                  <w:r>
                    <w:t xml:space="preserve">3.35</w:t>
                  </w:r>
                </w:p>
              </w:tc>
              <w:tc>
                <w:tcPr/>
                <w:p>
                  <w:pPr>
                    <w:pStyle w:val="Compact"/>
                    <w:jc w:val="left"/>
                    <w:jc w:val="center"/>
                  </w:pPr>
                  <w:r>
                    <w:t xml:space="preserve">0.99</w:t>
                  </w:r>
                </w:p>
              </w:tc>
            </w:tr>
            <w:tr>
              <w:tc>
                <w:tcPr/>
                <w:p>
                  <w:pPr>
                    <w:pStyle w:val="Compact"/>
                    <w:jc w:val="left"/>
                    <w:jc w:val="center"/>
                  </w:pPr>
                  <w:r>
                    <w:t xml:space="preserve">roundedRounded</w:t>
                  </w:r>
                </w:p>
              </w:tc>
              <w:tc>
                <w:tcPr/>
                <w:p>
                  <w:pPr>
                    <w:pStyle w:val="Compact"/>
                    <w:jc w:val="left"/>
                    <w:jc w:val="center"/>
                  </w:pPr>
                  <w:r>
                    <w:t xml:space="preserve">-0.66</w:t>
                  </w:r>
                </w:p>
              </w:tc>
              <w:tc>
                <w:tcPr/>
                <w:p>
                  <w:pPr>
                    <w:pStyle w:val="Compact"/>
                    <w:jc w:val="left"/>
                    <w:jc w:val="center"/>
                  </w:pPr>
                  <w:r>
                    <w:t xml:space="preserve">-1.01</w:t>
                  </w:r>
                </w:p>
              </w:tc>
              <w:tc>
                <w:tcPr/>
                <w:p>
                  <w:pPr>
                    <w:pStyle w:val="Compact"/>
                    <w:jc w:val="left"/>
                    <w:jc w:val="center"/>
                  </w:pPr>
                  <w:r>
                    <w:t xml:space="preserve">-0.31</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-0.44</w:t>
                  </w:r>
                </w:p>
              </w:tc>
              <w:tc>
                <w:tcPr/>
                <w:p>
                  <w:pPr>
                    <w:pStyle w:val="Compact"/>
                    <w:jc w:val="left"/>
                    <w:jc w:val="center"/>
                  </w:pPr>
                  <w:r>
                    <w:t xml:space="preserve">-0.79</w:t>
                  </w:r>
                </w:p>
              </w:tc>
              <w:tc>
                <w:tcPr/>
                <w:p>
                  <w:pPr>
                    <w:pStyle w:val="Compact"/>
                    <w:jc w:val="left"/>
                    <w:jc w:val="center"/>
                  </w:pPr>
                  <w:r>
                    <w:t xml:space="preserve">-0.10</w:t>
                  </w:r>
                </w:p>
              </w:tc>
              <w:tc>
                <w:tcPr/>
                <w:p>
                  <w:pPr>
                    <w:pStyle w:val="Compact"/>
                    <w:jc w:val="left"/>
                    <w:jc w:val="center"/>
                  </w:pPr>
                  <w:r>
                    <w:t xml:space="preserve">0.99</w:t>
                  </w:r>
                </w:p>
              </w:tc>
            </w:tr>
          </w:tbl>
          <w:bookmarkEnd w:id="6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9"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right"/>
                    <w:jc w:val="center"/>
                  </w:pPr>
                  <w:r>
                    <w:t xml:space="preserve">odds_ratio</w:t>
                  </w:r>
                </w:p>
              </w:tc>
              <w:tc>
                <w:tcPr/>
                <w:p>
                  <w:pPr>
                    <w:pStyle w:val="Compact"/>
                    <w:jc w:val="right"/>
                    <w:jc w:val="center"/>
                  </w:pPr>
                  <w:r>
                    <w:t xml:space="preserve">ci_lower</w:t>
                  </w:r>
                </w:p>
              </w:tc>
              <w:tc>
                <w:tcPr/>
                <w:p>
                  <w:pPr>
                    <w:pStyle w:val="Compact"/>
                    <w:jc w:val="right"/>
                    <w:jc w:val="center"/>
                  </w:pPr>
                  <w:r>
                    <w:t xml:space="preserve">ci_upper</w:t>
                  </w:r>
                </w:p>
              </w:tc>
            </w:tr>
            <w:tr>
              <w:tc>
                <w:tcPr/>
                <w:p>
                  <w:pPr>
                    <w:pStyle w:val="Compact"/>
                    <w:jc w:val="left"/>
                    <w:jc w:val="center"/>
                  </w:pPr>
                  <w:r>
                    <w:t xml:space="preserve">Percentage vs kWh</w:t>
                  </w:r>
                </w:p>
              </w:tc>
              <w:tc>
                <w:tcPr/>
                <w:p>
                  <w:pPr>
                    <w:pStyle w:val="Compact"/>
                    <w:jc w:val="right"/>
                    <w:jc w:val="center"/>
                  </w:pPr>
                  <w:r>
                    <w:t xml:space="preserve">3.02</w:t>
                  </w:r>
                </w:p>
              </w:tc>
              <w:tc>
                <w:tcPr/>
                <w:p>
                  <w:pPr>
                    <w:pStyle w:val="Compact"/>
                    <w:jc w:val="right"/>
                    <w:jc w:val="center"/>
                  </w:pPr>
                  <w:r>
                    <w:t xml:space="preserve">0.53</w:t>
                  </w:r>
                </w:p>
              </w:tc>
              <w:tc>
                <w:tcPr/>
                <w:p>
                  <w:pPr>
                    <w:pStyle w:val="Compact"/>
                    <w:jc w:val="right"/>
                    <w:jc w:val="center"/>
                  </w:pPr>
                  <w:r>
                    <w:t xml:space="preserve">10.31</w:t>
                  </w:r>
                </w:p>
              </w:tc>
            </w:tr>
            <w:tr>
              <w:tc>
                <w:tcPr/>
                <w:p>
                  <w:pPr>
                    <w:pStyle w:val="Compact"/>
                    <w:jc w:val="left"/>
                    <w:jc w:val="center"/>
                  </w:pPr>
                  <w:r>
                    <w:t xml:space="preserve">USD vs kWh</w:t>
                  </w:r>
                </w:p>
              </w:tc>
              <w:tc>
                <w:tcPr/>
                <w:p>
                  <w:pPr>
                    <w:pStyle w:val="Compact"/>
                    <w:jc w:val="right"/>
                    <w:jc w:val="center"/>
                  </w:pPr>
                  <w:r>
                    <w:t xml:space="preserve">8.80</w:t>
                  </w:r>
                </w:p>
              </w:tc>
              <w:tc>
                <w:tcPr/>
                <w:p>
                  <w:pPr>
                    <w:pStyle w:val="Compact"/>
                    <w:jc w:val="right"/>
                    <w:jc w:val="center"/>
                  </w:pPr>
                  <w:r>
                    <w:t xml:space="preserve">1.37</w:t>
                  </w:r>
                </w:p>
              </w:tc>
              <w:tc>
                <w:tcPr/>
                <w:p>
                  <w:pPr>
                    <w:pStyle w:val="Compact"/>
                    <w:jc w:val="right"/>
                    <w:jc w:val="center"/>
                  </w:pPr>
                  <w:r>
                    <w:t xml:space="preserve">28.42</w:t>
                  </w:r>
                </w:p>
              </w:tc>
            </w:tr>
            <w:tr>
              <w:tc>
                <w:tcPr/>
                <w:p>
                  <w:pPr>
                    <w:pStyle w:val="Compact"/>
                    <w:jc w:val="left"/>
                    <w:jc w:val="center"/>
                  </w:pPr>
                  <w:r>
                    <w:t xml:space="preserve">Rounded vs Not</w:t>
                  </w:r>
                </w:p>
              </w:tc>
              <w:tc>
                <w:tcPr/>
                <w:p>
                  <w:pPr>
                    <w:pStyle w:val="Compact"/>
                    <w:jc w:val="right"/>
                    <w:jc w:val="center"/>
                  </w:pPr>
                  <w:r>
                    <w:t xml:space="preserve">0.53</w:t>
                  </w:r>
                </w:p>
              </w:tc>
              <w:tc>
                <w:tcPr/>
                <w:p>
                  <w:pPr>
                    <w:pStyle w:val="Compact"/>
                    <w:jc w:val="right"/>
                    <w:jc w:val="center"/>
                  </w:pPr>
                  <w:r>
                    <w:t xml:space="preserve">0.36</w:t>
                  </w:r>
                </w:p>
              </w:tc>
              <w:tc>
                <w:tcPr/>
                <w:p>
                  <w:pPr>
                    <w:pStyle w:val="Compact"/>
                    <w:jc w:val="right"/>
                    <w:jc w:val="center"/>
                  </w:pPr>
                  <w:r>
                    <w:t xml:space="preserve">0.73</w:t>
                  </w:r>
                </w:p>
              </w:tc>
            </w:tr>
            <w:tr>
              <w:tc>
                <w:tcPr/>
                <w:p>
                  <w:pPr>
                    <w:pStyle w:val="Compact"/>
                    <w:jc w:val="left"/>
                    <w:jc w:val="center"/>
                  </w:pPr>
                  <w:r>
                    <w:t xml:space="preserve">15% Goal vs 10% Goal</w:t>
                  </w:r>
                </w:p>
              </w:tc>
              <w:tc>
                <w:tcPr/>
                <w:p>
                  <w:pPr>
                    <w:pStyle w:val="Compact"/>
                    <w:jc w:val="right"/>
                    <w:jc w:val="center"/>
                  </w:pPr>
                  <w:r>
                    <w:t xml:space="preserve">0.66</w:t>
                  </w:r>
                </w:p>
              </w:tc>
              <w:tc>
                <w:tcPr/>
                <w:p>
                  <w:pPr>
                    <w:pStyle w:val="Compact"/>
                    <w:jc w:val="right"/>
                    <w:jc w:val="center"/>
                  </w:pPr>
                  <w:r>
                    <w:t xml:space="preserve">0.45</w:t>
                  </w:r>
                </w:p>
              </w:tc>
              <w:tc>
                <w:tcPr/>
                <w:p>
                  <w:pPr>
                    <w:pStyle w:val="Compact"/>
                    <w:jc w:val="right"/>
                    <w:jc w:val="center"/>
                  </w:pPr>
                  <w:r>
                    <w:t xml:space="preserve">0.91</w:t>
                  </w:r>
                </w:p>
              </w:tc>
            </w:tr>
          </w:tbl>
          <w:bookmarkEnd w:id="69"/>
          <w:p/>
        </w:tc>
      </w:tr>
    </w:tbl>
    <w:p>
      <w:pPr>
        <w:pStyle w:val="BodyText"/>
      </w:pPr>
      <w:r>
        <w:t xml:space="preserve">We again employed Bayesian ordinal logistic regression to model the</w:t>
      </w:r>
      <w:r>
        <w:t xml:space="preserve"> </w:t>
      </w:r>
      <w:r>
        <w:t xml:space="preserve">probability of participants falling into each accuracy category as a</w:t>
      </w:r>
      <w:r>
        <w:t xml:space="preserve"> </w:t>
      </w:r>
      <w:r>
        <w:t xml:space="preserve">function of reference class, rounding, and goal level (</w:t>
      </w:r>
      <w:hyperlink w:anchor="tbl-s2-ord">
        <w:r>
          <w:rPr>
            <w:rStyle w:val="Hyperlink"/>
          </w:rPr>
          <w:t xml:space="preserve">Table 8</w:t>
        </w:r>
      </w:hyperlink>
      <w:r>
        <w:t xml:space="preserve"> </w:t>
      </w:r>
      <w:r>
        <w:t xml:space="preserve">and</w:t>
      </w:r>
      <w:r>
        <w:t xml:space="preserve"> </w:t>
      </w:r>
      <w:hyperlink w:anchor="tbl-s2-reg">
        <w:r>
          <w:rPr>
            <w:rStyle w:val="Hyperlink"/>
          </w:rPr>
          <w:t xml:space="preserve">Table 7</w:t>
        </w:r>
      </w:hyperlink>
      <w:r>
        <w:t xml:space="preserve">). Results indicated that the kWh condition served as a baseline</w:t>
      </w:r>
      <w:r>
        <w:t xml:space="preserve"> </w:t>
      </w:r>
      <w:r>
        <w:t xml:space="preserve">for higher accuracy. Compared to kWh, the USD reference class increased</w:t>
      </w:r>
      <w:r>
        <w:t xml:space="preserve"> </w:t>
      </w:r>
      <w:r>
        <w:t xml:space="preserve">the odds of falling into lower-accuracy bins (Odds Ratio = 8.80, 95% CI:</w:t>
      </w:r>
      <w:r>
        <w:t xml:space="preserve"> </w:t>
      </w:r>
      <w:r>
        <w:t xml:space="preserve">1.37 to 28.42). The Percentage condition showed a similar trend, though</w:t>
      </w:r>
      <w:r>
        <w:t xml:space="preserve"> </w:t>
      </w:r>
      <w:r>
        <w:t xml:space="preserve">the credible intervals were more uncertain. Notably, the</w:t>
      </w:r>
      <w:r>
        <w:t xml:space="preserve"> </w:t>
      </w:r>
      <w:r>
        <w:t xml:space="preserve">“Rounded”</w:t>
      </w:r>
      <w:r>
        <w:t xml:space="preserve"> </w:t>
      </w:r>
      <w:r>
        <w:t xml:space="preserve">condition showed an advantage: rounded usage information reduced the</w:t>
      </w:r>
      <w:r>
        <w:t xml:space="preserve"> </w:t>
      </w:r>
      <w:r>
        <w:t xml:space="preserve">likelihood of errors (OR = 0.53, 95% CI: 0.36 to 0.73). Moreover, when</w:t>
      </w:r>
      <w:r>
        <w:t xml:space="preserve"> </w:t>
      </w:r>
      <w:r>
        <w:t xml:space="preserve">the goal was more challenging (15% vs. 10%), accuracy generally declined</w:t>
      </w:r>
      <w:r>
        <w:t xml:space="preserve"> </w:t>
      </w:r>
      <w:r>
        <w:t xml:space="preserve">(OR = 0.66, 95% CI: 0.45 to 0.91). Thus, while rounding facilitated more</w:t>
      </w:r>
      <w:r>
        <w:t xml:space="preserve"> </w:t>
      </w:r>
      <w:r>
        <w:t xml:space="preserve">accurate responses, the more difficult goal reduced overall accuracy.</w:t>
      </w:r>
      <w:r>
        <w:t xml:space="preserve"> </w:t>
      </w:r>
      <w:r>
        <w:t xml:space="preserve">Crucially, the kWh condition’s advantage persisted across these</w:t>
      </w:r>
      <w:r>
        <w:t xml:space="preserve"> </w:t>
      </w:r>
      <w:r>
        <w:t xml:space="preserve">additional manipulations, reinforcing the conclusion from Experiment 1</w:t>
      </w:r>
      <w:r>
        <w:t xml:space="preserve"> </w:t>
      </w:r>
      <w:r>
        <w:t xml:space="preserve">that absolute units support better accuracy in energy reduction</w:t>
      </w:r>
      <w:r>
        <w:t xml:space="preserve"> </w:t>
      </w:r>
      <w:r>
        <w:t xml:space="preserve">planning.</w:t>
      </w:r>
    </w:p>
    <w:tbl>
      <w:tblPr>
        <w:tblStyle w:val="Table"/>
        <w:tblW w:type="pct" w:w="5000"/>
        <w:tblLayout w:type="fixed"/>
        <w:tblLook w:firstRow="0" w:lastRow="0" w:firstColumn="0" w:lastColumn="0" w:noHBand="0" w:noVBand="0" w:val="0000"/>
      </w:tblPr>
      <w:tblGrid>
        <w:gridCol w:w="7920"/>
      </w:tblGrid>
      <w:tr>
        <w:tc>
          <w:tcPr/>
          <w:bookmarkStart w:id="74" w:name="fig-s2-ppd"/>
          <w:p>
            <w:pPr>
              <w:pStyle w:val="Compact"/>
              <w:jc w:val="center"/>
            </w:pPr>
            <w:bookmarkStart w:id="73" w:name="fig-s2-ppd"/>
            <w:r>
              <w:drawing>
                <wp:inline>
                  <wp:extent cx="5334000" cy="4267200"/>
                  <wp:effectExtent b="0" l="0" r="0" t="0"/>
                  <wp:docPr descr="" title="" id="71" name="Picture"/>
                  <a:graphic>
                    <a:graphicData uri="http://schemas.openxmlformats.org/drawingml/2006/picture">
                      <pic:pic>
                        <pic:nvPicPr>
                          <pic:cNvPr descr="manuscript_files/figure-docx/fig-s2-ppd-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bookmarkEnd w:id="73"/>
          </w:p>
          <w:p>
            <w:pPr>
              <w:jc w:val="center"/>
            </w:pPr>
            <w:pPr>
              <w:jc w:val="start"/>
              <w:spacing w:before="200"/>
              <w:pStyle w:val="ImageCaption"/>
            </w:pPr>
            <w:r>
              <w:t xml:space="preserve">Figure 8</w:t>
            </w:r>
          </w:p>
          <w:bookmarkEnd w:id="74"/>
        </w:tc>
      </w:tr>
    </w:tbl>
    <w:bookmarkStart w:id="87" w:name="individual-differences"/>
    <w:p>
      <w:pPr>
        <w:pStyle w:val="Heading3"/>
      </w:pPr>
      <w:r>
        <w:t xml:space="preserve">Individual Differences</w:t>
      </w:r>
    </w:p>
    <w:tbl>
      <w:tblPr>
        <w:tblStyle w:val="Table"/>
        <w:tblW w:type="pct" w:w="5000"/>
        <w:tblLayout w:type="fixed"/>
        <w:tblLook w:firstRow="0" w:lastRow="0" w:firstColumn="0" w:lastColumn="0" w:noHBand="0" w:noVBand="0" w:val="0000"/>
      </w:tblPr>
      <w:tblGrid>
        <w:gridCol w:w="7920"/>
      </w:tblGrid>
      <w:tr>
        <w:tc>
          <w:tcPr/>
          <w:bookmarkStart w:id="78" w:name="fig-s2-indv"/>
          <w:p>
            <w:pPr>
              <w:pStyle w:val="Compact"/>
              <w:jc w:val="center"/>
            </w:pPr>
            <w:r>
              <w:drawing>
                <wp:inline>
                  <wp:extent cx="5334000" cy="4364181"/>
                  <wp:effectExtent b="0" l="0" r="0" t="0"/>
                  <wp:docPr descr="" title="" id="76" name="Picture"/>
                  <a:graphic>
                    <a:graphicData uri="http://schemas.openxmlformats.org/drawingml/2006/picture">
                      <pic:pic>
                        <pic:nvPicPr>
                          <pic:cNvPr descr="manuscript_files/figure-docx/fig-s2-indv-1.png" id="77" name="Picture"/>
                          <pic:cNvPicPr>
                            <a:picLocks noChangeArrowheads="1" noChangeAspect="1"/>
                          </pic:cNvPicPr>
                        </pic:nvPicPr>
                        <pic:blipFill>
                          <a:blip r:embed="rId75"/>
                          <a:stretch>
                            <a:fillRect/>
                          </a:stretch>
                        </pic:blipFill>
                        <pic:spPr bwMode="auto">
                          <a:xfrm>
                            <a:off x="0" y="0"/>
                            <a:ext cx="5334000" cy="436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Study 2: Individual performance in the energy planning task, colored by reference class. The dashed line represents the target reduction goal. Participants are shown along the y axis, those who fall above or below the dashed line have not met the target goal. The x-axis represents the percent change in energy usage from the prior year.</w:t>
            </w:r>
          </w:p>
          <w:bookmarkEnd w:id="78"/>
        </w:tc>
      </w:tr>
    </w:tbl>
    <w:tbl>
      <w:tblPr>
        <w:tblStyle w:val="Table"/>
        <w:tblW w:type="pct" w:w="5000"/>
        <w:tblLayout w:type="fixed"/>
        <w:tblLook w:firstRow="0" w:lastRow="0" w:firstColumn="0" w:lastColumn="0" w:noHBand="0" w:noVBand="0" w:val="0000"/>
      </w:tblPr>
      <w:tblGrid>
        <w:gridCol w:w="7920"/>
      </w:tblGrid>
      <w:tr>
        <w:tc>
          <w:tcPr/>
          <w:bookmarkStart w:id="82" w:name="fig-s2-indv2-1"/>
          <w:p>
            <w:pPr>
              <w:pStyle w:val="Compact"/>
              <w:jc w:val="center"/>
            </w:pPr>
            <w:r>
              <w:drawing>
                <wp:inline>
                  <wp:extent cx="5334000" cy="4849090"/>
                  <wp:effectExtent b="0" l="0" r="0" t="0"/>
                  <wp:docPr descr="" title="" id="80" name="Picture"/>
                  <a:graphic>
                    <a:graphicData uri="http://schemas.openxmlformats.org/drawingml/2006/picture">
                      <pic:pic>
                        <pic:nvPicPr>
                          <pic:cNvPr descr="manuscript_files/figure-docx/fig-s2-indv2-1.png" id="81" name="Picture"/>
                          <pic:cNvPicPr>
                            <a:picLocks noChangeArrowheads="1" noChangeAspect="1"/>
                          </pic:cNvPicPr>
                        </pic:nvPicPr>
                        <pic:blipFill>
                          <a:blip r:embed="rId79"/>
                          <a:stretch>
                            <a:fillRect/>
                          </a:stretch>
                        </pic:blipFill>
                        <pic:spPr bwMode="auto">
                          <a:xfrm>
                            <a:off x="0" y="0"/>
                            <a:ext cx="5334000" cy="48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Study 2: Respones patterns for a subset of individiual participants. Black points are participant responses, red points are the state average, and blue points are the family average. The x-axis represents the appliance category, and the y-axis represents the energy usage in kWh.</w:t>
            </w:r>
          </w:p>
          <w:bookmarkEnd w:id="82"/>
        </w:tc>
      </w:tr>
    </w:tbl>
    <w:tbl>
      <w:tblPr>
        <w:tblStyle w:val="Table"/>
        <w:tblW w:type="pct" w:w="5000"/>
        <w:tblLayout w:type="fixed"/>
        <w:tblLook w:firstRow="0" w:lastRow="0" w:firstColumn="0" w:lastColumn="0" w:noHBand="0" w:noVBand="0" w:val="0000"/>
      </w:tblPr>
      <w:tblGrid>
        <w:gridCol w:w="7920"/>
      </w:tblGrid>
      <w:tr>
        <w:tc>
          <w:tcPr/>
          <w:bookmarkStart w:id="86" w:name="fig-s2-indv2-2"/>
          <w:p>
            <w:pPr>
              <w:pStyle w:val="Compact"/>
              <w:jc w:val="center"/>
            </w:pPr>
            <w:r>
              <w:drawing>
                <wp:inline>
                  <wp:extent cx="5334000" cy="4849090"/>
                  <wp:effectExtent b="0" l="0" r="0" t="0"/>
                  <wp:docPr descr="" title="" id="84" name="Picture"/>
                  <a:graphic>
                    <a:graphicData uri="http://schemas.openxmlformats.org/drawingml/2006/picture">
                      <pic:pic>
                        <pic:nvPicPr>
                          <pic:cNvPr descr="manuscript_files/figure-docx/fig-s2-indv2-2.png" id="85" name="Picture"/>
                          <pic:cNvPicPr>
                            <a:picLocks noChangeArrowheads="1" noChangeAspect="1"/>
                          </pic:cNvPicPr>
                        </pic:nvPicPr>
                        <pic:blipFill>
                          <a:blip r:embed="rId83"/>
                          <a:stretch>
                            <a:fillRect/>
                          </a:stretch>
                        </pic:blipFill>
                        <pic:spPr bwMode="auto">
                          <a:xfrm>
                            <a:off x="0" y="0"/>
                            <a:ext cx="5334000" cy="48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Study 2: Respones patterns for a subset of individiual participants. Black points are participant responses, red points are the state average, and blue points are the family average. The x-axis represents the appliance category, and the y-axis represents the energy usage in kWh.</w:t>
            </w:r>
          </w:p>
          <w:bookmarkEnd w:id="86"/>
        </w:tc>
      </w:tr>
    </w:tbl>
    <w:bookmarkEnd w:id="87"/>
    <w:bookmarkEnd w:id="88"/>
    <w:bookmarkEnd w:id="89"/>
    <w:bookmarkStart w:id="90" w:name="general-discusion"/>
    <w:p>
      <w:pPr>
        <w:pStyle w:val="Heading1"/>
      </w:pPr>
      <w:r>
        <w:t xml:space="preserve">General Discusion</w:t>
      </w:r>
    </w:p>
    <w:p>
      <w:pPr>
        <w:pStyle w:val="FirstParagraph"/>
      </w:pPr>
      <w:r>
        <w:t xml:space="preserve">Karjalainen 2011 - people prefer information about price</w:t>
      </w:r>
      <w:r>
        <w:t xml:space="preserve"> </w:t>
      </w:r>
      <w:r>
        <w:t xml:space="preserve">(Karjalainen, 2011)</w:t>
      </w:r>
    </w:p>
    <w:bookmarkEnd w:id="90"/>
    <w:bookmarkStart w:id="130" w:name="references"/>
    <w:p>
      <w:pPr>
        <w:pStyle w:val="Heading1"/>
      </w:pPr>
      <w:r>
        <w:t xml:space="preserve">References</w:t>
      </w:r>
    </w:p>
    <w:bookmarkStart w:id="129" w:name="refs"/>
    <w:bookmarkStart w:id="92"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91">
        <w:r>
          <w:rPr>
            <w:rStyle w:val="Hyperlink"/>
          </w:rPr>
          <w:t xml:space="preserve">https://doi.org/10.18637/jss.v080.i01</w:t>
        </w:r>
      </w:hyperlink>
    </w:p>
    <w:bookmarkEnd w:id="92"/>
    <w:bookmarkStart w:id="94"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93">
        <w:r>
          <w:rPr>
            <w:rStyle w:val="Hyperlink"/>
          </w:rPr>
          <w:t xml:space="preserve">https://doi.org/10.1080/13669877.2015.1121909</w:t>
        </w:r>
      </w:hyperlink>
    </w:p>
    <w:bookmarkEnd w:id="94"/>
    <w:bookmarkStart w:id="96"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95">
        <w:r>
          <w:rPr>
            <w:rStyle w:val="Hyperlink"/>
          </w:rPr>
          <w:t xml:space="preserve">https://doi.org/10.1007/s12053-008-9009-7</w:t>
        </w:r>
      </w:hyperlink>
    </w:p>
    <w:bookmarkEnd w:id="96"/>
    <w:bookmarkStart w:id="98"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7">
        <w:r>
          <w:rPr>
            <w:rStyle w:val="Hyperlink"/>
          </w:rPr>
          <w:t xml:space="preserve">https://doi.org/10.1136/bmj.327.7417.741</w:t>
        </w:r>
      </w:hyperlink>
    </w:p>
    <w:bookmarkEnd w:id="98"/>
    <w:bookmarkStart w:id="100"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99">
        <w:r>
          <w:rPr>
            <w:rStyle w:val="Hyperlink"/>
          </w:rPr>
          <w:t xml:space="preserve">https://doi.org/10.1037/0033-295X.102.4.684</w:t>
        </w:r>
      </w:hyperlink>
    </w:p>
    <w:bookmarkEnd w:id="100"/>
    <w:bookmarkStart w:id="102"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101">
        <w:r>
          <w:rPr>
            <w:rStyle w:val="Hyperlink"/>
          </w:rPr>
          <w:t xml:space="preserve">https://doi.org/10.1002/cb.2051</w:t>
        </w:r>
      </w:hyperlink>
    </w:p>
    <w:bookmarkEnd w:id="102"/>
    <w:bookmarkStart w:id="104"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103">
        <w:r>
          <w:rPr>
            <w:rStyle w:val="Hyperlink"/>
          </w:rPr>
          <w:t xml:space="preserve">https://doi.org/10.1038/s41560-020-00704-6</w:t>
        </w:r>
      </w:hyperlink>
    </w:p>
    <w:bookmarkEnd w:id="104"/>
    <w:bookmarkStart w:id="106"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05">
        <w:r>
          <w:rPr>
            <w:rStyle w:val="Hyperlink"/>
          </w:rPr>
          <w:t xml:space="preserve">https://doi.org/10.1017/S1930297500008172</w:t>
        </w:r>
      </w:hyperlink>
    </w:p>
    <w:bookmarkEnd w:id="106"/>
    <w:bookmarkStart w:id="108"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107">
        <w:r>
          <w:rPr>
            <w:rStyle w:val="Hyperlink"/>
          </w:rPr>
          <w:t xml:space="preserve">https://doi.org/10.1126/science.290.5500.2261</w:t>
        </w:r>
      </w:hyperlink>
    </w:p>
    <w:bookmarkEnd w:id="108"/>
    <w:bookmarkStart w:id="110"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9">
        <w:r>
          <w:rPr>
            <w:rStyle w:val="Hyperlink"/>
          </w:rPr>
          <w:t xml:space="preserve">https://doi.org/10.1016/j.enbuild.2010.10.010</w:t>
        </w:r>
      </w:hyperlink>
    </w:p>
    <w:bookmarkEnd w:id="110"/>
    <w:bookmarkStart w:id="112" w:name="ref-kimMySmartEEcofeedbackGaming2022"/>
    <w:p>
      <w:pPr>
        <w:pStyle w:val="Bibliography"/>
      </w:pPr>
      <w:r>
        <w:t xml:space="preserve">Kim, H., Ham, S., Promann, M., Devarapalli, H., Bihani, G., Ringenberg, T., Kwarteng, V., Bilionis, I., Braun, J. E., Rayz, J. T., Raymond, L., Reimer, T., &amp; Karava, P. (2022).</w:t>
      </w:r>
      <w:r>
        <w:t xml:space="preserve"> </w:t>
      </w:r>
      <w:r>
        <w:t xml:space="preserve">MySmartE</w:t>
      </w:r>
      <w:r>
        <w:t xml:space="preserve"> </w:t>
      </w:r>
      <w:r>
        <w:t xml:space="preserve">–</w:t>
      </w:r>
      <w:r>
        <w:t xml:space="preserve"> </w:t>
      </w:r>
      <w:r>
        <w:t xml:space="preserve">An</w:t>
      </w:r>
      <w:r>
        <w:t xml:space="preserve"> </w:t>
      </w:r>
      <w:r>
        <w:t xml:space="preserve">eco-feedback and gaming platform to promote energy conserving thermostat-adjustment behaviors in multi-unit residential buildings.</w:t>
      </w:r>
      <w:r>
        <w:t xml:space="preserve"> </w:t>
      </w:r>
      <w:r>
        <w:rPr>
          <w:i/>
          <w:iCs/>
        </w:rPr>
        <w:t xml:space="preserve">Building and Environment</w:t>
      </w:r>
      <w:r>
        <w:t xml:space="preserve">,</w:t>
      </w:r>
      <w:r>
        <w:t xml:space="preserve"> </w:t>
      </w:r>
      <w:r>
        <w:rPr>
          <w:i/>
          <w:iCs/>
        </w:rPr>
        <w:t xml:space="preserve">221</w:t>
      </w:r>
      <w:r>
        <w:t xml:space="preserve">, 109252.</w:t>
      </w:r>
      <w:r>
        <w:t xml:space="preserve"> </w:t>
      </w:r>
      <w:hyperlink r:id="rId111">
        <w:r>
          <w:rPr>
            <w:rStyle w:val="Hyperlink"/>
          </w:rPr>
          <w:t xml:space="preserve">https://doi.org/10.1016/j.buildenv.2022.109252</w:t>
        </w:r>
      </w:hyperlink>
    </w:p>
    <w:bookmarkEnd w:id="112"/>
    <w:bookmarkStart w:id="114"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113">
        <w:r>
          <w:rPr>
            <w:rStyle w:val="Hyperlink"/>
          </w:rPr>
          <w:t xml:space="preserve">https://doi.org/10.1126/science.1154983</w:t>
        </w:r>
      </w:hyperlink>
    </w:p>
    <w:bookmarkEnd w:id="114"/>
    <w:bookmarkStart w:id="116"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15">
        <w:r>
          <w:rPr>
            <w:rStyle w:val="Hyperlink"/>
          </w:rPr>
          <w:t xml:space="preserve">https://doi.org/10.1038/s41560-020-00763-9</w:t>
        </w:r>
      </w:hyperlink>
    </w:p>
    <w:bookmarkEnd w:id="116"/>
    <w:bookmarkStart w:id="117"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17"/>
    <w:bookmarkStart w:id="119"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118">
        <w:r>
          <w:rPr>
            <w:rStyle w:val="Hyperlink"/>
          </w:rPr>
          <w:t xml:space="preserve">https://doi.org/10.1093/iwc/iwu009</w:t>
        </w:r>
      </w:hyperlink>
    </w:p>
    <w:bookmarkEnd w:id="119"/>
    <w:bookmarkStart w:id="121"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120">
        <w:r>
          <w:rPr>
            <w:rStyle w:val="Hyperlink"/>
          </w:rPr>
          <w:t xml:space="preserve">https://doi.org/10.1111/j.1756-8765.2009.01066.x</w:t>
        </w:r>
      </w:hyperlink>
    </w:p>
    <w:bookmarkEnd w:id="121"/>
    <w:bookmarkStart w:id="122"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22"/>
    <w:bookmarkStart w:id="124" w:name="X60f05cb751d3210dc9499bebc3f1630657ea7f9"/>
    <w:p>
      <w:pPr>
        <w:pStyle w:val="Bibliography"/>
      </w:pPr>
      <w:r>
        <w:t xml:space="preserve">Ungemach, C., Camilleri, A. R., Johnson, E. J., Larrick, R. P., &amp; Weber, E. U. (2018). Translated</w:t>
      </w:r>
      <w:r>
        <w:t xml:space="preserve"> </w:t>
      </w:r>
      <w:r>
        <w:t xml:space="preserve">Attributes</w:t>
      </w:r>
      <w:r>
        <w:t xml:space="preserve"> </w:t>
      </w:r>
      <w:r>
        <w:t xml:space="preserve">as</w:t>
      </w:r>
      <w:r>
        <w:t xml:space="preserve"> </w:t>
      </w:r>
      <w:r>
        <w:t xml:space="preserve">Choice Architecture</w:t>
      </w:r>
      <w:r>
        <w:t xml:space="preserve">:</w:t>
      </w:r>
      <w:r>
        <w:t xml:space="preserve"> </w:t>
      </w:r>
      <w:r>
        <w:t xml:space="preserve">Aligning Objectives</w:t>
      </w:r>
      <w:r>
        <w:t xml:space="preserve"> </w:t>
      </w:r>
      <w:r>
        <w:t xml:space="preserve">and</w:t>
      </w:r>
      <w:r>
        <w:t xml:space="preserve"> </w:t>
      </w:r>
      <w:r>
        <w:t xml:space="preserve">Choices Through Decision Signposts</w:t>
      </w:r>
      <w:r>
        <w:t xml:space="preserve">.</w:t>
      </w:r>
      <w:r>
        <w:t xml:space="preserve"> </w:t>
      </w:r>
      <w:r>
        <w:rPr>
          <w:i/>
          <w:iCs/>
        </w:rPr>
        <w:t xml:space="preserve">Management Science</w:t>
      </w:r>
      <w:r>
        <w:t xml:space="preserve">,</w:t>
      </w:r>
      <w:r>
        <w:t xml:space="preserve"> </w:t>
      </w:r>
      <w:r>
        <w:rPr>
          <w:i/>
          <w:iCs/>
        </w:rPr>
        <w:t xml:space="preserve">64</w:t>
      </w:r>
      <w:r>
        <w:t xml:space="preserve">(5), 2445–2459.</w:t>
      </w:r>
      <w:r>
        <w:t xml:space="preserve"> </w:t>
      </w:r>
      <w:hyperlink r:id="rId123">
        <w:r>
          <w:rPr>
            <w:rStyle w:val="Hyperlink"/>
          </w:rPr>
          <w:t xml:space="preserve">https://doi.org/10.1287/mnsc.2016.2703</w:t>
        </w:r>
      </w:hyperlink>
    </w:p>
    <w:bookmarkEnd w:id="124"/>
    <w:bookmarkStart w:id="126" w:name="ref-vesseyCognitiveFitTheoryBased1991"/>
    <w:p>
      <w:pPr>
        <w:pStyle w:val="Bibliography"/>
      </w:pPr>
      <w:r>
        <w:t xml:space="preserve">Vessey, I. (1991). Cognitive</w:t>
      </w:r>
      <w:r>
        <w:t xml:space="preserve"> </w:t>
      </w:r>
      <w:r>
        <w:t xml:space="preserve">Fit</w:t>
      </w:r>
      <w:r>
        <w:t xml:space="preserve">:</w:t>
      </w:r>
      <w:r>
        <w:t xml:space="preserve"> </w:t>
      </w:r>
      <w:r>
        <w:t xml:space="preserve">A Theory-Based Analysis</w:t>
      </w:r>
      <w:r>
        <w:t xml:space="preserve"> </w:t>
      </w:r>
      <w:r>
        <w:t xml:space="preserve">of the</w:t>
      </w:r>
      <w:r>
        <w:t xml:space="preserve"> </w:t>
      </w:r>
      <w:r>
        <w:t xml:space="preserve">Graphs Versus Tables Literature</w:t>
      </w:r>
      <w:r>
        <w:t xml:space="preserve">.</w:t>
      </w:r>
      <w:r>
        <w:t xml:space="preserve"> </w:t>
      </w:r>
      <w:r>
        <w:rPr>
          <w:i/>
          <w:iCs/>
        </w:rPr>
        <w:t xml:space="preserve">Decision Sciences</w:t>
      </w:r>
      <w:r>
        <w:t xml:space="preserve">,</w:t>
      </w:r>
      <w:r>
        <w:t xml:space="preserve"> </w:t>
      </w:r>
      <w:r>
        <w:rPr>
          <w:i/>
          <w:iCs/>
        </w:rPr>
        <w:t xml:space="preserve">22</w:t>
      </w:r>
      <w:r>
        <w:t xml:space="preserve">(2), 219–240.</w:t>
      </w:r>
      <w:r>
        <w:t xml:space="preserve"> </w:t>
      </w:r>
      <w:hyperlink r:id="rId125">
        <w:r>
          <w:rPr>
            <w:rStyle w:val="Hyperlink"/>
          </w:rPr>
          <w:t xml:space="preserve">https://doi.org/10.1111/j.1540-5915.1991.tb00344.x</w:t>
        </w:r>
      </w:hyperlink>
    </w:p>
    <w:bookmarkEnd w:id="126"/>
    <w:bookmarkStart w:id="128"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7">
        <w:r>
          <w:rPr>
            <w:rStyle w:val="Hyperlink"/>
          </w:rPr>
          <w:t xml:space="preserve">https://doi.org/10.21105/joss.01686</w:t>
        </w:r>
      </w:hyperlink>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hyperlink" Id="rId101" Target="https://doi.org/10.1002/cb.2051" TargetMode="External" /><Relationship Type="http://schemas.openxmlformats.org/officeDocument/2006/relationships/hyperlink" Id="rId95" Target="https://doi.org/10.1007/s12053-008-9009-7" TargetMode="External" /><Relationship Type="http://schemas.openxmlformats.org/officeDocument/2006/relationships/hyperlink" Id="rId111" Target="https://doi.org/10.1016/j.buildenv.2022.109252" TargetMode="External" /><Relationship Type="http://schemas.openxmlformats.org/officeDocument/2006/relationships/hyperlink" Id="rId109" Target="https://doi.org/10.1016/j.enbuild.2010.10.010" TargetMode="External" /><Relationship Type="http://schemas.openxmlformats.org/officeDocument/2006/relationships/hyperlink" Id="rId105" Target="https://doi.org/10.1017/S1930297500008172" TargetMode="External" /><Relationship Type="http://schemas.openxmlformats.org/officeDocument/2006/relationships/hyperlink" Id="rId99" Target="https://doi.org/10.1037/0033-295X.102.4.684" TargetMode="External" /><Relationship Type="http://schemas.openxmlformats.org/officeDocument/2006/relationships/hyperlink" Id="rId103" Target="https://doi.org/10.1038/s41560-020-00704-6" TargetMode="External" /><Relationship Type="http://schemas.openxmlformats.org/officeDocument/2006/relationships/hyperlink" Id="rId115" Target="https://doi.org/10.1038/s41560-020-00763-9" TargetMode="External" /><Relationship Type="http://schemas.openxmlformats.org/officeDocument/2006/relationships/hyperlink" Id="rId93" Target="https://doi.org/10.1080/13669877.2015.1121909" TargetMode="External" /><Relationship Type="http://schemas.openxmlformats.org/officeDocument/2006/relationships/hyperlink" Id="rId118" Target="https://doi.org/10.1093/iwc/iwu009" TargetMode="External" /><Relationship Type="http://schemas.openxmlformats.org/officeDocument/2006/relationships/hyperlink" Id="rId125" Target="https://doi.org/10.1111/j.1540-5915.1991.tb00344.x" TargetMode="External" /><Relationship Type="http://schemas.openxmlformats.org/officeDocument/2006/relationships/hyperlink" Id="rId120" Target="https://doi.org/10.1111/j.1756-8765.2009.01066.x" TargetMode="External" /><Relationship Type="http://schemas.openxmlformats.org/officeDocument/2006/relationships/hyperlink" Id="rId113" Target="https://doi.org/10.1126/science.1154983" TargetMode="External" /><Relationship Type="http://schemas.openxmlformats.org/officeDocument/2006/relationships/hyperlink" Id="rId107" Target="https://doi.org/10.1126/science.290.5500.2261" TargetMode="External" /><Relationship Type="http://schemas.openxmlformats.org/officeDocument/2006/relationships/hyperlink" Id="rId97" Target="https://doi.org/10.1136/bmj.327.7417.741" TargetMode="External" /><Relationship Type="http://schemas.openxmlformats.org/officeDocument/2006/relationships/hyperlink" Id="rId123" Target="https://doi.org/10.1287/mnsc.2016.2703" TargetMode="External" /><Relationship Type="http://schemas.openxmlformats.org/officeDocument/2006/relationships/hyperlink" Id="rId91" Target="https://doi.org/10.18637/jss.v080.i01" TargetMode="External" /><Relationship Type="http://schemas.openxmlformats.org/officeDocument/2006/relationships/hyperlink" Id="rId127"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2/cb.2051" TargetMode="External" /><Relationship Type="http://schemas.openxmlformats.org/officeDocument/2006/relationships/hyperlink" Id="rId95" Target="https://doi.org/10.1007/s12053-008-9009-7" TargetMode="External" /><Relationship Type="http://schemas.openxmlformats.org/officeDocument/2006/relationships/hyperlink" Id="rId111" Target="https://doi.org/10.1016/j.buildenv.2022.109252" TargetMode="External" /><Relationship Type="http://schemas.openxmlformats.org/officeDocument/2006/relationships/hyperlink" Id="rId109" Target="https://doi.org/10.1016/j.enbuild.2010.10.010" TargetMode="External" /><Relationship Type="http://schemas.openxmlformats.org/officeDocument/2006/relationships/hyperlink" Id="rId105" Target="https://doi.org/10.1017/S1930297500008172" TargetMode="External" /><Relationship Type="http://schemas.openxmlformats.org/officeDocument/2006/relationships/hyperlink" Id="rId99" Target="https://doi.org/10.1037/0033-295X.102.4.684" TargetMode="External" /><Relationship Type="http://schemas.openxmlformats.org/officeDocument/2006/relationships/hyperlink" Id="rId103" Target="https://doi.org/10.1038/s41560-020-00704-6" TargetMode="External" /><Relationship Type="http://schemas.openxmlformats.org/officeDocument/2006/relationships/hyperlink" Id="rId115" Target="https://doi.org/10.1038/s41560-020-00763-9" TargetMode="External" /><Relationship Type="http://schemas.openxmlformats.org/officeDocument/2006/relationships/hyperlink" Id="rId93" Target="https://doi.org/10.1080/13669877.2015.1121909" TargetMode="External" /><Relationship Type="http://schemas.openxmlformats.org/officeDocument/2006/relationships/hyperlink" Id="rId118" Target="https://doi.org/10.1093/iwc/iwu009" TargetMode="External" /><Relationship Type="http://schemas.openxmlformats.org/officeDocument/2006/relationships/hyperlink" Id="rId125" Target="https://doi.org/10.1111/j.1540-5915.1991.tb00344.x" TargetMode="External" /><Relationship Type="http://schemas.openxmlformats.org/officeDocument/2006/relationships/hyperlink" Id="rId120" Target="https://doi.org/10.1111/j.1756-8765.2009.01066.x" TargetMode="External" /><Relationship Type="http://schemas.openxmlformats.org/officeDocument/2006/relationships/hyperlink" Id="rId113" Target="https://doi.org/10.1126/science.1154983" TargetMode="External" /><Relationship Type="http://schemas.openxmlformats.org/officeDocument/2006/relationships/hyperlink" Id="rId107" Target="https://doi.org/10.1126/science.290.5500.2261" TargetMode="External" /><Relationship Type="http://schemas.openxmlformats.org/officeDocument/2006/relationships/hyperlink" Id="rId97" Target="https://doi.org/10.1136/bmj.327.7417.741" TargetMode="External" /><Relationship Type="http://schemas.openxmlformats.org/officeDocument/2006/relationships/hyperlink" Id="rId123" Target="https://doi.org/10.1287/mnsc.2016.2703" TargetMode="External" /><Relationship Type="http://schemas.openxmlformats.org/officeDocument/2006/relationships/hyperlink" Id="rId91" Target="https://doi.org/10.18637/jss.v080.i01" TargetMode="External" /><Relationship Type="http://schemas.openxmlformats.org/officeDocument/2006/relationships/hyperlink" Id="rId127"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2024-12-08T09:02:01Z</dcterms:created>
  <dcterms:modified xsi:type="dcterms:W3CDTF">2024-12-08T09:02:01Z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