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98.png" ContentType="image/png"/>
  <Override PartName="/word/media/rId110.png" ContentType="image/png"/>
  <Override PartName="/word/media/rId102.png" ContentType="image/png"/>
  <Override PartName="/word/media/rId106.png" ContentType="image/png"/>
  <Override PartName="/word/media/rId118.png" ContentType="image/png"/>
  <Override PartName="/word/media/rId126.png" ContentType="image/png"/>
  <Override PartName="/word/media/rId114.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Planning to Save Energy: How Information Format Affects Accuracy</w:t>
      </w:r>
    </w:p>
    <w:p>
      <w:pPr>
        <w:pStyle w:val="FirstParagraph"/>
      </w:pPr>
      <w:r>
        <w:t xml:space="preserve"> </w:t>
      </w:r>
    </w:p>
    <w:p>
      <w:pPr>
        <w:pStyle w:val="BodyText"/>
      </w:pPr>
      <w:r>
        <w:t xml:space="preserve"> </w:t>
      </w:r>
    </w:p>
    <w:p>
      <w:r>
        <w:br w:type="page"/>
      </w:r>
    </w:p>
    <w:bookmarkEnd w:id="20"/>
    <w:bookmarkStart w:id="21" w:name="abstract"/>
    <w:p>
      <w:pPr>
        <w:pStyle w:val="Heading1"/>
      </w:pPr>
      <w:r>
        <w:t xml:space="preserve">Abstract</w:t>
      </w:r>
    </w:p>
    <w:p>
      <w:pPr>
        <w:pStyle w:val="AbstractFirstParagraph"/>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pPr>
        <w:pStyle w:val="BodyText"/>
      </w:pPr>
      <w:r>
        <w:rPr>
          <w:i/>
          <w:iCs/>
        </w:rPr>
        <w:t xml:space="preserve">Keywords</w:t>
      </w:r>
      <w:r>
        <w:t xml:space="preserve">: energy literacy, information format, planning accuracy, decision making</w:t>
      </w:r>
    </w:p>
    <w:p>
      <w:r>
        <w:br w:type="page"/>
      </w:r>
    </w:p>
    <w:bookmarkEnd w:id="21"/>
    <w:bookmarkStart w:id="22" w:name="firstheader"/>
    <w:p>
      <w:pPr>
        <w:pStyle w:val="Heading1"/>
      </w:pPr>
      <w:r>
        <w:t xml:space="preserve">Planning to Save Energy: How Information Format Affects Accuracy</w:t>
      </w:r>
    </w:p>
    <w:bookmarkEnd w:id="22"/>
    <w:bookmarkStart w:id="25"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w:t>
      </w:r>
      <w:hyperlink w:anchor="ref-bednarRecognitionResponseEnergy2020">
        <w:r>
          <w:rPr>
            <w:rStyle w:val="Hyperlink"/>
          </w:rPr>
          <w:t xml:space="preserve">Bednar &amp; Reames, 2020</w:t>
        </w:r>
      </w:hyperlink>
      <w:r>
        <w:t xml:space="preserve">;</w:t>
      </w:r>
      <w:r>
        <w:t xml:space="preserve"> </w:t>
      </w:r>
      <w:hyperlink w:anchor="X3b6a1d5d45806e48bd092325245544cfc853796">
        <w:r>
          <w:rPr>
            <w:rStyle w:val="Hyperlink"/>
          </w:rPr>
          <w:t xml:space="preserve">Memmott et al., 2021</w:t>
        </w:r>
      </w:hyperlink>
      <w:r>
        <w:t xml:space="preserve">)</w:t>
      </w:r>
      <w:r>
        <w:t xml:space="preserve">. Such households often experience unsafe coping strategies (e.g., foregoing heating during winter months), which disproportionately affect at-risk populations and heighten risks of utility disconnection</w:t>
      </w:r>
      <w:r>
        <w:t xml:space="preserve"> </w:t>
      </w:r>
      <w:r>
        <w:t xml:space="preserve">(</w:t>
      </w:r>
      <w:hyperlink w:anchor="X3b6a1d5d45806e48bd092325245544cfc853796">
        <w:r>
          <w:rPr>
            <w:rStyle w:val="Hyperlink"/>
          </w:rPr>
          <w:t xml:space="preserve">Memmott et al., 2021</w:t>
        </w:r>
      </w:hyperlink>
      <w:r>
        <w:t xml:space="preserve">)</w:t>
      </w:r>
      <w:r>
        <w:t xml:space="preserve">. Moreover, residential energy use contributes to climate change, intensifying the urgency for sustainable solutions</w:t>
      </w:r>
      <w:r>
        <w:t xml:space="preserve"> </w:t>
      </w:r>
      <w:r>
        <w:t xml:space="preserve">(</w:t>
      </w:r>
      <w:hyperlink w:anchor="ref-farghaliStrategiesEnergyContext2023">
        <w:r>
          <w:rPr>
            <w:rStyle w:val="Hyperlink"/>
          </w:rPr>
          <w:t xml:space="preserve">Farghali et al., 2023</w:t>
        </w:r>
      </w:hyperlink>
      <w:r>
        <w:t xml:space="preserve">)</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For example,</w:t>
      </w:r>
      <w:r>
        <w:t xml:space="preserve"> </w:t>
      </w:r>
      <w:r>
        <w:t xml:space="preserve">Abrahamse et al. (</w:t>
      </w:r>
      <w:hyperlink w:anchor="Xc77c1353231159de2b8cfbcbe6900637f731154">
        <w:r>
          <w:rPr>
            <w:rStyle w:val="Hyperlink"/>
          </w:rPr>
          <w:t xml:space="preserve">2007</w:t>
        </w:r>
      </w:hyperlink>
      <w:r>
        <w:t xml:space="preserve">)</w:t>
      </w:r>
      <w:r>
        <w:t xml:space="preserve"> </w:t>
      </w:r>
      <w:r>
        <w:t xml:space="preserve">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w:t>
      </w:r>
      <w:hyperlink w:anchor="X583a2aeb73133489b1bca7034fc4c88220fccdb">
        <w:r>
          <w:rPr>
            <w:rStyle w:val="Hyperlink"/>
          </w:rPr>
          <w:t xml:space="preserve">Canfield et al., 2017</w:t>
        </w:r>
      </w:hyperlink>
      <w:r>
        <w:t xml:space="preserve">;</w:t>
      </w:r>
      <w:r>
        <w:t xml:space="preserve"> </w:t>
      </w:r>
      <w:hyperlink w:anchor="X5af67f995b39de65510a4284ea565163ed449fb">
        <w:r>
          <w:rPr>
            <w:rStyle w:val="Hyperlink"/>
          </w:rPr>
          <w:t xml:space="preserve">Fischer, 2008</w:t>
        </w:r>
      </w:hyperlink>
      <w:r>
        <w:t xml:space="preserve">)</w:t>
      </w:r>
      <w:r>
        <w:t xml:space="preserve">. Consequently, a pressing challenge lies in designing communication strategies that effectively convey energy data and motivate practical conservation decisions. We set out to explore whether consumers are able to develop plans that would help meet certain energy consumption goals.</w:t>
      </w:r>
    </w:p>
    <w:bookmarkStart w:id="23" w:name="representation-formats"/>
    <w:p>
      <w:pPr>
        <w:pStyle w:val="Heading3"/>
      </w:pPr>
      <w:r>
        <w:t xml:space="preserve">Representation Formats</w:t>
      </w:r>
    </w:p>
    <w:p>
      <w:pPr>
        <w:pStyle w:val="FirstParagraph"/>
      </w:pPr>
      <w:r>
        <w:t xml:space="preserve">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Studies such as</w:t>
      </w:r>
      <w:r>
        <w:t xml:space="preserve"> </w:t>
      </w:r>
      <w:r>
        <w:t xml:space="preserve">DeWaters and Powers (</w:t>
      </w:r>
      <w:hyperlink w:anchor="ref-dewatersEnergyLiteracySecondary2011">
        <w:r>
          <w:rPr>
            <w:rStyle w:val="Hyperlink"/>
          </w:rPr>
          <w:t xml:space="preserve">2011</w:t>
        </w:r>
      </w:hyperlink>
      <w:r>
        <w:t xml:space="preserve">)</w:t>
      </w:r>
      <w:r>
        <w:t xml:space="preserve"> </w:t>
      </w:r>
      <w:r>
        <w:t xml:space="preserve">have highlighted that while individuals may express concern for energy issues, their actual knowledge and behaviors may not align, underscoring the importance of fostering a comprehensive understanding of energy concepts to facilitate effective conservation actions. By disentangling the effects of content, format, and individual differences in energy literacy on understanding, preferences, and intentions,</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demonstrated that easy-to-implement communication strategies in energy bills can lead to energy-saving behaviors.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w:t>
      </w:r>
      <w:hyperlink w:anchor="X017f3aa19ce35c5f02a682eb2019dab7020f49c">
        <w:r>
          <w:rPr>
            <w:rStyle w:val="Hyperlink"/>
          </w:rPr>
          <w:t xml:space="preserve">Abrahamse et al., 2005</w:t>
        </w:r>
      </w:hyperlink>
      <w:r>
        <w:t xml:space="preserve">;</w:t>
      </w:r>
      <w:r>
        <w:t xml:space="preserve"> </w:t>
      </w:r>
      <w:hyperlink w:anchor="X6b928f3b3d6d58eb00a6f05f7cc31476714d0fc">
        <w:r>
          <w:rPr>
            <w:rStyle w:val="Hyperlink"/>
          </w:rPr>
          <w:t xml:space="preserve">Nemati &amp; Penn, 2020</w:t>
        </w:r>
      </w:hyperlink>
      <w:r>
        <w:t xml:space="preserve">)</w:t>
      </w:r>
      <w:r>
        <w:t xml:space="preserve">. For instance,</w:t>
      </w:r>
      <w:r>
        <w:t xml:space="preserve"> </w:t>
      </w:r>
      <w:r>
        <w:t xml:space="preserve">Abrahamse et al. (</w:t>
      </w:r>
      <w:hyperlink w:anchor="X017f3aa19ce35c5f02a682eb2019dab7020f49c">
        <w:r>
          <w:rPr>
            <w:rStyle w:val="Hyperlink"/>
          </w:rPr>
          <w:t xml:space="preserve">2005</w:t>
        </w:r>
      </w:hyperlink>
      <w:r>
        <w:t xml:space="preserve">)</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w:t>
      </w:r>
      <w:hyperlink w:anchor="Xd44db9aff911e722b730a7e513225ab165d3721">
        <w:r>
          <w:rPr>
            <w:rStyle w:val="Hyperlink"/>
          </w:rPr>
          <w:t xml:space="preserve">2024</w:t>
        </w:r>
      </w:hyperlink>
      <w:r>
        <w:t xml:space="preserve">)</w:t>
      </w:r>
      <w:r>
        <w:t xml:space="preserve"> </w:t>
      </w:r>
      <w:r>
        <w:t xml:space="preserve">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w:t>
      </w:r>
      <w:hyperlink w:anchor="ref-attariPublicPerceptionsEnergy2010">
        <w:r>
          <w:rPr>
            <w:rStyle w:val="Hyperlink"/>
          </w:rPr>
          <w:t xml:space="preserve">Attari et al., 2010</w:t>
        </w:r>
      </w:hyperlink>
      <w:r>
        <w:t xml:space="preserve">)</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w:t>
      </w:r>
      <w:hyperlink w:anchor="X6b928f3b3d6d58eb00a6f05f7cc31476714d0fc">
        <w:r>
          <w:rPr>
            <w:rStyle w:val="Hyperlink"/>
          </w:rPr>
          <w:t xml:space="preserve">Nemati &amp; Penn, 2020</w:t>
        </w:r>
      </w:hyperlink>
      <w:r>
        <w:t xml:space="preserve">)</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w:t>
      </w:r>
      <w:hyperlink w:anchor="ref-weberWhyCanOnly2018">
        <w:r>
          <w:rPr>
            <w:rStyle w:val="Hyperlink"/>
          </w:rPr>
          <w:t xml:space="preserve">2018</w:t>
        </w:r>
      </w:hyperlink>
      <w:r>
        <w:t xml:space="preserve">)</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w:t>
      </w:r>
      <w:r>
        <w:t xml:space="preserve"> </w:t>
      </w:r>
      <w:r>
        <w:t xml:space="preserve">(</w:t>
      </w:r>
      <w:hyperlink w:anchor="X583a2aeb73133489b1bca7034fc4c88220fccdb">
        <w:r>
          <w:rPr>
            <w:rStyle w:val="Hyperlink"/>
          </w:rPr>
          <w:t xml:space="preserve">Canfield et al., 2017</w:t>
        </w:r>
      </w:hyperlink>
      <w:r>
        <w:t xml:space="preserve">)</w:t>
      </w:r>
      <w:r>
        <w:t xml:space="preserve">. Furthermore, the framing of energy costs, such as displaying monthly rather than daily or yearly expenses, can significantly affect consumers’ choices</w:t>
      </w:r>
      <w:r>
        <w:t xml:space="preserve"> </w:t>
      </w:r>
      <w:r>
        <w:t xml:space="preserve">(</w:t>
      </w:r>
      <w:hyperlink w:anchor="ref-gillConsumerMatchingCosts2022">
        <w:r>
          <w:rPr>
            <w:rStyle w:val="Hyperlink"/>
          </w:rPr>
          <w:t xml:space="preserve">Gill et al., 2022</w:t>
        </w:r>
      </w:hyperlink>
      <w:r>
        <w:t xml:space="preserve">)</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as well as better long-term appliance selection with information presented in monetary terms</w:t>
      </w:r>
      <w:r>
        <w:t xml:space="preserve"> </w:t>
      </w:r>
      <w:r>
        <w:t xml:space="preserve">(</w:t>
      </w:r>
      <w:hyperlink w:anchor="ref-blaschBoundedlyRationalConsumers2019">
        <w:r>
          <w:rPr>
            <w:rStyle w:val="Hyperlink"/>
          </w:rPr>
          <w:t xml:space="preserve">Blasch et al., 2019</w:t>
        </w:r>
      </w:hyperlink>
      <w:r>
        <w:t xml:space="preserve">)</w:t>
      </w:r>
      <w:r>
        <w:t xml:space="preserve">. However, it remains uncertain how these reported benefits might generalize to the more complex task of household energy planning, where usage patterns are multifaceted and subject to a variety of contextual influences.</w:t>
      </w:r>
    </w:p>
    <w:bookmarkEnd w:id="23"/>
    <w:bookmarkStart w:id="24" w:name="overview-of-current-research"/>
    <w:p>
      <w:pPr>
        <w:pStyle w:val="Heading3"/>
      </w:pPr>
      <w:r>
        <w:t xml:space="preserve">Overview of Current Research</w:t>
      </w:r>
    </w:p>
    <w:p>
      <w:pPr>
        <w:pStyle w:val="FirstParagraph"/>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hypothesized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examined the potential of several exploratory variables, such as goal difficulty and the rounding of numerical values, to further elucidate the factors that influence planning accuracy.</w:t>
      </w:r>
    </w:p>
    <w:bookmarkEnd w:id="24"/>
    <w:bookmarkEnd w:id="25"/>
    <w:bookmarkStart w:id="33"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29" w:name="methods"/>
    <w:p>
      <w:pPr>
        <w:pStyle w:val="Heading2"/>
      </w:pPr>
      <w:r>
        <w:t xml:space="preserve">Methods</w:t>
      </w:r>
    </w:p>
    <w:bookmarkStart w:id="26"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235 participants were initially recruited. Data from six participants were excluded due to unusually large error magnitudes (error magnitudes exceeding 2.5 standard deviations from the group mean), resulting in a final sample of 229 participants (136 males, 92 females, 1 participant not specified). The average age of participants was 34.3 years (SD = 10.2). Most participants (76%) reported using a calculator to complete the task.</w:t>
      </w:r>
    </w:p>
    <w:bookmarkEnd w:id="26"/>
    <w:bookmarkStart w:id="27"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Participants also completed an 8-item questionnaire assessing their knowledge of energy consumption and conversion</w:t>
      </w:r>
      <w:r>
        <w:t xml:space="preserve"> </w:t>
      </w:r>
      <w:r>
        <w:t xml:space="preserve">(</w:t>
      </w:r>
      <w:hyperlink w:anchor="ref-dewatersEnergyLiteracySecondary2011">
        <w:r>
          <w:rPr>
            <w:rStyle w:val="Hyperlink"/>
          </w:rPr>
          <w:t xml:space="preserve">DeWaters &amp; Powers, 2011</w:t>
        </w:r>
      </w:hyperlink>
      <w:r>
        <w:t xml:space="preserve">)</w:t>
      </w:r>
      <w:r>
        <w:t xml:space="preserve">, and a question indicating whether they used a calculator for the task.</w:t>
      </w:r>
    </w:p>
    <w:bookmarkEnd w:id="27"/>
    <w:bookmarkStart w:id="28"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bookmarkEnd w:id="28"/>
    <w:bookmarkEnd w:id="29"/>
    <w:bookmarkStart w:id="31" w:name="results"/>
    <w:p>
      <w:pPr>
        <w:pStyle w:val="Heading2"/>
      </w:pPr>
      <w:r>
        <w:t xml:space="preserve">Results</w:t>
      </w:r>
    </w:p>
    <w:p>
      <w:pPr>
        <w:pStyle w:val="FirstParagraph"/>
      </w:pPr>
      <w:r>
        <w:t xml:space="preserve">All preprocessing and analyses were carried out in</w:t>
      </w:r>
      <w:r>
        <w:t xml:space="preserve"> </w:t>
      </w:r>
      <w:r>
        <w:rPr>
          <w:rStyle w:val="VerbatimChar"/>
        </w:rPr>
        <w:t xml:space="preserve">R</w:t>
      </w:r>
      <w:r>
        <w:t xml:space="preserve"> </w:t>
      </w:r>
      <w:r>
        <w:t xml:space="preserve">version 4.4.3</w:t>
      </w:r>
      <w:r>
        <w:t xml:space="preserve"> </w:t>
      </w:r>
      <w:r>
        <w:t xml:space="preserve">(</w:t>
      </w:r>
      <w:hyperlink w:anchor="X7b3c79bfb7654af1f4b03dba64dad1a6765c972">
        <w:r>
          <w:rPr>
            <w:rStyle w:val="Hyperlink"/>
          </w:rPr>
          <w:t xml:space="preserve">Team, 2020</w:t>
        </w:r>
      </w:hyperlink>
      <w:r>
        <w:t xml:space="preserve">)</w:t>
      </w:r>
      <w:r>
        <w:t xml:space="preserve"> </w:t>
      </w:r>
      <w:r>
        <w:t xml:space="preserve">and the Tidyverse package</w:t>
      </w:r>
      <w:r>
        <w:t xml:space="preserve"> </w:t>
      </w:r>
      <w:r>
        <w:t xml:space="preserve">(</w:t>
      </w:r>
      <w:hyperlink w:anchor="ref-wickhamWelcomeTidyverse2019">
        <w:r>
          <w:rPr>
            <w:rStyle w:val="Hyperlink"/>
          </w:rPr>
          <w:t xml:space="preserve">Wickham et al., 2019</w:t>
        </w:r>
      </w:hyperlink>
      <w:r>
        <w:t xml:space="preserve">)</w:t>
      </w:r>
      <w:r>
        <w:t xml:space="preserve">. Mixed Bayesian regressions were fit using the</w:t>
      </w:r>
      <w:r>
        <w:t xml:space="preserve"> </w:t>
      </w:r>
      <w:r>
        <w:rPr>
          <w:rStyle w:val="VerbatimChar"/>
        </w:rPr>
        <w:t xml:space="preserve">brms</w:t>
      </w:r>
      <w:r>
        <w:t xml:space="preserve"> </w:t>
      </w:r>
      <w:r>
        <w:t xml:space="preserve">package</w:t>
      </w:r>
      <w:r>
        <w:t xml:space="preserve"> </w:t>
      </w:r>
      <w:r>
        <w:t xml:space="preserve">(</w:t>
      </w:r>
      <w:hyperlink w:anchor="ref-burknerBrmsPackageBayesian2017">
        <w:r>
          <w:rPr>
            <w:rStyle w:val="Hyperlink"/>
          </w:rPr>
          <w:t xml:space="preserve">Bürkner, 2017</w:t>
        </w:r>
      </w:hyperlink>
      <w:r>
        <w:t xml:space="preserve">)</w:t>
      </w:r>
      <w:r>
        <w:t xml:space="preserve">, with participants and family scenario set as random effects.</w:t>
      </w:r>
    </w:p>
    <w:p>
      <w:pPr>
        <w:pStyle w:val="BodyText"/>
      </w:pPr>
      <w:r>
        <w:t xml:space="preserve">The summary statistics in</w:t>
      </w:r>
      <w:r>
        <w:t xml:space="preserve"> </w:t>
      </w:r>
      <w:hyperlink w:anchor="tbl-s1-agg">
        <w:r>
          <w:rPr>
            <w:rStyle w:val="Hyperlink"/>
          </w:rPr>
          <w:t xml:space="preserve">Table 1</w:t>
        </w:r>
      </w:hyperlink>
      <w:r>
        <w:t xml:space="preserve"> </w:t>
      </w:r>
      <w:r>
        <w:t xml:space="preserve">suggest descriptive differences in planning accuracy across reference class conditions, with the kWh condition yielding the highest rates of exact matches, and lowest absolute deviations from the target reduction goal. However, use of these performance metrics to compare conditions is complicated by the non-normality of their distributions. Specifically, the substantial standard deviations associated with the match rates in</w:t>
      </w:r>
      <w:r>
        <w:t xml:space="preserve"> </w:t>
      </w:r>
      <w:hyperlink w:anchor="tbl-s1-agg">
        <w:r>
          <w:rPr>
            <w:rStyle w:val="Hyperlink"/>
          </w:rPr>
          <w:t xml:space="preserve">Table 1</w:t>
        </w:r>
      </w:hyperlink>
      <w:r>
        <w:t xml:space="preserve">, coupled with the visual evidence presented in</w:t>
      </w:r>
      <w:r>
        <w:t xml:space="preserve"> </w:t>
      </w:r>
      <w:hyperlink w:anchor="fig-s1-log-dist">
        <w:r>
          <w:rPr>
            <w:rStyle w:val="Hyperlink"/>
          </w:rPr>
          <w:t xml:space="preserve">Figure 2</w:t>
        </w:r>
      </w:hyperlink>
      <w:r>
        <w:t xml:space="preserve">, underscore the markedly skewed, and potentially bi-modal distribution of the underlying planning errors.</w:t>
      </w:r>
    </w:p>
    <w:p>
      <w:pPr>
        <w:pStyle w:val="BodyText"/>
      </w:pPr>
      <w:r>
        <w:t xml:space="preserve">In light of these distributional characteristics, we elected to bin planning performance into ordered accuracy levels (as shown in</w:t>
      </w:r>
      <w:r>
        <w:t xml:space="preserve"> </w:t>
      </w:r>
      <w:hyperlink w:anchor="tbl-s1-prop">
        <w:r>
          <w:rPr>
            <w:rStyle w:val="Hyperlink"/>
          </w:rPr>
          <w:t xml:space="preserve">Table 2</w:t>
        </w:r>
      </w:hyperlink>
      <w:r>
        <w:t xml:space="preserve">). Consequently, we binned individual trial outcomes into three distinct, ordered categories:</w:t>
      </w:r>
      <w:r>
        <w:t xml:space="preserve"> </w:t>
      </w:r>
      <w:r>
        <w:t xml:space="preserve">“Exact match”</w:t>
      </w:r>
      <w:r>
        <w:t xml:space="preserve"> </w:t>
      </w:r>
      <w:r>
        <w:t xml:space="preserve">(0% absolute error),</w:t>
      </w:r>
      <w:r>
        <w:t xml:space="preserve"> </w:t>
      </w:r>
      <w:r>
        <w:t xml:space="preserve">“0.01-5% error”</w:t>
      </w:r>
      <w:r>
        <w:t xml:space="preserve"> </w:t>
      </w:r>
      <w:r>
        <w:t xml:space="preserve">(minor deviations), and</w:t>
      </w:r>
      <w:r>
        <w:t xml:space="preserve"> </w:t>
      </w:r>
      <w:r>
        <w:t xml:space="preserve">“Over 5% error”</w:t>
      </w:r>
      <w:r>
        <w:t xml:space="preserve"> </w:t>
      </w:r>
      <w:r>
        <w:t xml:space="preserve">(larger deviations). This binned</w:t>
      </w:r>
      <w:r>
        <w:t xml:space="preserve"> </w:t>
      </w:r>
      <w:r>
        <w:rPr>
          <w:rStyle w:val="VerbatimChar"/>
        </w:rPr>
        <w:t xml:space="preserve">accuracy_level</w:t>
      </w:r>
      <w:r>
        <w:t xml:space="preserve"> </w:t>
      </w:r>
      <w:r>
        <w:t xml:space="preserve">variable subsequently served as the dependent measure in our primary inferential analyses examining the impact of reference class on planning accuracy</w:t>
      </w:r>
    </w:p>
    <w:p>
      <w:r>
        <w:br w:type="page"/>
      </w:r>
    </w:p>
    <w:p>
      <w:pPr>
        <w:pStyle w:val="BodyText"/>
      </w:pPr>
      <w:r>
        <w:t xml:space="preserve">Group comparisons were conducted with Bayesian ordinal regression</w:t>
      </w:r>
      <w:r>
        <w:t xml:space="preserve"> </w:t>
      </w:r>
      <w:r>
        <w:t xml:space="preserve">(</w:t>
      </w:r>
      <w:hyperlink w:anchor="ref-burknerOrdinalRegressionModels2019">
        <w:r>
          <w:rPr>
            <w:rStyle w:val="Hyperlink"/>
          </w:rPr>
          <w:t xml:space="preserve">Bürkner &amp; Vuorre, 2019</w:t>
        </w:r>
      </w:hyperlink>
      <w:r>
        <w:t xml:space="preserve">;</w:t>
      </w:r>
      <w:r>
        <w:t xml:space="preserve"> </w:t>
      </w:r>
      <w:hyperlink w:anchor="ref-kruschkeDoingBayesianData2014">
        <w:r>
          <w:rPr>
            <w:rStyle w:val="Hyperlink"/>
          </w:rPr>
          <w:t xml:space="preserve">Kruschke, 2014</w:t>
        </w:r>
      </w:hyperlink>
      <w:r>
        <w:t xml:space="preserve">)</w:t>
      </w:r>
      <w:r>
        <w:t xml:space="preserve">. We modeled the ordered accuracy outcome as a function of the reference class condition, while controlling for random variation across participants and family scenarios (</w:t>
      </w:r>
      <w:hyperlink w:anchor="eq-e1">
        <w:r>
          <w:rPr>
            <w:rStyle w:val="Hyperlink"/>
          </w:rPr>
          <w:t xml:space="preserve">Equation 1</w:t>
        </w:r>
      </w:hyperlink>
      <w:r>
        <w:t xml:space="preserve">).</w:t>
      </w:r>
    </w:p>
    <w:p>
      <w:pPr>
        <w:pStyle w:val="BodyText"/>
      </w:pPr>
      <w:bookmarkStart w:id="30" w:name="eq-e1"/>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sepChr m:val=""/>
              <m:endChr m:val=")"/>
              <m:grow/>
            </m:dPr>
            <m:e>
              <m:r>
                <m:t>1</m:t>
              </m:r>
              <m:r>
                <m:rPr>
                  <m:sty m:val="p"/>
                </m:rPr>
                <m:t>|</m:t>
              </m:r>
              <m:r>
                <m:rPr>
                  <m:nor/>
                  <m:sty m:val="p"/>
                </m:rPr>
                <m:t>id</m:t>
              </m:r>
            </m:e>
          </m:d>
          <m:r>
            <m:rPr>
              <m:sty m:val="p"/>
            </m:rPr>
            <m:t>+</m:t>
          </m:r>
          <m:d>
            <m:dPr>
              <m:begChr m:val="("/>
              <m:sepChr m:val=""/>
              <m:endChr m:val=")"/>
              <m:grow/>
            </m:dPr>
            <m:e>
              <m:r>
                <m:t>1</m:t>
              </m:r>
              <m:r>
                <m:rPr>
                  <m:sty m:val="p"/>
                </m:rPr>
                <m:t>|</m:t>
              </m:r>
              <m:r>
                <m:rPr>
                  <m:nor/>
                  <m:sty m:val="p"/>
                </m:rPr>
                <m:t>Family Scenario</m:t>
              </m:r>
            </m:e>
          </m:d>
          <m:r>
            <m:t>  </m:t>
          </m:r>
          <m:d>
            <m:dPr>
              <m:begChr m:val="("/>
              <m:sepChr m:val=""/>
              <m:endChr m:val=")"/>
              <m:grow/>
            </m:dPr>
            <m:e>
              <m:r>
                <m:t>1</m:t>
              </m:r>
            </m:e>
          </m:d>
        </m:oMath>
      </m:oMathPara>
      <w:bookmarkEnd w:id="30"/>
    </w:p>
    <w:p>
      <w:pPr>
        <w:pStyle w:val="FirstParagraph"/>
      </w:pPr>
      <w:r>
        <w:t xml:space="preserve">This approach allows the estimation of threshold parameters and regression coefficients that characterize how changes in predictor variables (such as the reference class: kWh, percentage, or USD) relate to probabilities of being in each accuracy category. We used a cumulative logit link function to model the ordered accuracy outcome, and we specified weakly informative priors</w:t>
      </w:r>
      <w:r>
        <w:t xml:space="preserve"> </w:t>
      </w:r>
      <w:r>
        <w:t xml:space="preserve">(</w:t>
      </w:r>
      <w:hyperlink w:anchor="ref-kruschkeDoingBayesianData2014">
        <w:r>
          <w:rPr>
            <w:rStyle w:val="Hyperlink"/>
          </w:rPr>
          <w:t xml:space="preserve">Kruschke, 2014</w:t>
        </w:r>
      </w:hyperlink>
      <w:r>
        <w:t xml:space="preserve">)</w:t>
      </w:r>
      <w:r>
        <w:t xml:space="preserve"> </w:t>
      </w:r>
      <w:r>
        <w:t xml:space="preserve">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level of accuracy (0% absolute error; 0.01-5% error; Over 5% error). Bayesian regression provides a probability distribution over the plausible values of the model parameters, allowing for a probabilistic interpretation of the uncertainty associated with these estimates. The width of the credible intervals (Bayesian equivalent of confidence intervals) derived from the posterior distribution directly indicates the degree of uncertainty in these effects.</w:t>
      </w:r>
    </w:p>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w:t>
      </w:r>
      <w:r>
        <w:t xml:space="preserve"> </w:t>
      </w:r>
      <w:hyperlink w:anchor="tbl-s1-ord">
        <w:r>
          <w:rPr>
            <w:rStyle w:val="Hyperlink"/>
          </w:rPr>
          <w:t xml:space="preserve">Table 4</w:t>
        </w:r>
      </w:hyperlink>
      <w:r>
        <w:t xml:space="preserve">)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To evaluate the descriptive adequacy of our statistical model, we performed posterior predictive checks, a standard Bayesian technique wherein data simulated from the fitted ordinal model are compared against the observed data. As shown in</w:t>
      </w:r>
      <w:r>
        <w:t xml:space="preserve"> </w:t>
      </w:r>
      <w:hyperlink w:anchor="fig-s1-ppd">
        <w:r>
          <w:rPr>
            <w:rStyle w:val="Hyperlink"/>
          </w:rPr>
          <w:t xml:space="preserve">Figure 3</w:t>
        </w:r>
      </w:hyperlink>
      <w:r>
        <w:t xml:space="preserve">, which compares the observed proportions of participant responses for each accuracy level (represented by bars) to the models predicted proportions (represented by points). The close correspondence between the observed bars and predicted points across different accuracy levels and reference class conditions suggests that the model adequately captures the patterns in the observed data.</w:t>
      </w:r>
    </w:p>
    <w:p>
      <w:pPr>
        <w:pStyle w:val="BodyText"/>
      </w:pPr>
      <w:r>
        <w:t xml:space="preserve">To further investigate individual factors that may influence planning accuracy, we examined the relationship between participants’ energy literacy scores and their performance on the task. A Bayesian linear regression model was fit with log-transformed absolute error as the outcome variable and energy literacy score as the predictor, controlling for random effects of participant and 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31"/>
    <w:bookmarkStart w:id="32"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32"/>
    <w:bookmarkEnd w:id="33"/>
    <w:bookmarkStart w:id="39" w:name="experiment-2"/>
    <w:p>
      <w:pPr>
        <w:pStyle w:val="Heading1"/>
      </w:pPr>
      <w:r>
        <w:t xml:space="preserve">Experiment 2</w:t>
      </w:r>
    </w:p>
    <w:bookmarkStart w:id="34" w:name="introduction-1"/>
    <w:p>
      <w:pPr>
        <w:pStyle w:val="Heading2"/>
      </w:pPr>
      <w:r>
        <w:t xml:space="preserve">Introduction</w:t>
      </w:r>
    </w:p>
    <w:p>
      <w:pPr>
        <w:pStyle w:val="FirstParagraph"/>
      </w:pPr>
      <w:r>
        <w:t xml:space="preserve">Building upon the preliminary evidence from Experiment 1, which indicated that representing energy reduction targets in absolute kilowatt-hour (kWh) units might yield superior planning accuracy relative to percentage or monetary formats, Experiment 2 was designed to further probe the robustness and nuances of this effect. A primary objective was to replicate the core finding regarding the influence of reference class on planning precision. Additionally, this second experiment sought to broaden the investigation by examining the potential impact of other task parameters; specifically, we manipulated the difficulty of the reduction goal (comparing a 10% versus a 15% target) and the granularity of the presented numerical usage data (using exact versus rounded figures).</w:t>
      </w:r>
    </w:p>
    <w:bookmarkEnd w:id="34"/>
    <w:bookmarkStart w:id="35" w:name="methods-1"/>
    <w:p>
      <w:pPr>
        <w:pStyle w:val="Heading2"/>
      </w:pPr>
      <w:r>
        <w:t xml:space="preserve">Methods</w:t>
      </w:r>
    </w:p>
    <w:p>
      <w:pPr>
        <w:pStyle w:val="FirstParagraph"/>
      </w:pPr>
      <w:r>
        <w:t xml:space="preserve">In Experiment 2, 206 participants were recruited from Amazon Mechanical Turk, but data from 10 participants were corrupted due to experimenter error, and six were excluded because their error magnitudes were statistical outliers (error magnitudes exceeding 2.5 standard deviations from the group mean), leaving a final sample of 190 participants (102 males, 88 females, with an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family scenarios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35"/>
    <w:bookmarkStart w:id="37" w:name="results-1"/>
    <w:p>
      <w:pPr>
        <w:pStyle w:val="Heading2"/>
      </w:pPr>
      <w:r>
        <w:t xml:space="preserve">Results</w:t>
      </w:r>
    </w:p>
    <w:p>
      <w:pPr>
        <w:pStyle w:val="FirstParagraph"/>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 (</w:t>
      </w:r>
      <w:hyperlink w:anchor="eq-e2">
        <w:r>
          <w:rPr>
            <w:rStyle w:val="Hyperlink"/>
          </w:rPr>
          <w:t xml:space="preserve">Equation 2</w:t>
        </w:r>
      </w:hyperlink>
      <w:r>
        <w:t xml:space="preserve">). The model was fit using the brms package in R, with weakly informative priors for the regression coefficients and cutpoints</w:t>
      </w:r>
      <w:r>
        <w:t xml:space="preserve"> </w:t>
      </w:r>
      <w:r>
        <w:t xml:space="preserve">(</w:t>
      </w:r>
      <w:hyperlink w:anchor="ref-kruschkeDoingBayesianData2014">
        <w:r>
          <w:rPr>
            <w:rStyle w:val="Hyperlink"/>
          </w:rPr>
          <w:t xml:space="preserve">Kruschke, 2014</w:t>
        </w:r>
      </w:hyperlink>
      <w:r>
        <w:t xml:space="preserve">)</w:t>
      </w:r>
      <w:r>
        <w:t xml:space="preserve">.</w:t>
      </w:r>
    </w:p>
    <w:p>
      <w:pPr>
        <w:pStyle w:val="BodyText"/>
      </w:pPr>
      <w:bookmarkStart w:id="36" w:name="eq-e2"/>
      <m:oMathPara>
        <m:oMathParaPr>
          <m:jc m:val="center"/>
        </m:oMathParaPr>
        <m:oMath>
          <m:r>
            <m:rPr>
              <m:nor/>
              <m:sty m:val="p"/>
            </m:rPr>
            <m:t>Accuracy</m:t>
          </m:r>
          <m:r>
            <m:rPr>
              <m:sty m:val="p"/>
            </m:rPr>
            <m:t>∼</m:t>
          </m:r>
          <m:r>
            <m:rPr>
              <m:nor/>
              <m:sty m:val="p"/>
            </m:rPr>
            <m:t>Reference Class</m:t>
          </m:r>
          <m:r>
            <m:rPr>
              <m:sty m:val="p"/>
            </m:rPr>
            <m:t>+</m:t>
          </m:r>
          <m:r>
            <m:rPr>
              <m:nor/>
              <m:sty m:val="p"/>
            </m:rPr>
            <m:t>Calculator</m:t>
          </m:r>
          <m:r>
            <m:rPr>
              <m:sty m:val="p"/>
            </m:rPr>
            <m:t>+</m:t>
          </m:r>
          <m:r>
            <m:rPr>
              <m:nor/>
              <m:sty m:val="p"/>
            </m:rPr>
            <m:t>Goal</m:t>
          </m:r>
          <m:r>
            <m:rPr>
              <m:sty m:val="p"/>
            </m:rPr>
            <m:t>+</m:t>
          </m:r>
          <m:r>
            <m:rPr>
              <m:nor/>
              <m:sty m:val="p"/>
            </m:rPr>
            <m:t>Rounded</m:t>
          </m:r>
          <m:r>
            <m:rPr>
              <m:sty m:val="p"/>
            </m:rPr>
            <m:t>+</m:t>
          </m:r>
          <m:d>
            <m:dPr>
              <m:begChr m:val="("/>
              <m:sepChr m:val=""/>
              <m:endChr m:val=")"/>
              <m:grow/>
            </m:dPr>
            <m:e>
              <m:r>
                <m:t>1</m:t>
              </m:r>
              <m:r>
                <m:rPr>
                  <m:sty m:val="p"/>
                </m:rPr>
                <m:t>|</m:t>
              </m:r>
              <m:r>
                <m:rPr>
                  <m:nor/>
                  <m:sty m:val="p"/>
                </m:rPr>
                <m:t>id</m:t>
              </m:r>
            </m:e>
          </m:d>
          <m:r>
            <m:rPr>
              <m:sty m:val="p"/>
            </m:rPr>
            <m:t>+</m:t>
          </m:r>
          <m:d>
            <m:dPr>
              <m:begChr m:val="("/>
              <m:sepChr m:val=""/>
              <m:endChr m:val=")"/>
              <m:grow/>
            </m:dPr>
            <m:e>
              <m:r>
                <m:t>1</m:t>
              </m:r>
              <m:r>
                <m:rPr>
                  <m:sty m:val="p"/>
                </m:rPr>
                <m:t>|</m:t>
              </m:r>
              <m:r>
                <m:rPr>
                  <m:nor/>
                  <m:sty m:val="p"/>
                </m:rPr>
                <m:t>Family Scenario</m:t>
              </m:r>
            </m:e>
          </m:d>
          <m:r>
            <m:t>  </m:t>
          </m:r>
          <m:d>
            <m:dPr>
              <m:begChr m:val="("/>
              <m:sepChr m:val=""/>
              <m:endChr m:val=")"/>
              <m:grow/>
            </m:dPr>
            <m:e>
              <m:r>
                <m:t>2</m:t>
              </m:r>
            </m:e>
          </m:d>
        </m:oMath>
      </m:oMathPara>
      <w:bookmarkEnd w:id="36"/>
    </w:p>
    <w:p>
      <w:pPr>
        <w:pStyle w:val="FirstParagraph"/>
      </w:pPr>
      <w:r>
        <w:t xml:space="preserve">See</w:t>
      </w:r>
      <w:r>
        <w:t xml:space="preserve"> </w:t>
      </w:r>
      <w:hyperlink w:anchor="tbl-s2-agg">
        <w:r>
          <w:rPr>
            <w:rStyle w:val="Hyperlink"/>
          </w:rPr>
          <w:t xml:space="preserve">Table 5</w:t>
        </w:r>
      </w:hyperlink>
      <w:r>
        <w:t xml:space="preserve"> </w:t>
      </w:r>
      <w:r>
        <w:t xml:space="preserve">for a breakdown of the descriptive statistics. 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 (</w:t>
      </w:r>
      <w:hyperlink w:anchor="tbl-s2-ord">
        <w:r>
          <w:rPr>
            <w:rStyle w:val="Hyperlink"/>
          </w:rPr>
          <w:t xml:space="preserve">Table 7</w:t>
        </w:r>
      </w:hyperlink>
      <w:r>
        <w:t xml:space="preserve">).</w:t>
      </w:r>
    </w:p>
    <w:p>
      <w:pPr>
        <w:pStyle w:val="BodyText"/>
      </w:pPr>
      <w:r>
        <w:t xml:space="preserve">We also found that using rounded numbers modestly improved accuracy (Estimate = -0.53, 95% CI: [-0.96, -0.11]), with participants having 0.59 times the odds of falling into a worse accuracy category when working with rounded values. The more challenging 15% reduction goal was associated with slightly better performance compared to the 10% goal, Estimate = -0.39, 95% CI: [-0.81, 0.04], though this effect was relatively small. Consistent with Experiment 1, the use of a calculator had a large and significant effect on accuracy. The coefficient for calc-NoCalculator was Estimate =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Reference 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 falling into the</w:t>
      </w:r>
      <w:r>
        <w:t xml:space="preserve"> </w:t>
      </w:r>
      <w:r>
        <w:t xml:space="preserve">“Over 5% error”</w:t>
      </w:r>
      <w:r>
        <w:t xml:space="preserve"> </w:t>
      </w:r>
      <w:r>
        <w:t xml:space="preserve">category 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37"/>
    <w:bookmarkStart w:id="38"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confidently establish its existence.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38"/>
    <w:bookmarkEnd w:id="39"/>
    <w:bookmarkStart w:id="41"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But they move beyond simpler estimation tasks to show how these benefits persist in a goal-directed planning context. Notably, individuals with higher energy literacy performed better overall, a finding in line with previous work emphasizing the importance of domain knowledge for effective resource conservation</w:t>
      </w:r>
      <w:r>
        <w:t xml:space="preserve"> </w:t>
      </w:r>
      <w:r>
        <w:t xml:space="preserve">(</w:t>
      </w:r>
      <w:hyperlink w:anchor="ref-attariPublicPerceptionsEnergy2010">
        <w:r>
          <w:rPr>
            <w:rStyle w:val="Hyperlink"/>
          </w:rPr>
          <w:t xml:space="preserve">Attari et al., 2010</w:t>
        </w:r>
      </w:hyperlink>
      <w:r>
        <w:t xml:space="preserve">;</w:t>
      </w:r>
      <w:r>
        <w:t xml:space="preserve"> </w:t>
      </w:r>
      <w:hyperlink w:anchor="X583a2aeb73133489b1bca7034fc4c88220fccdb">
        <w:r>
          <w:rPr>
            <w:rStyle w:val="Hyperlink"/>
          </w:rPr>
          <w:t xml:space="preserve">Canfield et al., 2017</w:t>
        </w:r>
      </w:hyperlink>
      <w:r>
        <w:t xml:space="preserve">)</w:t>
      </w:r>
    </w:p>
    <w:p>
      <w:pPr>
        <w:pStyle w:val="BodyText"/>
      </w:pPr>
      <w:r>
        <w:t xml:space="preserve">While prior research has suggested that consumers sometimes prefer monetary formats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w:t>
      </w:r>
      <w:r>
        <w:t xml:space="preserve">or that monetary framing can improve appliance choices</w:t>
      </w:r>
      <w:r>
        <w:t xml:space="preserve"> </w:t>
      </w:r>
      <w:r>
        <w:t xml:space="preserve">(</w:t>
      </w:r>
      <w:hyperlink w:anchor="ref-blaschBoundedlyRationalConsumers2019">
        <w:r>
          <w:rPr>
            <w:rStyle w:val="Hyperlink"/>
          </w:rPr>
          <w:t xml:space="preserve">Blasch et al., 2019</w:t>
        </w:r>
      </w:hyperlink>
      <w:r>
        <w:t xml:space="preserve">)</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w:t>
      </w:r>
      <w:hyperlink w:anchor="ref-fisher100BiasEffects2022">
        <w:r>
          <w:rPr>
            <w:rStyle w:val="Hyperlink"/>
          </w:rPr>
          <w:t xml:space="preserve">Fisher &amp; Mormann, 2022</w:t>
        </w:r>
      </w:hyperlink>
      <w:r>
        <w:t xml:space="preserve">)</w:t>
      </w:r>
      <w:r>
        <w:t xml:space="preserve">. Research on consumer heuristics in energy judgments</w:t>
      </w:r>
      <w:r>
        <w:t xml:space="preserve"> </w:t>
      </w:r>
      <w:r>
        <w:t xml:space="preserve">(</w:t>
      </w:r>
      <w:hyperlink w:anchor="Xb1100beca2d010ddfe6cd55e590057ba1b04648">
        <w:r>
          <w:rPr>
            <w:rStyle w:val="Hyperlink"/>
          </w:rPr>
          <w:t xml:space="preserve">Van Den Broek &amp; Walker, 2019</w:t>
        </w:r>
      </w:hyperlink>
      <w:r>
        <w:t xml:space="preserve">)</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w:t>
      </w:r>
      <w:hyperlink w:anchor="ref-herberzKiloWhatDefault2020">
        <w:r>
          <w:rPr>
            <w:rStyle w:val="Hyperlink"/>
          </w:rPr>
          <w:t xml:space="preserve">Herberz et al., 2020</w:t>
        </w:r>
      </w:hyperlink>
      <w:r>
        <w:t xml:space="preserve">)</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characteristics of these units might be driving the effects (e.g., familiarity).</w:t>
      </w:r>
    </w:p>
    <w:bookmarkStart w:id="40" w:name="limitations-and-future-directions"/>
    <w:p>
      <w:pPr>
        <w:pStyle w:val="Heading2"/>
      </w:pPr>
      <w:r>
        <w:t xml:space="preserve">Limitations and Future Directions</w:t>
      </w:r>
    </w:p>
    <w:p>
      <w:pPr>
        <w:pStyle w:val="FirstParagraph"/>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w:t>
      </w:r>
      <w:hyperlink w:anchor="X5af67f995b39de65510a4284ea565163ed449fb">
        <w:r>
          <w:rPr>
            <w:rStyle w:val="Hyperlink"/>
          </w:rPr>
          <w:t xml:space="preserve">Fischer, 2008</w:t>
        </w:r>
      </w:hyperlink>
      <w:r>
        <w:t xml:space="preserve">)</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w:t>
      </w:r>
      <w:hyperlink w:anchor="Xd44db9aff911e722b730a7e513225ab165d3721">
        <w:r>
          <w:rPr>
            <w:rStyle w:val="Hyperlink"/>
          </w:rPr>
          <w:t xml:space="preserve">Tonke, 2024</w:t>
        </w:r>
      </w:hyperlink>
      <w:r>
        <w:t xml:space="preserve">)</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br w:type="page"/>
      </w:r>
    </w:p>
    <w:bookmarkEnd w:id="40"/>
    <w:bookmarkEnd w:id="41"/>
    <w:bookmarkStart w:id="130" w:name="references"/>
    <w:p>
      <w:pPr>
        <w:pStyle w:val="Heading1"/>
      </w:pPr>
      <w:r>
        <w:t xml:space="preserve">References</w:t>
      </w:r>
    </w:p>
    <w:bookmarkStart w:id="90" w:name="refs"/>
    <w:bookmarkStart w:id="43"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42">
        <w:r>
          <w:rPr>
            <w:rStyle w:val="Hyperlink"/>
          </w:rPr>
          <w:t xml:space="preserve">https://doi.org/10.1016/j.jenvp.2005.08.002</w:t>
        </w:r>
      </w:hyperlink>
    </w:p>
    <w:bookmarkEnd w:id="43"/>
    <w:bookmarkStart w:id="45" w:name="Xc77c1353231159de2b8cfbcbe6900637f731154"/>
    <w:p>
      <w:pPr>
        <w:pStyle w:val="Bibliography"/>
      </w:pPr>
      <w:r>
        <w:t xml:space="preserve">Abrahamse, W., Steg, L., Vlek, C., &amp; Rothengatter, T. (2007). The effect of tailored information, goal setting, and tailored feedback on household energy use, energy-related behaviors, and behavioral antecedents.</w:t>
      </w:r>
      <w:r>
        <w:t xml:space="preserve"> </w:t>
      </w:r>
      <w:r>
        <w:rPr>
          <w:i/>
          <w:iCs/>
        </w:rPr>
        <w:t xml:space="preserve">Journal of Environmental Psychology</w:t>
      </w:r>
      <w:r>
        <w:t xml:space="preserve">,</w:t>
      </w:r>
      <w:r>
        <w:t xml:space="preserve"> </w:t>
      </w:r>
      <w:r>
        <w:rPr>
          <w:i/>
          <w:iCs/>
        </w:rPr>
        <w:t xml:space="preserve">27</w:t>
      </w:r>
      <w:r>
        <w:t xml:space="preserve">(4), 265–276.</w:t>
      </w:r>
      <w:r>
        <w:t xml:space="preserve"> </w:t>
      </w:r>
      <w:hyperlink r:id="rId44">
        <w:r>
          <w:rPr>
            <w:rStyle w:val="Hyperlink"/>
          </w:rPr>
          <w:t xml:space="preserve">https://doi.org/10.1016/j.jenvp.2007.08.002</w:t>
        </w:r>
      </w:hyperlink>
    </w:p>
    <w:bookmarkEnd w:id="45"/>
    <w:bookmarkStart w:id="47"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46">
        <w:r>
          <w:rPr>
            <w:rStyle w:val="Hyperlink"/>
          </w:rPr>
          <w:t xml:space="preserve">https://doi.org/10.1073/pnas.1001509107</w:t>
        </w:r>
      </w:hyperlink>
    </w:p>
    <w:bookmarkEnd w:id="47"/>
    <w:bookmarkStart w:id="49"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48">
        <w:r>
          <w:rPr>
            <w:rStyle w:val="Hyperlink"/>
          </w:rPr>
          <w:t xml:space="preserve">https://doi.org/10.1038/s41560-020-0582-0</w:t>
        </w:r>
      </w:hyperlink>
    </w:p>
    <w:bookmarkEnd w:id="49"/>
    <w:bookmarkStart w:id="51"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50">
        <w:r>
          <w:rPr>
            <w:rStyle w:val="Hyperlink"/>
          </w:rPr>
          <w:t xml:space="preserve">https://doi.org/10.1016/j.reseneeco.2017.06.001</w:t>
        </w:r>
      </w:hyperlink>
    </w:p>
    <w:bookmarkEnd w:id="51"/>
    <w:bookmarkStart w:id="53"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52">
        <w:r>
          <w:rPr>
            <w:rStyle w:val="Hyperlink"/>
          </w:rPr>
          <w:t xml:space="preserve">https://doi.org/10.18637/jss.v080.i01</w:t>
        </w:r>
      </w:hyperlink>
    </w:p>
    <w:bookmarkEnd w:id="53"/>
    <w:bookmarkStart w:id="55" w:name="ref-burknerOrdinalRegressionModels2019"/>
    <w:p>
      <w:pPr>
        <w:pStyle w:val="Bibliography"/>
      </w:pPr>
      <w:r>
        <w:t xml:space="preserve">Bürkner, P.-C., &amp; Vuorre, M. (2019). Ordinal</w:t>
      </w:r>
      <w:r>
        <w:t xml:space="preserve"> </w:t>
      </w:r>
      <w:r>
        <w:t xml:space="preserve">Regression Models</w:t>
      </w:r>
      <w:r>
        <w:t xml:space="preserve"> </w:t>
      </w:r>
      <w:r>
        <w:t xml:space="preserve">in</w:t>
      </w:r>
      <w:r>
        <w:t xml:space="preserve"> </w:t>
      </w:r>
      <w:r>
        <w:t xml:space="preserve">Psychology</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54">
        <w:r>
          <w:rPr>
            <w:rStyle w:val="Hyperlink"/>
          </w:rPr>
          <w:t xml:space="preserve">https://doi.org/10.1177/2515245918823199</w:t>
        </w:r>
      </w:hyperlink>
    </w:p>
    <w:bookmarkEnd w:id="55"/>
    <w:bookmarkStart w:id="57"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56">
        <w:r>
          <w:rPr>
            <w:rStyle w:val="Hyperlink"/>
          </w:rPr>
          <w:t xml:space="preserve">https://doi.org/10.1080/13669877.2015.1121909</w:t>
        </w:r>
      </w:hyperlink>
    </w:p>
    <w:bookmarkEnd w:id="57"/>
    <w:bookmarkStart w:id="59"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58">
        <w:r>
          <w:rPr>
            <w:rStyle w:val="Hyperlink"/>
          </w:rPr>
          <w:t xml:space="preserve">https://doi.org/10.1016/j.enpol.2010.12.049</w:t>
        </w:r>
      </w:hyperlink>
    </w:p>
    <w:bookmarkEnd w:id="59"/>
    <w:bookmarkStart w:id="61"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60">
        <w:r>
          <w:rPr>
            <w:rStyle w:val="Hyperlink"/>
          </w:rPr>
          <w:t xml:space="preserve">https://doi.org/10.1007/s10311-023-01591-5</w:t>
        </w:r>
      </w:hyperlink>
    </w:p>
    <w:bookmarkEnd w:id="61"/>
    <w:bookmarkStart w:id="63"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62">
        <w:r>
          <w:rPr>
            <w:rStyle w:val="Hyperlink"/>
          </w:rPr>
          <w:t xml:space="preserve">https://doi.org/10.1007/s12053-008-9009-7</w:t>
        </w:r>
      </w:hyperlink>
    </w:p>
    <w:bookmarkEnd w:id="63"/>
    <w:bookmarkStart w:id="65"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64">
        <w:r>
          <w:rPr>
            <w:rStyle w:val="Hyperlink"/>
          </w:rPr>
          <w:t xml:space="preserve">https://doi.org/10.1093/jcr/ucac006</w:t>
        </w:r>
      </w:hyperlink>
    </w:p>
    <w:bookmarkEnd w:id="65"/>
    <w:bookmarkStart w:id="67"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66">
        <w:r>
          <w:rPr>
            <w:rStyle w:val="Hyperlink"/>
          </w:rPr>
          <w:t xml:space="preserve">https://doi.org/10.1136/bmj.327.7417.741</w:t>
        </w:r>
      </w:hyperlink>
    </w:p>
    <w:bookmarkEnd w:id="67"/>
    <w:bookmarkStart w:id="69"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68">
        <w:r>
          <w:rPr>
            <w:rStyle w:val="Hyperlink"/>
          </w:rPr>
          <w:t xml:space="preserve">https://doi.org/10.1002/cb.2051</w:t>
        </w:r>
      </w:hyperlink>
    </w:p>
    <w:bookmarkEnd w:id="69"/>
    <w:bookmarkStart w:id="71"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70">
        <w:r>
          <w:rPr>
            <w:rStyle w:val="Hyperlink"/>
          </w:rPr>
          <w:t xml:space="preserve">https://doi.org/10.1017/S1930297500008172</w:t>
        </w:r>
      </w:hyperlink>
    </w:p>
    <w:bookmarkEnd w:id="71"/>
    <w:bookmarkStart w:id="73"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72">
        <w:r>
          <w:rPr>
            <w:rStyle w:val="Hyperlink"/>
          </w:rPr>
          <w:t xml:space="preserve">https://doi.org/10.1016/j.enbuild.2010.10.010</w:t>
        </w:r>
      </w:hyperlink>
    </w:p>
    <w:bookmarkEnd w:id="73"/>
    <w:bookmarkStart w:id="75" w:name="ref-kruschkeDoingBayesianData2014"/>
    <w:p>
      <w:pPr>
        <w:pStyle w:val="Bibliography"/>
      </w:pPr>
      <w:r>
        <w:t xml:space="preserve">Kruschke, J. K. (2014).</w:t>
      </w:r>
      <w:r>
        <w:t xml:space="preserve"> </w:t>
      </w:r>
      <w:r>
        <w:rPr>
          <w:i/>
          <w:iCs/>
        </w:rPr>
        <w:t xml:space="preserve">Doing</w:t>
      </w:r>
      <w:r>
        <w:rPr>
          <w:i/>
          <w:iCs/>
        </w:rPr>
        <w:t xml:space="preserve"> </w:t>
      </w:r>
      <w:r>
        <w:rPr>
          <w:i/>
          <w:iCs/>
        </w:rPr>
        <w:t xml:space="preserve">Bayesian</w:t>
      </w:r>
      <w:r>
        <w:rPr>
          <w:i/>
          <w:iCs/>
        </w:rPr>
        <w:t xml:space="preserve"> </w:t>
      </w:r>
      <w:r>
        <w:rPr>
          <w:i/>
          <w:iCs/>
        </w:rPr>
        <w:t xml:space="preserve">data analysis:</w:t>
      </w:r>
      <w:r>
        <w:rPr>
          <w:i/>
          <w:iCs/>
        </w:rPr>
        <w:t xml:space="preserve"> </w:t>
      </w:r>
      <w:r>
        <w:rPr>
          <w:i/>
          <w:iCs/>
        </w:rPr>
        <w:t xml:space="preserve">A</w:t>
      </w:r>
      <w:r>
        <w:rPr>
          <w:i/>
          <w:iCs/>
        </w:rPr>
        <w:t xml:space="preserve"> </w:t>
      </w:r>
      <w:r>
        <w:rPr>
          <w:i/>
          <w:iCs/>
        </w:rPr>
        <w:t xml:space="preserve">tutorial with</w:t>
      </w:r>
      <w:r>
        <w:rPr>
          <w:i/>
          <w:iCs/>
        </w:rPr>
        <w:t xml:space="preserve"> </w:t>
      </w:r>
      <w:r>
        <w:rPr>
          <w:i/>
          <w:iCs/>
        </w:rPr>
        <w:t xml:space="preserve">R</w:t>
      </w:r>
      <w:r>
        <w:rPr>
          <w:i/>
          <w:iCs/>
        </w:rPr>
        <w:t xml:space="preserve">,</w:t>
      </w:r>
      <w:r>
        <w:rPr>
          <w:i/>
          <w:iCs/>
        </w:rPr>
        <w:t xml:space="preserve"> </w:t>
      </w:r>
      <w:r>
        <w:rPr>
          <w:i/>
          <w:iCs/>
        </w:rPr>
        <w:t xml:space="preserve">JAGS</w:t>
      </w:r>
      <w:r>
        <w:rPr>
          <w:i/>
          <w:iCs/>
        </w:rPr>
        <w:t xml:space="preserve">, and</w:t>
      </w:r>
      <w:r>
        <w:rPr>
          <w:i/>
          <w:iCs/>
        </w:rPr>
        <w:t xml:space="preserve"> </w:t>
      </w:r>
      <w:r>
        <w:rPr>
          <w:i/>
          <w:iCs/>
        </w:rPr>
        <w:t xml:space="preserve">Stan</w:t>
      </w:r>
      <w:r>
        <w:t xml:space="preserve"> </w:t>
      </w:r>
      <w:r>
        <w:t xml:space="preserve">(2nd ed.). Academic Press.</w:t>
      </w:r>
      <w:r>
        <w:t xml:space="preserve"> </w:t>
      </w:r>
      <w:hyperlink r:id="rId74">
        <w:r>
          <w:rPr>
            <w:rStyle w:val="Hyperlink"/>
          </w:rPr>
          <w:t xml:space="preserve">https://doi.org/10.1016/B978-0-12-405888-0.09999-2</w:t>
        </w:r>
      </w:hyperlink>
    </w:p>
    <w:bookmarkEnd w:id="75"/>
    <w:bookmarkStart w:id="77"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76">
        <w:r>
          <w:rPr>
            <w:rStyle w:val="Hyperlink"/>
          </w:rPr>
          <w:t xml:space="preserve">https://doi.org/10.1038/s41560-020-00763-9</w:t>
        </w:r>
      </w:hyperlink>
    </w:p>
    <w:bookmarkEnd w:id="77"/>
    <w:bookmarkStart w:id="79"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78">
        <w:r>
          <w:rPr>
            <w:rStyle w:val="Hyperlink"/>
          </w:rPr>
          <w:t xml:space="preserve">https://doi.org/10.1016/j.reseneeco.2020.101201</w:t>
        </w:r>
      </w:hyperlink>
    </w:p>
    <w:bookmarkEnd w:id="79"/>
    <w:bookmarkStart w:id="80"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80"/>
    <w:bookmarkStart w:id="81"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81"/>
    <w:bookmarkStart w:id="83"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82">
        <w:r>
          <w:rPr>
            <w:rStyle w:val="Hyperlink"/>
          </w:rPr>
          <w:t xml:space="preserve">https://doi.org/10.1016/j.jdeveco.2023.103202</w:t>
        </w:r>
      </w:hyperlink>
    </w:p>
    <w:bookmarkEnd w:id="83"/>
    <w:bookmarkStart w:id="85"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84">
        <w:r>
          <w:rPr>
            <w:rStyle w:val="Hyperlink"/>
          </w:rPr>
          <w:t xml:space="preserve">https://doi.org/10.1016/j.jenvp.2019.02.008</w:t>
        </w:r>
      </w:hyperlink>
    </w:p>
    <w:bookmarkEnd w:id="85"/>
    <w:bookmarkStart w:id="87"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86">
        <w:r>
          <w:rPr>
            <w:rStyle w:val="Hyperlink"/>
          </w:rPr>
          <w:t xml:space="preserve">https://doi.org/10.3389/fpsyg.2018.01833</w:t>
        </w:r>
      </w:hyperlink>
    </w:p>
    <w:bookmarkEnd w:id="87"/>
    <w:bookmarkStart w:id="89"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88">
        <w:r>
          <w:rPr>
            <w:rStyle w:val="Hyperlink"/>
          </w:rPr>
          <w:t xml:space="preserve">https://doi.org/10.21105/joss.01686</w:t>
        </w:r>
      </w:hyperlink>
    </w:p>
    <w:bookmarkEnd w:id="89"/>
    <w:bookmarkEnd w:id="90"/>
    <w:bookmarkStart w:id="91" w:name="tbl-s1-agg"/>
    <w:p>
      <w:pPr>
        <w:pStyle w:val="FigureTitle"/>
      </w:pPr>
      <w:r>
        <w:t xml:space="preserve">Table 1</w:t>
      </w:r>
    </w:p>
    <w:p>
      <w:pPr>
        <w:pStyle w:val="Caption"/>
      </w:pPr>
      <w:r>
        <w:t xml:space="preserve">Study 1: Summary of planning accuracy by reference class</w:t>
      </w:r>
    </w:p>
    <w:tbl>
      <w:tblPr>
        <w:tblStyle w:val="Table"/>
        <w:tblW w:type="pct" w:w="5000"/>
        <w:tblLayout w:type="fixed"/>
        <w:tblLook w:firstRow="1" w:lastRow="0" w:firstColumn="0" w:lastColumn="0" w:noHBand="0" w:noVBand="0" w:val="0020"/>
      </w:tblPr>
      <w:tblGrid>
        <w:gridCol w:w="1362"/>
        <w:gridCol w:w="255"/>
        <w:gridCol w:w="1703"/>
        <w:gridCol w:w="1703"/>
        <w:gridCol w:w="1277"/>
        <w:gridCol w:w="1618"/>
      </w:tblGrid>
      <w:tr>
        <w:trPr>
          <w:tblHeader w:val="on"/>
        </w:trPr>
        <w:tc>
          <w:tcPr/>
          <w:p>
            <w:pPr>
              <w:pStyle w:val="Compact"/>
              <w:jc w:val="left"/>
            </w:pPr>
            <w:r>
              <w:t xml:space="preserve">Reference Class</w:t>
            </w:r>
          </w:p>
        </w:tc>
        <w:tc>
          <w:tcPr/>
          <w:p>
            <w:pPr>
              <w:pStyle w:val="Compact"/>
              <w:jc w:val="left"/>
            </w:pPr>
            <w:r>
              <w:t xml:space="preserve">N</w:t>
            </w:r>
          </w:p>
        </w:tc>
        <w:tc>
          <w:tcPr/>
          <w:p>
            <w:pPr>
              <w:pStyle w:val="Compact"/>
              <w:jc w:val="left"/>
            </w:pPr>
            <w:r>
              <w:t xml:space="preserve">Exact Match Rate(%)</w:t>
            </w:r>
          </w:p>
        </w:tc>
        <w:tc>
          <w:tcPr/>
          <w:p>
            <w:pPr>
              <w:pStyle w:val="Compact"/>
              <w:jc w:val="left"/>
            </w:pPr>
            <w:r>
              <w:t xml:space="preserve">Close Match Rate(%)</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76</w:t>
            </w:r>
          </w:p>
        </w:tc>
        <w:tc>
          <w:tcPr/>
          <w:p>
            <w:pPr>
              <w:pStyle w:val="Compact"/>
              <w:jc w:val="left"/>
            </w:pPr>
            <w:r>
              <w:t xml:space="preserve">38 (45)</w:t>
            </w:r>
          </w:p>
        </w:tc>
        <w:tc>
          <w:tcPr/>
          <w:p>
            <w:pPr>
              <w:pStyle w:val="Compact"/>
              <w:jc w:val="left"/>
            </w:pPr>
            <w:r>
              <w:t xml:space="preserve">54 (45)</w:t>
            </w:r>
          </w:p>
        </w:tc>
        <w:tc>
          <w:tcPr/>
          <w:p>
            <w:pPr>
              <w:pStyle w:val="Compact"/>
              <w:jc w:val="left"/>
            </w:pPr>
            <w:r>
              <w:t xml:space="preserve">0.029 (0.117)</w:t>
            </w:r>
          </w:p>
        </w:tc>
        <w:tc>
          <w:tcPr/>
          <w:p>
            <w:pPr>
              <w:pStyle w:val="Compact"/>
              <w:jc w:val="left"/>
            </w:pPr>
            <w:r>
              <w:t xml:space="preserve">-3.69 (2.79)</w:t>
            </w:r>
          </w:p>
        </w:tc>
      </w:tr>
      <w:tr>
        <w:tc>
          <w:tcPr/>
          <w:p>
            <w:pPr>
              <w:pStyle w:val="Compact"/>
              <w:jc w:val="left"/>
            </w:pPr>
            <w:r>
              <w:t xml:space="preserve">Percentage</w:t>
            </w:r>
          </w:p>
        </w:tc>
        <w:tc>
          <w:tcPr/>
          <w:p>
            <w:pPr>
              <w:pStyle w:val="Compact"/>
              <w:jc w:val="left"/>
            </w:pPr>
            <w:r>
              <w:t xml:space="preserve">67</w:t>
            </w:r>
          </w:p>
        </w:tc>
        <w:tc>
          <w:tcPr/>
          <w:p>
            <w:pPr>
              <w:pStyle w:val="Compact"/>
              <w:jc w:val="left"/>
            </w:pPr>
            <w:r>
              <w:t xml:space="preserve">22 (37)</w:t>
            </w:r>
          </w:p>
        </w:tc>
        <w:tc>
          <w:tcPr/>
          <w:p>
            <w:pPr>
              <w:pStyle w:val="Compact"/>
              <w:jc w:val="left"/>
            </w:pPr>
            <w:r>
              <w:t xml:space="preserve">40 (41)</w:t>
            </w:r>
          </w:p>
        </w:tc>
        <w:tc>
          <w:tcPr/>
          <w:p>
            <w:pPr>
              <w:pStyle w:val="Compact"/>
              <w:jc w:val="left"/>
            </w:pPr>
            <w:r>
              <w:t xml:space="preserve">0.056 (0.104)</w:t>
            </w:r>
          </w:p>
        </w:tc>
        <w:tc>
          <w:tcPr/>
          <w:p>
            <w:pPr>
              <w:pStyle w:val="Compact"/>
              <w:jc w:val="left"/>
            </w:pPr>
            <w:r>
              <w:t xml:space="preserve">-3.10 (1.87)</w:t>
            </w:r>
          </w:p>
        </w:tc>
      </w:tr>
      <w:tr>
        <w:tc>
          <w:tcPr/>
          <w:p>
            <w:pPr>
              <w:pStyle w:val="Compact"/>
              <w:jc w:val="left"/>
            </w:pPr>
            <w:r>
              <w:t xml:space="preserve">USD</w:t>
            </w:r>
          </w:p>
        </w:tc>
        <w:tc>
          <w:tcPr/>
          <w:p>
            <w:pPr>
              <w:pStyle w:val="Compact"/>
              <w:jc w:val="left"/>
            </w:pPr>
            <w:r>
              <w:t xml:space="preserve">86</w:t>
            </w:r>
          </w:p>
        </w:tc>
        <w:tc>
          <w:tcPr/>
          <w:p>
            <w:pPr>
              <w:pStyle w:val="Compact"/>
              <w:jc w:val="left"/>
            </w:pPr>
            <w:r>
              <w:t xml:space="preserve">10 (28)</w:t>
            </w:r>
          </w:p>
        </w:tc>
        <w:tc>
          <w:tcPr/>
          <w:p>
            <w:pPr>
              <w:pStyle w:val="Compact"/>
              <w:jc w:val="left"/>
            </w:pPr>
            <w:r>
              <w:t xml:space="preserve">22 (33)</w:t>
            </w:r>
          </w:p>
        </w:tc>
        <w:tc>
          <w:tcPr/>
          <w:p>
            <w:pPr>
              <w:pStyle w:val="Compact"/>
              <w:jc w:val="left"/>
            </w:pPr>
            <w:r>
              <w:t xml:space="preserve">0.095 (0.094)</w:t>
            </w:r>
          </w:p>
        </w:tc>
        <w:tc>
          <w:tcPr/>
          <w:p>
            <w:pPr>
              <w:pStyle w:val="Compact"/>
              <w:jc w:val="left"/>
            </w:pPr>
            <w:r>
              <w:t xml:space="preserve">-2.40 (1.09)</w:t>
            </w:r>
          </w:p>
        </w:tc>
      </w:tr>
    </w:tbl>
    <w:bookmarkEnd w:id="91"/>
    <w:p>
      <w:pPr>
        <w:pStyle w:val="FigureNote"/>
      </w:pPr>
      <w:r>
        <w:rPr>
          <w:i/>
          <w:iCs/>
        </w:rPr>
        <w:t xml:space="preserve">Note</w:t>
      </w:r>
      <w:r>
        <w:t xml:space="preserve">.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r>
        <w:br w:type="page"/>
      </w:r>
    </w:p>
    <w:bookmarkStart w:id="92" w:name="tbl-s1-prop"/>
    <w:p>
      <w:pPr>
        <w:pStyle w:val="FigureTitle"/>
      </w:pPr>
      <w:r>
        <w:t xml:space="preserve">Table 2</w:t>
      </w:r>
    </w:p>
    <w:p>
      <w:pPr>
        <w:pStyle w:val="Caption"/>
      </w:pPr>
      <w:r>
        <w:t xml:space="preserve">Experiment 1: Categorization of Participants according to Accuracy Levels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Accuracy Level</w:t>
            </w:r>
          </w:p>
        </w:tc>
        <w:tc>
          <w:tcPr/>
          <w:p>
            <w:pPr>
              <w:pStyle w:val="Compact"/>
              <w:jc w:val="left"/>
            </w:pPr>
            <w:r>
              <w:t xml:space="preserve">kWh</w:t>
            </w:r>
          </w:p>
        </w:tc>
        <w:tc>
          <w:tcPr/>
          <w:p>
            <w:pPr>
              <w:pStyle w:val="Compact"/>
              <w:jc w:val="left"/>
            </w:pPr>
            <w:r>
              <w:t xml:space="preserve">Percentage</w:t>
            </w:r>
          </w:p>
        </w:tc>
        <w:tc>
          <w:tcPr/>
          <w:p>
            <w:pPr>
              <w:pStyle w:val="Compact"/>
              <w:jc w:val="left"/>
            </w:pPr>
            <w:r>
              <w:t xml:space="preserve">USD</w:t>
            </w:r>
          </w:p>
        </w:tc>
      </w:tr>
      <w:tr>
        <w:tc>
          <w:tcPr/>
          <w:p>
            <w:pPr>
              <w:pStyle w:val="Compact"/>
              <w:jc w:val="left"/>
            </w:pPr>
            <w:r>
              <w:t xml:space="preserve">Exact match</w:t>
            </w:r>
          </w:p>
        </w:tc>
        <w:tc>
          <w:tcPr/>
          <w:p>
            <w:pPr>
              <w:pStyle w:val="Compact"/>
              <w:jc w:val="left"/>
            </w:pPr>
            <w:r>
              <w:t xml:space="preserve">38.5%</w:t>
            </w:r>
          </w:p>
        </w:tc>
        <w:tc>
          <w:tcPr/>
          <w:p>
            <w:pPr>
              <w:pStyle w:val="Compact"/>
              <w:jc w:val="left"/>
            </w:pPr>
            <w:r>
              <w:t xml:space="preserve">22.4%</w:t>
            </w:r>
          </w:p>
        </w:tc>
        <w:tc>
          <w:tcPr/>
          <w:p>
            <w:pPr>
              <w:pStyle w:val="Compact"/>
              <w:jc w:val="left"/>
            </w:pPr>
            <w:r>
              <w:t xml:space="preserve">10.2%</w:t>
            </w:r>
          </w:p>
        </w:tc>
      </w:tr>
      <w:tr>
        <w:tc>
          <w:tcPr/>
          <w:p>
            <w:pPr>
              <w:pStyle w:val="Compact"/>
              <w:jc w:val="left"/>
            </w:pPr>
            <w:r>
              <w:t xml:space="preserve">0.01-5% error</w:t>
            </w:r>
          </w:p>
        </w:tc>
        <w:tc>
          <w:tcPr/>
          <w:p>
            <w:pPr>
              <w:pStyle w:val="Compact"/>
              <w:jc w:val="left"/>
            </w:pPr>
            <w:r>
              <w:t xml:space="preserve">22.7%</w:t>
            </w:r>
          </w:p>
        </w:tc>
        <w:tc>
          <w:tcPr/>
          <w:p>
            <w:pPr>
              <w:pStyle w:val="Compact"/>
              <w:jc w:val="left"/>
            </w:pPr>
            <w:r>
              <w:t xml:space="preserve">29.5%</w:t>
            </w:r>
          </w:p>
        </w:tc>
        <w:tc>
          <w:tcPr/>
          <w:p>
            <w:pPr>
              <w:pStyle w:val="Compact"/>
              <w:jc w:val="left"/>
            </w:pPr>
            <w:r>
              <w:t xml:space="preserve">25%</w:t>
            </w:r>
          </w:p>
        </w:tc>
      </w:tr>
      <w:tr>
        <w:tc>
          <w:tcPr/>
          <w:p>
            <w:pPr>
              <w:pStyle w:val="Compact"/>
              <w:jc w:val="left"/>
            </w:pPr>
            <w:r>
              <w:t xml:space="preserve">Over 5% error</w:t>
            </w:r>
          </w:p>
        </w:tc>
        <w:tc>
          <w:tcPr/>
          <w:p>
            <w:pPr>
              <w:pStyle w:val="Compact"/>
              <w:jc w:val="left"/>
            </w:pPr>
            <w:r>
              <w:t xml:space="preserve">38.8%</w:t>
            </w:r>
          </w:p>
        </w:tc>
        <w:tc>
          <w:tcPr/>
          <w:p>
            <w:pPr>
              <w:pStyle w:val="Compact"/>
              <w:jc w:val="left"/>
            </w:pPr>
            <w:r>
              <w:t xml:space="preserve">48.1%</w:t>
            </w:r>
          </w:p>
        </w:tc>
        <w:tc>
          <w:tcPr/>
          <w:p>
            <w:pPr>
              <w:pStyle w:val="Compact"/>
              <w:jc w:val="left"/>
            </w:pPr>
            <w:r>
              <w:t xml:space="preserve">64.8%</w:t>
            </w:r>
          </w:p>
        </w:tc>
      </w:tr>
    </w:tbl>
    <w:bookmarkEnd w:id="92"/>
    <w:p>
      <w:pPr>
        <w:pStyle w:val="FigureNote"/>
      </w:pPr>
      <w:r>
        <w:rPr>
          <w:i/>
          <w:iCs/>
        </w:rPr>
        <w:t xml:space="preserve">Note</w:t>
      </w:r>
      <w:r>
        <w:t xml:space="preserve">. The table shows the percentage of action-plans which fell into each accuracy level for each reference class condition (percentages of kWh, $, and USD columns reflect within condition percentages).</w:t>
      </w:r>
    </w:p>
    <w:p>
      <w:r>
        <w:br w:type="page"/>
      </w:r>
    </w:p>
    <w:bookmarkStart w:id="93" w:name="tbl-s1-reg"/>
    <w:p>
      <w:pPr>
        <w:pStyle w:val="FigureTitle"/>
      </w:pPr>
      <w:r>
        <w:t xml:space="preserve">Table 3</w:t>
      </w:r>
    </w:p>
    <w:p>
      <w:pPr>
        <w:pStyle w:val="Caption"/>
      </w:pPr>
      <w:r>
        <w:rPr>
          <w:b/>
          <w:bCs/>
        </w:rPr>
        <w:t xml:space="preserve">Experiment 1</w:t>
      </w:r>
      <w:r>
        <w:t xml:space="preserve">: Ordinal Regression Results of a Test of Differences between conditions in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-4.21</w:t>
            </w:r>
          </w:p>
        </w:tc>
        <w:tc>
          <w:tcPr/>
          <w:p>
            <w:pPr>
              <w:pStyle w:val="Compact"/>
              <w:jc w:val="left"/>
            </w:pPr>
            <w:r>
              <w:t xml:space="preserve">-5.90</w:t>
            </w:r>
          </w:p>
        </w:tc>
        <w:tc>
          <w:tcPr/>
          <w:p>
            <w:pPr>
              <w:pStyle w:val="Compact"/>
              <w:jc w:val="left"/>
            </w:pPr>
            <w:r>
              <w:t xml:space="preserve">-2.58</w:t>
            </w:r>
          </w:p>
        </w:tc>
        <w:tc>
          <w:tcPr/>
          <w:p>
            <w:pPr>
              <w:pStyle w:val="Compact"/>
              <w:jc w:val="left"/>
            </w:pPr>
            <w:r>
              <w:t xml:space="preserve">1.00</w:t>
            </w:r>
          </w:p>
        </w:tc>
      </w:tr>
      <w:tr>
        <w:tc>
          <w:tcPr/>
          <w:p>
            <w:pPr>
              <w:pStyle w:val="Compact"/>
              <w:jc w:val="left"/>
            </w:pPr>
            <w:r>
              <w:t xml:space="preserve">Intercept[2]</w:t>
            </w:r>
          </w:p>
        </w:tc>
        <w:tc>
          <w:tcPr/>
          <w:p>
            <w:pPr>
              <w:pStyle w:val="Compact"/>
              <w:jc w:val="left"/>
            </w:pPr>
            <w:r>
              <w:t xml:space="preserve">-0.89</w:t>
            </w:r>
          </w:p>
        </w:tc>
        <w:tc>
          <w:tcPr/>
          <w:p>
            <w:pPr>
              <w:pStyle w:val="Compact"/>
              <w:jc w:val="left"/>
            </w:pPr>
            <w:r>
              <w:t xml:space="preserve">-2.49</w:t>
            </w:r>
          </w:p>
        </w:tc>
        <w:tc>
          <w:tcPr/>
          <w:p>
            <w:pPr>
              <w:pStyle w:val="Compact"/>
              <w:jc w:val="left"/>
            </w:pPr>
            <w:r>
              <w:t xml:space="preserve">0.71</w:t>
            </w:r>
          </w:p>
        </w:tc>
        <w:tc>
          <w:tcPr/>
          <w:p>
            <w:pPr>
              <w:pStyle w:val="Compact"/>
              <w:jc w:val="left"/>
            </w:pPr>
            <w:r>
              <w:t xml:space="preserve">0.87</w:t>
            </w:r>
          </w:p>
        </w:tc>
      </w:tr>
      <w:tr>
        <w:tc>
          <w:tcPr/>
          <w:p>
            <w:pPr>
              <w:pStyle w:val="Compact"/>
              <w:jc w:val="left"/>
            </w:pPr>
            <w:r>
              <w:t xml:space="preserve">RefClass-Percentage</w:t>
            </w:r>
          </w:p>
        </w:tc>
        <w:tc>
          <w:tcPr/>
          <w:p>
            <w:pPr>
              <w:pStyle w:val="Compact"/>
              <w:jc w:val="left"/>
            </w:pPr>
            <w:r>
              <w:t xml:space="preserve">1.44</w:t>
            </w:r>
          </w:p>
        </w:tc>
        <w:tc>
          <w:tcPr/>
          <w:p>
            <w:pPr>
              <w:pStyle w:val="Compact"/>
              <w:jc w:val="left"/>
            </w:pPr>
            <w:r>
              <w:t xml:space="preserve">0.07</w:t>
            </w:r>
          </w:p>
        </w:tc>
        <w:tc>
          <w:tcPr/>
          <w:p>
            <w:pPr>
              <w:pStyle w:val="Compact"/>
              <w:jc w:val="left"/>
            </w:pPr>
            <w:r>
              <w:t xml:space="preserve">2.88</w:t>
            </w:r>
          </w:p>
        </w:tc>
        <w:tc>
          <w:tcPr/>
          <w:p>
            <w:pPr>
              <w:pStyle w:val="Compact"/>
              <w:jc w:val="left"/>
            </w:pPr>
            <w:r>
              <w:t xml:space="preserve">0.98</w:t>
            </w:r>
          </w:p>
        </w:tc>
      </w:tr>
      <w:tr>
        <w:tc>
          <w:tcPr/>
          <w:p>
            <w:pPr>
              <w:pStyle w:val="Compact"/>
              <w:jc w:val="left"/>
            </w:pPr>
            <w:r>
              <w:t xml:space="preserve">RefClass-USD</w:t>
            </w:r>
          </w:p>
        </w:tc>
        <w:tc>
          <w:tcPr/>
          <w:p>
            <w:pPr>
              <w:pStyle w:val="Compact"/>
              <w:jc w:val="left"/>
            </w:pPr>
            <w:r>
              <w:t xml:space="preserve">3.13</w:t>
            </w:r>
          </w:p>
        </w:tc>
        <w:tc>
          <w:tcPr/>
          <w:p>
            <w:pPr>
              <w:pStyle w:val="Compact"/>
              <w:jc w:val="left"/>
            </w:pPr>
            <w:r>
              <w:t xml:space="preserve">1.81</w:t>
            </w:r>
          </w:p>
        </w:tc>
        <w:tc>
          <w:tcPr/>
          <w:p>
            <w:pPr>
              <w:pStyle w:val="Compact"/>
              <w:jc w:val="left"/>
            </w:pPr>
            <w:r>
              <w:t xml:space="preserve">4.50</w:t>
            </w:r>
          </w:p>
        </w:tc>
        <w:tc>
          <w:tcPr/>
          <w:p>
            <w:pPr>
              <w:pStyle w:val="Compact"/>
              <w:jc w:val="left"/>
            </w:pPr>
            <w:r>
              <w:t xml:space="preserve">1.00</w:t>
            </w:r>
          </w:p>
        </w:tc>
      </w:tr>
      <w:tr>
        <w:tc>
          <w:tcPr/>
          <w:p>
            <w:pPr>
              <w:pStyle w:val="Compact"/>
              <w:jc w:val="left"/>
            </w:pPr>
            <w:r>
              <w:t xml:space="preserve">calc-UsedCalculator</w:t>
            </w:r>
          </w:p>
        </w:tc>
        <w:tc>
          <w:tcPr/>
          <w:p>
            <w:pPr>
              <w:pStyle w:val="Compact"/>
              <w:jc w:val="left"/>
            </w:pPr>
            <w:r>
              <w:t xml:space="preserve">-3.30</w:t>
            </w:r>
          </w:p>
        </w:tc>
        <w:tc>
          <w:tcPr/>
          <w:p>
            <w:pPr>
              <w:pStyle w:val="Compact"/>
              <w:jc w:val="left"/>
            </w:pPr>
            <w:r>
              <w:t xml:space="preserve">-4.80</w:t>
            </w:r>
          </w:p>
        </w:tc>
        <w:tc>
          <w:tcPr/>
          <w:p>
            <w:pPr>
              <w:pStyle w:val="Compact"/>
              <w:jc w:val="left"/>
            </w:pPr>
            <w:r>
              <w:t xml:space="preserve">-1.92</w:t>
            </w:r>
          </w:p>
        </w:tc>
        <w:tc>
          <w:tcPr/>
          <w:p>
            <w:pPr>
              <w:pStyle w:val="Compact"/>
              <w:jc w:val="left"/>
            </w:pPr>
            <w:r>
              <w:t xml:space="preserve">1.00</w:t>
            </w:r>
          </w:p>
        </w:tc>
      </w:tr>
    </w:tbl>
    <w:bookmarkEnd w:id="93"/>
    <w:p>
      <w:pPr>
        <w:pStyle w:val="FigureNote"/>
      </w:pPr>
      <w:r>
        <w:rPr>
          <w:i/>
          <w:iCs/>
        </w:rPr>
        <w:t xml:space="preserve">Note</w:t>
      </w:r>
      <w:r>
        <w:t xml:space="preserve">. Ordinal regression results. Positive coefficient estimates for the reference class predictors indicate that those conditions are associated with higher error categories relative to the kWh baseline.</w:t>
      </w:r>
    </w:p>
    <w:p>
      <w:r>
        <w:br w:type="page"/>
      </w:r>
    </w:p>
    <w:bookmarkStart w:id="94" w:name="tbl-s1-ord"/>
    <w:p>
      <w:pPr>
        <w:pStyle w:val="FigureTitle"/>
      </w:pPr>
      <w:r>
        <w:t xml:space="preserve">Table 4</w:t>
      </w:r>
    </w:p>
    <w:p>
      <w:pPr>
        <w:pStyle w:val="Caption"/>
      </w:pPr>
      <w:r>
        <w:rPr>
          <w:b/>
          <w:bCs/>
        </w:rPr>
        <w:t xml:space="preserve">Experiment 1</w:t>
      </w:r>
      <w:r>
        <w:t xml:space="preserve">: 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4.2</w:t>
            </w:r>
          </w:p>
        </w:tc>
        <w:tc>
          <w:tcPr/>
          <w:p>
            <w:pPr>
              <w:pStyle w:val="Compact"/>
              <w:jc w:val="left"/>
            </w:pPr>
            <w:r>
              <w:t xml:space="preserve">1.1</w:t>
            </w:r>
          </w:p>
        </w:tc>
        <w:tc>
          <w:tcPr/>
          <w:p>
            <w:pPr>
              <w:pStyle w:val="Compact"/>
              <w:jc w:val="left"/>
            </w:pPr>
            <w:r>
              <w:t xml:space="preserve">18</w:t>
            </w:r>
          </w:p>
        </w:tc>
      </w:tr>
      <w:tr>
        <w:tc>
          <w:tcPr/>
          <w:p>
            <w:pPr>
              <w:pStyle w:val="Compact"/>
              <w:jc w:val="left"/>
            </w:pPr>
            <w:r>
              <w:t xml:space="preserve">USD vs kWh</w:t>
            </w:r>
          </w:p>
        </w:tc>
        <w:tc>
          <w:tcPr/>
          <w:p>
            <w:pPr>
              <w:pStyle w:val="Compact"/>
              <w:jc w:val="left"/>
            </w:pPr>
            <w:r>
              <w:t xml:space="preserve">22.9</w:t>
            </w:r>
          </w:p>
        </w:tc>
        <w:tc>
          <w:tcPr/>
          <w:p>
            <w:pPr>
              <w:pStyle w:val="Compact"/>
              <w:jc w:val="left"/>
            </w:pPr>
            <w:r>
              <w:t xml:space="preserve">6.1</w:t>
            </w:r>
          </w:p>
        </w:tc>
        <w:tc>
          <w:tcPr/>
          <w:p>
            <w:pPr>
              <w:pStyle w:val="Compact"/>
              <w:jc w:val="left"/>
            </w:pPr>
            <w:r>
              <w:t xml:space="preserve">90</w:t>
            </w:r>
          </w:p>
        </w:tc>
      </w:tr>
    </w:tbl>
    <w:bookmarkEnd w:id="94"/>
    <w:p>
      <w:pPr>
        <w:pStyle w:val="FigureNote"/>
      </w:pPr>
      <w:r>
        <w:rPr>
          <w:i/>
          <w:iCs/>
        </w:rPr>
        <w:t xml:space="preserve">Note</w:t>
      </w:r>
      <w:r>
        <w:t xml:space="preserve">. Odds ratios greater than 1 indicate increased odds of falling into a worse accuracy category compared to the kWh condition</w:t>
      </w:r>
    </w:p>
    <w:p>
      <w:r>
        <w:br w:type="page"/>
      </w:r>
    </w:p>
    <w:bookmarkStart w:id="95" w:name="tbl-s2-agg"/>
    <w:p>
      <w:pPr>
        <w:pStyle w:val="FigureTitle"/>
      </w:pPr>
      <w:r>
        <w:t xml:space="preserve">Table 5</w:t>
      </w:r>
    </w:p>
    <w:p>
      <w:pPr>
        <w:pStyle w:val="Caption"/>
      </w:pPr>
      <w:r>
        <w:t xml:space="preserve">Experiment 2: Summary of planning accuracy by reference class</w:t>
      </w:r>
    </w:p>
    <w:tbl>
      <w:tblPr>
        <w:tblStyle w:val="Table"/>
        <w:tblW w:type="pct" w:w="5000"/>
        <w:tblLayout w:type="fixed"/>
        <w:tblLook w:firstRow="1" w:lastRow="0" w:firstColumn="0" w:lastColumn="0" w:noHBand="0" w:noVBand="0" w:val="0020"/>
      </w:tblPr>
      <w:tblGrid>
        <w:gridCol w:w="1362"/>
        <w:gridCol w:w="255"/>
        <w:gridCol w:w="1703"/>
        <w:gridCol w:w="1703"/>
        <w:gridCol w:w="1277"/>
        <w:gridCol w:w="1618"/>
      </w:tblGrid>
      <w:tr>
        <w:trPr>
          <w:tblHeader w:val="on"/>
        </w:trPr>
        <w:tc>
          <w:tcPr/>
          <w:p>
            <w:pPr>
              <w:pStyle w:val="Compact"/>
              <w:jc w:val="left"/>
            </w:pPr>
            <w:r>
              <w:t xml:space="preserve">Reference Class</w:t>
            </w:r>
          </w:p>
        </w:tc>
        <w:tc>
          <w:tcPr/>
          <w:p>
            <w:pPr>
              <w:pStyle w:val="Compact"/>
              <w:jc w:val="left"/>
            </w:pPr>
            <w:r>
              <w:t xml:space="preserve">N</w:t>
            </w:r>
          </w:p>
        </w:tc>
        <w:tc>
          <w:tcPr/>
          <w:p>
            <w:pPr>
              <w:pStyle w:val="Compact"/>
              <w:jc w:val="left"/>
            </w:pPr>
            <w:r>
              <w:t xml:space="preserve">Exact Match Rate(%)</w:t>
            </w:r>
          </w:p>
        </w:tc>
        <w:tc>
          <w:tcPr/>
          <w:p>
            <w:pPr>
              <w:pStyle w:val="Compact"/>
              <w:jc w:val="left"/>
            </w:pPr>
            <w:r>
              <w:t xml:space="preserve">Close Match Rate(%)</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68</w:t>
            </w:r>
          </w:p>
        </w:tc>
        <w:tc>
          <w:tcPr/>
          <w:p>
            <w:pPr>
              <w:pStyle w:val="Compact"/>
              <w:jc w:val="left"/>
            </w:pPr>
            <w:r>
              <w:t xml:space="preserve">44 (45)</w:t>
            </w:r>
          </w:p>
        </w:tc>
        <w:tc>
          <w:tcPr/>
          <w:p>
            <w:pPr>
              <w:pStyle w:val="Compact"/>
              <w:jc w:val="left"/>
            </w:pPr>
            <w:r>
              <w:t xml:space="preserve">52 (46)</w:t>
            </w:r>
          </w:p>
        </w:tc>
        <w:tc>
          <w:tcPr/>
          <w:p>
            <w:pPr>
              <w:pStyle w:val="Compact"/>
              <w:jc w:val="left"/>
            </w:pPr>
            <w:r>
              <w:t xml:space="preserve">0.022 (0.182)</w:t>
            </w:r>
          </w:p>
        </w:tc>
        <w:tc>
          <w:tcPr/>
          <w:p>
            <w:pPr>
              <w:pStyle w:val="Compact"/>
              <w:jc w:val="left"/>
            </w:pPr>
            <w:r>
              <w:t xml:space="preserve">-3.87 (3.12)</w:t>
            </w:r>
          </w:p>
        </w:tc>
      </w:tr>
      <w:tr>
        <w:tc>
          <w:tcPr/>
          <w:p>
            <w:pPr>
              <w:pStyle w:val="Compact"/>
              <w:jc w:val="left"/>
            </w:pPr>
            <w:r>
              <w:t xml:space="preserve">Percentage</w:t>
            </w:r>
          </w:p>
        </w:tc>
        <w:tc>
          <w:tcPr/>
          <w:p>
            <w:pPr>
              <w:pStyle w:val="Compact"/>
              <w:jc w:val="left"/>
            </w:pPr>
            <w:r>
              <w:t xml:space="preserve">67</w:t>
            </w:r>
          </w:p>
        </w:tc>
        <w:tc>
          <w:tcPr/>
          <w:p>
            <w:pPr>
              <w:pStyle w:val="Compact"/>
              <w:jc w:val="left"/>
            </w:pPr>
            <w:r>
              <w:t xml:space="preserve">28 (36)</w:t>
            </w:r>
          </w:p>
        </w:tc>
        <w:tc>
          <w:tcPr/>
          <w:p>
            <w:pPr>
              <w:pStyle w:val="Compact"/>
              <w:jc w:val="left"/>
            </w:pPr>
            <w:r>
              <w:t xml:space="preserve">42 (42)</w:t>
            </w:r>
          </w:p>
        </w:tc>
        <w:tc>
          <w:tcPr/>
          <w:p>
            <w:pPr>
              <w:pStyle w:val="Compact"/>
              <w:jc w:val="left"/>
            </w:pPr>
            <w:r>
              <w:t xml:space="preserve">0.062 (0.138)</w:t>
            </w:r>
          </w:p>
        </w:tc>
        <w:tc>
          <w:tcPr/>
          <w:p>
            <w:pPr>
              <w:pStyle w:val="Compact"/>
              <w:jc w:val="left"/>
            </w:pPr>
            <w:r>
              <w:t xml:space="preserve">-3.22 (2.31)</w:t>
            </w:r>
          </w:p>
        </w:tc>
      </w:tr>
      <w:tr>
        <w:tc>
          <w:tcPr/>
          <w:p>
            <w:pPr>
              <w:pStyle w:val="Compact"/>
              <w:jc w:val="left"/>
            </w:pPr>
            <w:r>
              <w:t xml:space="preserve">USD</w:t>
            </w:r>
          </w:p>
        </w:tc>
        <w:tc>
          <w:tcPr/>
          <w:p>
            <w:pPr>
              <w:pStyle w:val="Compact"/>
              <w:jc w:val="left"/>
            </w:pPr>
            <w:r>
              <w:t xml:space="preserve">55</w:t>
            </w:r>
          </w:p>
        </w:tc>
        <w:tc>
          <w:tcPr/>
          <w:p>
            <w:pPr>
              <w:pStyle w:val="Compact"/>
              <w:jc w:val="left"/>
            </w:pPr>
            <w:r>
              <w:t xml:space="preserve">20 (38)</w:t>
            </w:r>
          </w:p>
        </w:tc>
        <w:tc>
          <w:tcPr/>
          <w:p>
            <w:pPr>
              <w:pStyle w:val="Compact"/>
              <w:jc w:val="left"/>
            </w:pPr>
            <w:r>
              <w:t xml:space="preserve">29 (40)</w:t>
            </w:r>
          </w:p>
        </w:tc>
        <w:tc>
          <w:tcPr/>
          <w:p>
            <w:pPr>
              <w:pStyle w:val="Compact"/>
              <w:jc w:val="left"/>
            </w:pPr>
            <w:r>
              <w:t xml:space="preserve">0.102 (0.135)</w:t>
            </w:r>
          </w:p>
        </w:tc>
        <w:tc>
          <w:tcPr/>
          <w:p>
            <w:pPr>
              <w:pStyle w:val="Compact"/>
              <w:jc w:val="left"/>
            </w:pPr>
            <w:r>
              <w:t xml:space="preserve">-2.42 (1.52)</w:t>
            </w:r>
          </w:p>
        </w:tc>
      </w:tr>
    </w:tbl>
    <w:bookmarkEnd w:id="95"/>
    <w:p>
      <w:pPr>
        <w:pStyle w:val="FigureNote"/>
      </w:pPr>
      <w:r>
        <w:rPr>
          <w:i/>
          <w:iCs/>
        </w:rPr>
        <w:t xml:space="preserve">Note</w:t>
      </w:r>
      <w:r>
        <w:t xml:space="preserve">.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r>
        <w:br w:type="page"/>
      </w:r>
    </w:p>
    <w:bookmarkStart w:id="96" w:name="tbl-s2-reg"/>
    <w:p>
      <w:pPr>
        <w:pStyle w:val="FigureTitle"/>
      </w:pPr>
      <w:r>
        <w:t xml:space="preserve">Table 6</w:t>
      </w:r>
    </w:p>
    <w:p>
      <w:pPr>
        <w:pStyle w:val="Caption"/>
      </w:pPr>
      <w:r>
        <w:rPr>
          <w:b/>
          <w:bCs/>
        </w:rPr>
        <w:t xml:space="preserve">Experiment 2.</w:t>
      </w:r>
      <w:r>
        <w:t xml:space="preserve"> </w:t>
      </w:r>
      <w:r>
        <w:t xml:space="preserve">Parameter estimates from the ordinal regression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-1.45</w:t>
            </w:r>
          </w:p>
        </w:tc>
        <w:tc>
          <w:tcPr/>
          <w:p>
            <w:pPr>
              <w:pStyle w:val="Compact"/>
              <w:jc w:val="left"/>
            </w:pPr>
            <w:r>
              <w:t xml:space="preserve">-2.85</w:t>
            </w:r>
          </w:p>
        </w:tc>
        <w:tc>
          <w:tcPr/>
          <w:p>
            <w:pPr>
              <w:pStyle w:val="Compact"/>
              <w:jc w:val="left"/>
            </w:pPr>
            <w:r>
              <w:t xml:space="preserve">-0.07</w:t>
            </w:r>
          </w:p>
        </w:tc>
        <w:tc>
          <w:tcPr/>
          <w:p>
            <w:pPr>
              <w:pStyle w:val="Compact"/>
              <w:jc w:val="left"/>
            </w:pPr>
            <w:r>
              <w:t xml:space="preserve">0.98</w:t>
            </w:r>
          </w:p>
        </w:tc>
      </w:tr>
      <w:tr>
        <w:tc>
          <w:tcPr/>
          <w:p>
            <w:pPr>
              <w:pStyle w:val="Compact"/>
              <w:jc w:val="left"/>
            </w:pPr>
            <w:r>
              <w:t xml:space="preserve">Intercept[2]</w:t>
            </w:r>
          </w:p>
        </w:tc>
        <w:tc>
          <w:tcPr/>
          <w:p>
            <w:pPr>
              <w:pStyle w:val="Compact"/>
              <w:jc w:val="left"/>
            </w:pPr>
            <w:r>
              <w:t xml:space="preserve">1.26</w:t>
            </w:r>
          </w:p>
        </w:tc>
        <w:tc>
          <w:tcPr/>
          <w:p>
            <w:pPr>
              <w:pStyle w:val="Compact"/>
              <w:jc w:val="left"/>
            </w:pPr>
            <w:r>
              <w:t xml:space="preserve">-0.09</w:t>
            </w:r>
          </w:p>
        </w:tc>
        <w:tc>
          <w:tcPr/>
          <w:p>
            <w:pPr>
              <w:pStyle w:val="Compact"/>
              <w:jc w:val="left"/>
            </w:pPr>
            <w:r>
              <w:t xml:space="preserve">2.65</w:t>
            </w:r>
          </w:p>
        </w:tc>
        <w:tc>
          <w:tcPr/>
          <w:p>
            <w:pPr>
              <w:pStyle w:val="Compact"/>
              <w:jc w:val="left"/>
            </w:pPr>
            <w:r>
              <w:t xml:space="preserve">0.97</w:t>
            </w:r>
          </w:p>
        </w:tc>
      </w:tr>
      <w:tr>
        <w:tc>
          <w:tcPr/>
          <w:p>
            <w:pPr>
              <w:pStyle w:val="Compact"/>
              <w:jc w:val="left"/>
            </w:pPr>
            <w:r>
              <w:t xml:space="preserve">RefClass-Percentage</w:t>
            </w:r>
          </w:p>
        </w:tc>
        <w:tc>
          <w:tcPr/>
          <w:p>
            <w:pPr>
              <w:pStyle w:val="Compact"/>
              <w:jc w:val="left"/>
            </w:pPr>
            <w:r>
              <w:t xml:space="preserve">1.02</w:t>
            </w:r>
          </w:p>
        </w:tc>
        <w:tc>
          <w:tcPr/>
          <w:p>
            <w:pPr>
              <w:pStyle w:val="Compact"/>
              <w:jc w:val="left"/>
            </w:pPr>
            <w:r>
              <w:t xml:space="preserve">-0.63</w:t>
            </w:r>
          </w:p>
        </w:tc>
        <w:tc>
          <w:tcPr/>
          <w:p>
            <w:pPr>
              <w:pStyle w:val="Compact"/>
              <w:jc w:val="left"/>
            </w:pPr>
            <w:r>
              <w:t xml:space="preserve">2.71</w:t>
            </w:r>
          </w:p>
        </w:tc>
        <w:tc>
          <w:tcPr/>
          <w:p>
            <w:pPr>
              <w:pStyle w:val="Compact"/>
              <w:jc w:val="left"/>
            </w:pPr>
            <w:r>
              <w:t xml:space="preserve">0.89</w:t>
            </w:r>
          </w:p>
        </w:tc>
      </w:tr>
      <w:tr>
        <w:tc>
          <w:tcPr/>
          <w:p>
            <w:pPr>
              <w:pStyle w:val="Compact"/>
              <w:jc w:val="left"/>
            </w:pPr>
            <w:r>
              <w:t xml:space="preserve">RefClass-USD</w:t>
            </w:r>
          </w:p>
        </w:tc>
        <w:tc>
          <w:tcPr/>
          <w:p>
            <w:pPr>
              <w:pStyle w:val="Compact"/>
              <w:jc w:val="left"/>
            </w:pPr>
            <w:r>
              <w:t xml:space="preserve">2.27</w:t>
            </w:r>
          </w:p>
        </w:tc>
        <w:tc>
          <w:tcPr/>
          <w:p>
            <w:pPr>
              <w:pStyle w:val="Compact"/>
              <w:jc w:val="left"/>
            </w:pPr>
            <w:r>
              <w:t xml:space="preserve">0.53</w:t>
            </w:r>
          </w:p>
        </w:tc>
        <w:tc>
          <w:tcPr/>
          <w:p>
            <w:pPr>
              <w:pStyle w:val="Compact"/>
              <w:jc w:val="left"/>
            </w:pPr>
            <w:r>
              <w:t xml:space="preserve">3.98</w:t>
            </w:r>
          </w:p>
        </w:tc>
        <w:tc>
          <w:tcPr/>
          <w:p>
            <w:pPr>
              <w:pStyle w:val="Compact"/>
              <w:jc w:val="left"/>
            </w:pPr>
            <w:r>
              <w:t xml:space="preserve">0.99</w:t>
            </w:r>
          </w:p>
        </w:tc>
      </w:tr>
      <w:tr>
        <w:tc>
          <w:tcPr/>
          <w:p>
            <w:pPr>
              <w:pStyle w:val="Compact"/>
              <w:jc w:val="left"/>
            </w:pPr>
            <w:r>
              <w:t xml:space="preserve">calc-NoCalculator</w:t>
            </w:r>
          </w:p>
        </w:tc>
        <w:tc>
          <w:tcPr/>
          <w:p>
            <w:pPr>
              <w:pStyle w:val="Compact"/>
              <w:jc w:val="left"/>
            </w:pPr>
            <w:r>
              <w:t xml:space="preserve">4.10</w:t>
            </w:r>
          </w:p>
        </w:tc>
        <w:tc>
          <w:tcPr/>
          <w:p>
            <w:pPr>
              <w:pStyle w:val="Compact"/>
              <w:jc w:val="left"/>
            </w:pPr>
            <w:r>
              <w:t xml:space="preserve">2.20</w:t>
            </w:r>
          </w:p>
        </w:tc>
        <w:tc>
          <w:tcPr/>
          <w:p>
            <w:pPr>
              <w:pStyle w:val="Compact"/>
              <w:jc w:val="left"/>
            </w:pPr>
            <w:r>
              <w:t xml:space="preserve">6.06</w:t>
            </w:r>
          </w:p>
        </w:tc>
        <w:tc>
          <w:tcPr/>
          <w:p>
            <w:pPr>
              <w:pStyle w:val="Compact"/>
              <w:jc w:val="left"/>
            </w:pPr>
            <w:r>
              <w:t xml:space="preserve">1.00</w:t>
            </w:r>
          </w:p>
        </w:tc>
      </w:tr>
      <w:tr>
        <w:tc>
          <w:tcPr/>
          <w:p>
            <w:pPr>
              <w:pStyle w:val="Compact"/>
              <w:jc w:val="left"/>
            </w:pPr>
            <w:r>
              <w:t xml:space="preserve">pct_goal15%</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0.04</w:t>
            </w:r>
          </w:p>
        </w:tc>
        <w:tc>
          <w:tcPr/>
          <w:p>
            <w:pPr>
              <w:pStyle w:val="Compact"/>
              <w:jc w:val="left"/>
            </w:pPr>
            <w:r>
              <w:t xml:space="preserve">0.96</w:t>
            </w:r>
          </w:p>
        </w:tc>
      </w:tr>
      <w:tr>
        <w:tc>
          <w:tcPr/>
          <w:p>
            <w:pPr>
              <w:pStyle w:val="Compact"/>
              <w:jc w:val="left"/>
            </w:pPr>
            <w:r>
              <w:t xml:space="preserve">rounded-Rounded</w:t>
            </w:r>
          </w:p>
        </w:tc>
        <w:tc>
          <w:tcPr/>
          <w:p>
            <w:pPr>
              <w:pStyle w:val="Compact"/>
              <w:jc w:val="left"/>
            </w:pPr>
            <w:r>
              <w:t xml:space="preserve">-0.53</w:t>
            </w:r>
          </w:p>
        </w:tc>
        <w:tc>
          <w:tcPr/>
          <w:p>
            <w:pPr>
              <w:pStyle w:val="Compact"/>
              <w:jc w:val="left"/>
            </w:pPr>
            <w:r>
              <w:t xml:space="preserve">-0.96</w:t>
            </w:r>
          </w:p>
        </w:tc>
        <w:tc>
          <w:tcPr/>
          <w:p>
            <w:pPr>
              <w:pStyle w:val="Compact"/>
              <w:jc w:val="left"/>
            </w:pPr>
            <w:r>
              <w:t xml:space="preserve">-0.11</w:t>
            </w:r>
          </w:p>
        </w:tc>
        <w:tc>
          <w:tcPr/>
          <w:p>
            <w:pPr>
              <w:pStyle w:val="Compact"/>
              <w:jc w:val="left"/>
            </w:pPr>
            <w:r>
              <w:t xml:space="preserve">0.99</w:t>
            </w:r>
          </w:p>
        </w:tc>
      </w:tr>
    </w:tbl>
    <w:bookmarkEnd w:id="96"/>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 Coefficients for calc are in reference to the</w:t>
      </w:r>
      <w:r>
        <w:t xml:space="preserve"> </w:t>
      </w:r>
      <w:r>
        <w:t xml:space="preserve">‘Used Calculator’</w:t>
      </w:r>
      <w:r>
        <w:t xml:space="preserve"> </w:t>
      </w:r>
      <w:r>
        <w:t xml:space="preserve">group, coefficient for the pct_goal is in reference to the 10% goal, and coefficient for rounded is in reference to the</w:t>
      </w:r>
      <w:r>
        <w:t xml:space="preserve"> </w:t>
      </w:r>
      <w:r>
        <w:t xml:space="preserve">‘Not Rounded’</w:t>
      </w:r>
      <w:r>
        <w:t xml:space="preserve"> </w:t>
      </w:r>
      <w:r>
        <w:t xml:space="preserve">group.</w:t>
      </w:r>
    </w:p>
    <w:p>
      <w:r>
        <w:br w:type="page"/>
      </w:r>
    </w:p>
    <w:bookmarkStart w:id="97" w:name="tbl-s2-ord"/>
    <w:p>
      <w:pPr>
        <w:pStyle w:val="FigureTitle"/>
      </w:pPr>
      <w:r>
        <w:t xml:space="preserve">Table 7</w:t>
      </w:r>
    </w:p>
    <w:p>
      <w:pPr>
        <w:pStyle w:val="Caption"/>
      </w:pP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2.78</w:t>
            </w:r>
          </w:p>
        </w:tc>
        <w:tc>
          <w:tcPr/>
          <w:p>
            <w:pPr>
              <w:pStyle w:val="Compact"/>
              <w:jc w:val="left"/>
            </w:pPr>
            <w:r>
              <w:t xml:space="preserve">0.53</w:t>
            </w:r>
          </w:p>
        </w:tc>
        <w:tc>
          <w:tcPr/>
          <w:p>
            <w:pPr>
              <w:pStyle w:val="Compact"/>
              <w:jc w:val="left"/>
            </w:pPr>
            <w:r>
              <w:t xml:space="preserve">15.0</w:t>
            </w:r>
          </w:p>
        </w:tc>
      </w:tr>
      <w:tr>
        <w:tc>
          <w:tcPr/>
          <w:p>
            <w:pPr>
              <w:pStyle w:val="Compact"/>
              <w:jc w:val="left"/>
            </w:pPr>
            <w:r>
              <w:t xml:space="preserve">USD vs kWh</w:t>
            </w:r>
          </w:p>
        </w:tc>
        <w:tc>
          <w:tcPr/>
          <w:p>
            <w:pPr>
              <w:pStyle w:val="Compact"/>
              <w:jc w:val="left"/>
            </w:pPr>
            <w:r>
              <w:t xml:space="preserve">9.68</w:t>
            </w:r>
          </w:p>
        </w:tc>
        <w:tc>
          <w:tcPr/>
          <w:p>
            <w:pPr>
              <w:pStyle w:val="Compact"/>
              <w:jc w:val="left"/>
            </w:pPr>
            <w:r>
              <w:t xml:space="preserve">1.69</w:t>
            </w:r>
          </w:p>
        </w:tc>
        <w:tc>
          <w:tcPr/>
          <w:p>
            <w:pPr>
              <w:pStyle w:val="Compact"/>
              <w:jc w:val="left"/>
            </w:pPr>
            <w:r>
              <w:t xml:space="preserve">53.4</w:t>
            </w:r>
          </w:p>
        </w:tc>
      </w:tr>
      <w:tr>
        <w:tc>
          <w:tcPr/>
          <w:p>
            <w:pPr>
              <w:pStyle w:val="Compact"/>
              <w:jc w:val="left"/>
            </w:pPr>
            <w:r>
              <w:t xml:space="preserve">calc-NoCalculator</w:t>
            </w:r>
          </w:p>
        </w:tc>
        <w:tc>
          <w:tcPr/>
          <w:p>
            <w:pPr>
              <w:pStyle w:val="Compact"/>
              <w:jc w:val="left"/>
            </w:pPr>
            <w:r>
              <w:t xml:space="preserve">60.37</w:t>
            </w:r>
          </w:p>
        </w:tc>
        <w:tc>
          <w:tcPr/>
          <w:p>
            <w:pPr>
              <w:pStyle w:val="Compact"/>
              <w:jc w:val="left"/>
            </w:pPr>
            <w:r>
              <w:t xml:space="preserve">9.02</w:t>
            </w:r>
          </w:p>
        </w:tc>
        <w:tc>
          <w:tcPr/>
          <w:p>
            <w:pPr>
              <w:pStyle w:val="Compact"/>
              <w:jc w:val="left"/>
            </w:pPr>
            <w:r>
              <w:t xml:space="preserve">426.4</w:t>
            </w:r>
          </w:p>
        </w:tc>
      </w:tr>
      <w:tr>
        <w:tc>
          <w:tcPr/>
          <w:p>
            <w:pPr>
              <w:pStyle w:val="Compact"/>
              <w:jc w:val="left"/>
            </w:pPr>
            <w:r>
              <w:t xml:space="preserve">15% Goal vs 10% Goal</w:t>
            </w:r>
          </w:p>
        </w:tc>
        <w:tc>
          <w:tcPr/>
          <w:p>
            <w:pPr>
              <w:pStyle w:val="Compact"/>
              <w:jc w:val="left"/>
            </w:pPr>
            <w:r>
              <w:t xml:space="preserve">0.68</w:t>
            </w:r>
          </w:p>
        </w:tc>
        <w:tc>
          <w:tcPr/>
          <w:p>
            <w:pPr>
              <w:pStyle w:val="Compact"/>
              <w:jc w:val="left"/>
            </w:pPr>
            <w:r>
              <w:t xml:space="preserve">0.44</w:t>
            </w:r>
          </w:p>
        </w:tc>
        <w:tc>
          <w:tcPr/>
          <w:p>
            <w:pPr>
              <w:pStyle w:val="Compact"/>
              <w:jc w:val="left"/>
            </w:pPr>
            <w:r>
              <w:t xml:space="preserve">1.0</w:t>
            </w:r>
          </w:p>
        </w:tc>
      </w:tr>
      <w:tr>
        <w:tc>
          <w:tcPr/>
          <w:p>
            <w:pPr>
              <w:pStyle w:val="Compact"/>
              <w:jc w:val="left"/>
            </w:pPr>
            <w:r>
              <w:t xml:space="preserve">Rounded vs Not</w:t>
            </w:r>
          </w:p>
        </w:tc>
        <w:tc>
          <w:tcPr/>
          <w:p>
            <w:pPr>
              <w:pStyle w:val="Compact"/>
              <w:jc w:val="left"/>
            </w:pPr>
            <w:r>
              <w:t xml:space="preserve">0.59</w:t>
            </w:r>
          </w:p>
        </w:tc>
        <w:tc>
          <w:tcPr/>
          <w:p>
            <w:pPr>
              <w:pStyle w:val="Compact"/>
              <w:jc w:val="left"/>
            </w:pPr>
            <w:r>
              <w:t xml:space="preserve">0.38</w:t>
            </w:r>
          </w:p>
        </w:tc>
        <w:tc>
          <w:tcPr/>
          <w:p>
            <w:pPr>
              <w:pStyle w:val="Compact"/>
              <w:jc w:val="left"/>
            </w:pPr>
            <w:r>
              <w:t xml:space="preserve">0.9</w:t>
            </w:r>
          </w:p>
        </w:tc>
      </w:tr>
    </w:tbl>
    <w:bookmarkEnd w:id="97"/>
    <w:p>
      <w:pPr>
        <w:pStyle w:val="FigureNote"/>
      </w:pPr>
      <w:r>
        <w:rPr>
          <w:i/>
          <w:iCs/>
        </w:rPr>
        <w:t xml:space="preserve">Note</w:t>
      </w:r>
      <w:r>
        <w:t xml:space="preserve">. Odds ratios greater than 1 indicate increased odds of falling into a worse accuracy category compared to the kWh condition</w:t>
      </w:r>
    </w:p>
    <w:p>
      <w:r>
        <w:br w:type="page"/>
      </w:r>
    </w:p>
    <w:bookmarkStart w:id="101" w:name="fig-task"/>
    <w:p>
      <w:pPr>
        <w:pStyle w:val="FigureTitle"/>
      </w:pPr>
      <w:r>
        <w:t xml:space="preserve">Figure 1</w:t>
      </w:r>
    </w:p>
    <w:p>
      <w:pPr>
        <w:pStyle w:val="Caption"/>
      </w:pPr>
      <w:r>
        <w:t xml:space="preserve">Example energy planning task trial</w:t>
      </w:r>
    </w:p>
    <w:p>
      <w:pPr>
        <w:pStyle w:val="FigureWithNote"/>
      </w:pPr>
      <w:r>
        <w:drawing>
          <wp:inline>
            <wp:extent cx="4754880" cy="5436001"/>
            <wp:effectExtent b="0" l="0" r="0" t="0"/>
            <wp:docPr descr="" title="" id="99" name="Picture"/>
            <a:graphic>
              <a:graphicData uri="http://schemas.openxmlformats.org/drawingml/2006/picture">
                <pic:pic>
                  <pic:nvPicPr>
                    <pic:cNvPr descr="./assets/images/wells10e_pub.png" id="100" name="Picture"/>
                    <pic:cNvPicPr>
                      <a:picLocks noChangeArrowheads="1" noChangeAspect="1"/>
                    </pic:cNvPicPr>
                  </pic:nvPicPr>
                  <pic:blipFill>
                    <a:blip r:embed="rId98"/>
                    <a:stretch>
                      <a:fillRect/>
                    </a:stretch>
                  </pic:blipFill>
                  <pic:spPr bwMode="auto">
                    <a:xfrm>
                      <a:off x="0" y="0"/>
                      <a:ext cx="4754880" cy="5436001"/>
                    </a:xfrm>
                    <a:prstGeom prst="rect">
                      <a:avLst/>
                    </a:prstGeom>
                    <a:noFill/>
                    <a:ln w="9525">
                      <a:noFill/>
                      <a:headEnd/>
                      <a:tailEnd/>
                    </a:ln>
                  </pic:spPr>
                </pic:pic>
              </a:graphicData>
            </a:graphic>
          </wp:inline>
        </w:drawing>
      </w:r>
    </w:p>
    <w:bookmarkEnd w:id="101"/>
    <w:p>
      <w:pPr>
        <w:pStyle w:val="FigureNote"/>
      </w:pPr>
      <w:r>
        <w:rPr>
          <w:i/>
          <w:iCs/>
        </w:rPr>
        <w:t xml:space="preserve">Note</w:t>
      </w:r>
      <w:r>
        <w:t xml:space="preserve">. Participants saw a table with a family’s previous year electricity usage (here for the Wells family in Colorado) and were asked to allocate energy usage to meet a 15% reduction goal. The format of the reduction goal was manipulated to be either a percentage (15% reduction), kilowatt hours (5965 kWh), or USD ($656). Participants in the USD condition were provided with the conversion rate between kWh and USD. All participants completed two scenarios, and for each scenario, they proposed two distinct action plans</w:t>
      </w:r>
    </w:p>
    <w:p>
      <w:r>
        <w:br w:type="page"/>
      </w:r>
    </w:p>
    <w:bookmarkStart w:id="105" w:name="fig-s1-log-dist"/>
    <w:p>
      <w:pPr>
        <w:pStyle w:val="FigureTitle"/>
      </w:pPr>
      <w:r>
        <w:t xml:space="preserve">Figure 2</w:t>
      </w:r>
    </w:p>
    <w:p>
      <w:pPr>
        <w:pStyle w:val="Caption"/>
      </w:pPr>
      <w:r>
        <w:t xml:space="preserve">Experiment 1: Planning Error Distributions</w:t>
      </w:r>
    </w:p>
    <w:p>
      <w:pPr>
        <w:pStyle w:val="FigureWithNote"/>
      </w:pPr>
      <w:r>
        <w:drawing>
          <wp:inline>
            <wp:extent cx="5943600" cy="4322618"/>
            <wp:effectExtent b="0" l="0" r="0" t="0"/>
            <wp:docPr descr="" title="" id="103" name="Picture"/>
            <a:graphic>
              <a:graphicData uri="http://schemas.openxmlformats.org/drawingml/2006/picture">
                <pic:pic>
                  <pic:nvPicPr>
                    <pic:cNvPr descr="manuscript_files/figure-docx/fig-s1-log-dist-1.png" id="104" name="Picture"/>
                    <pic:cNvPicPr>
                      <a:picLocks noChangeArrowheads="1" noChangeAspect="1"/>
                    </pic:cNvPicPr>
                  </pic:nvPicPr>
                  <pic:blipFill>
                    <a:blip r:embed="rId102"/>
                    <a:stretch>
                      <a:fillRect/>
                    </a:stretch>
                  </pic:blipFill>
                  <pic:spPr bwMode="auto">
                    <a:xfrm>
                      <a:off x="0" y="0"/>
                      <a:ext cx="5943600" cy="4322618"/>
                    </a:xfrm>
                    <a:prstGeom prst="rect">
                      <a:avLst/>
                    </a:prstGeom>
                    <a:noFill/>
                    <a:ln w="9525">
                      <a:noFill/>
                      <a:headEnd/>
                      <a:tailEnd/>
                    </a:ln>
                  </pic:spPr>
                </pic:pic>
              </a:graphicData>
            </a:graphic>
          </wp:inline>
        </w:drawing>
      </w:r>
    </w:p>
    <w:bookmarkEnd w:id="105"/>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r>
        <w:br w:type="page"/>
      </w:r>
    </w:p>
    <w:bookmarkStart w:id="109" w:name="fig-s1-ppd"/>
    <w:p>
      <w:pPr>
        <w:pStyle w:val="FigureTitle"/>
      </w:pPr>
      <w:r>
        <w:t xml:space="preserve">Figure 3</w:t>
      </w:r>
    </w:p>
    <w:p>
      <w:pPr>
        <w:pStyle w:val="Caption"/>
      </w:pPr>
      <w:r>
        <w:t xml:space="preserve">Experiment 1: Posterior Predictive Check</w:t>
      </w:r>
    </w:p>
    <w:p>
      <w:pPr>
        <w:pStyle w:val="FigureWithNote"/>
      </w:pPr>
      <w:r>
        <w:drawing>
          <wp:inline>
            <wp:extent cx="5943600" cy="5943600"/>
            <wp:effectExtent b="0" l="0" r="0" t="0"/>
            <wp:docPr descr="" title="" id="107" name="Picture"/>
            <a:graphic>
              <a:graphicData uri="http://schemas.openxmlformats.org/drawingml/2006/picture">
                <pic:pic>
                  <pic:nvPicPr>
                    <pic:cNvPr descr="manuscript_files/figure-docx/fig-s1-ppd-1.png" id="108" name="Picture"/>
                    <pic:cNvPicPr>
                      <a:picLocks noChangeArrowheads="1" noChangeAspect="1"/>
                    </pic:cNvPicPr>
                  </pic:nvPicPr>
                  <pic:blipFill>
                    <a:blip r:embed="rId106"/>
                    <a:stretch>
                      <a:fillRect/>
                    </a:stretch>
                  </pic:blipFill>
                  <pic:spPr bwMode="auto">
                    <a:xfrm>
                      <a:off x="0" y="0"/>
                      <a:ext cx="5943600" cy="5943600"/>
                    </a:xfrm>
                    <a:prstGeom prst="rect">
                      <a:avLst/>
                    </a:prstGeom>
                    <a:noFill/>
                    <a:ln w="9525">
                      <a:noFill/>
                      <a:headEnd/>
                      <a:tailEnd/>
                    </a:ln>
                  </pic:spPr>
                </pic:pic>
              </a:graphicData>
            </a:graphic>
          </wp:inline>
        </w:drawing>
      </w:r>
    </w:p>
    <w:bookmarkEnd w:id="109"/>
    <w:p>
      <w:pPr>
        <w:pStyle w:val="FigureNote"/>
      </w:pPr>
      <w:r>
        <w:rPr>
          <w:i/>
          <w:iCs/>
        </w:rPr>
        <w:t xml:space="preserve">Note</w:t>
      </w:r>
      <w:r>
        <w:t xml:space="preserve">.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r>
        <w:br w:type="page"/>
      </w:r>
    </w:p>
    <w:bookmarkStart w:id="113" w:name="fig-s1-els"/>
    <w:p>
      <w:pPr>
        <w:pStyle w:val="FigureTitle"/>
      </w:pPr>
      <w:r>
        <w:t xml:space="preserve">Figure 4</w:t>
      </w:r>
    </w:p>
    <w:p>
      <w:pPr>
        <w:pStyle w:val="Caption"/>
      </w:pPr>
      <w:r>
        <w:t xml:space="preserve">Experiment 1. Conditional effect of energy literacy on log absolute error</w:t>
      </w:r>
    </w:p>
    <w:p>
      <w:pPr>
        <w:pStyle w:val="FigureWithNote"/>
      </w:pPr>
      <w:r>
        <w:drawing>
          <wp:inline>
            <wp:extent cx="5943600" cy="5943600"/>
            <wp:effectExtent b="0" l="0" r="0" t="0"/>
            <wp:docPr descr="" title="" id="111" name="Picture"/>
            <a:graphic>
              <a:graphicData uri="http://schemas.openxmlformats.org/drawingml/2006/picture">
                <pic:pic>
                  <pic:nvPicPr>
                    <pic:cNvPr descr="manuscript_files/figure-docx/fig-s1-els-1.png" id="112" name="Picture"/>
                    <pic:cNvPicPr>
                      <a:picLocks noChangeArrowheads="1" noChangeAspect="1"/>
                    </pic:cNvPicPr>
                  </pic:nvPicPr>
                  <pic:blipFill>
                    <a:blip r:embed="rId110"/>
                    <a:stretch>
                      <a:fillRect/>
                    </a:stretch>
                  </pic:blipFill>
                  <pic:spPr bwMode="auto">
                    <a:xfrm>
                      <a:off x="0" y="0"/>
                      <a:ext cx="5943600" cy="5943600"/>
                    </a:xfrm>
                    <a:prstGeom prst="rect">
                      <a:avLst/>
                    </a:prstGeom>
                    <a:noFill/>
                    <a:ln w="9525">
                      <a:noFill/>
                      <a:headEnd/>
                      <a:tailEnd/>
                    </a:ln>
                  </pic:spPr>
                </pic:pic>
              </a:graphicData>
            </a:graphic>
          </wp:inline>
        </w:drawing>
      </w:r>
    </w:p>
    <w:bookmarkEnd w:id="113"/>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r>
        <w:br w:type="page"/>
      </w:r>
    </w:p>
    <w:bookmarkStart w:id="117" w:name="fig-s2-log-dist"/>
    <w:p>
      <w:pPr>
        <w:pStyle w:val="FigureTitle"/>
      </w:pPr>
      <w:r>
        <w:t xml:space="preserve">Figure 5</w:t>
      </w:r>
    </w:p>
    <w:p>
      <w:pPr>
        <w:pStyle w:val="Caption"/>
      </w:pPr>
      <w:r>
        <w:t xml:space="preserve">Experiment 2: Planning Error Distributions</w:t>
      </w:r>
    </w:p>
    <w:p>
      <w:pPr>
        <w:pStyle w:val="FigureWithNote"/>
      </w:pPr>
      <w:r>
        <w:drawing>
          <wp:inline>
            <wp:extent cx="5943600" cy="4322618"/>
            <wp:effectExtent b="0" l="0" r="0" t="0"/>
            <wp:docPr descr="" title="" id="115" name="Picture"/>
            <a:graphic>
              <a:graphicData uri="http://schemas.openxmlformats.org/drawingml/2006/picture">
                <pic:pic>
                  <pic:nvPicPr>
                    <pic:cNvPr descr="manuscript_files/figure-docx/fig-s2-log-dist-1.png" id="116" name="Picture"/>
                    <pic:cNvPicPr>
                      <a:picLocks noChangeArrowheads="1" noChangeAspect="1"/>
                    </pic:cNvPicPr>
                  </pic:nvPicPr>
                  <pic:blipFill>
                    <a:blip r:embed="rId114"/>
                    <a:stretch>
                      <a:fillRect/>
                    </a:stretch>
                  </pic:blipFill>
                  <pic:spPr bwMode="auto">
                    <a:xfrm>
                      <a:off x="0" y="0"/>
                      <a:ext cx="5943600" cy="4322618"/>
                    </a:xfrm>
                    <a:prstGeom prst="rect">
                      <a:avLst/>
                    </a:prstGeom>
                    <a:noFill/>
                    <a:ln w="9525">
                      <a:noFill/>
                      <a:headEnd/>
                      <a:tailEnd/>
                    </a:ln>
                  </pic:spPr>
                </pic:pic>
              </a:graphicData>
            </a:graphic>
          </wp:inline>
        </w:drawing>
      </w:r>
    </w:p>
    <w:bookmarkEnd w:id="117"/>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r>
        <w:br w:type="page"/>
      </w:r>
    </w:p>
    <w:bookmarkStart w:id="121" w:name="fig-s2-ame"/>
    <w:p>
      <w:pPr>
        <w:pStyle w:val="FigureTitle"/>
      </w:pPr>
      <w:r>
        <w:t xml:space="preserve">Figure 6</w:t>
      </w:r>
    </w:p>
    <w:p>
      <w:pPr>
        <w:pStyle w:val="Caption"/>
      </w:pPr>
      <w:r>
        <w:t xml:space="preserve">Experiment 2. Average marginal effects of reference class on accuracy levels</w:t>
      </w:r>
    </w:p>
    <w:p>
      <w:pPr>
        <w:pStyle w:val="FigureWithNote"/>
      </w:pPr>
      <w:r>
        <w:drawing>
          <wp:inline>
            <wp:extent cx="5943600" cy="4322618"/>
            <wp:effectExtent b="0" l="0" r="0" t="0"/>
            <wp:docPr descr="" title="" id="119" name="Picture"/>
            <a:graphic>
              <a:graphicData uri="http://schemas.openxmlformats.org/drawingml/2006/picture">
                <pic:pic>
                  <pic:nvPicPr>
                    <pic:cNvPr descr="manuscript_files/figure-docx/fig-s2-ame-1.png" id="120" name="Picture"/>
                    <pic:cNvPicPr>
                      <a:picLocks noChangeArrowheads="1" noChangeAspect="1"/>
                    </pic:cNvPicPr>
                  </pic:nvPicPr>
                  <pic:blipFill>
                    <a:blip r:embed="rId118"/>
                    <a:stretch>
                      <a:fillRect/>
                    </a:stretch>
                  </pic:blipFill>
                  <pic:spPr bwMode="auto">
                    <a:xfrm>
                      <a:off x="0" y="0"/>
                      <a:ext cx="5943600" cy="4322618"/>
                    </a:xfrm>
                    <a:prstGeom prst="rect">
                      <a:avLst/>
                    </a:prstGeom>
                    <a:noFill/>
                    <a:ln w="9525">
                      <a:noFill/>
                      <a:headEnd/>
                      <a:tailEnd/>
                    </a:ln>
                  </pic:spPr>
                </pic:pic>
              </a:graphicData>
            </a:graphic>
          </wp:inline>
        </w:drawing>
      </w:r>
    </w:p>
    <w:bookmarkEnd w:id="121"/>
    <w:p>
      <w:pPr>
        <w:pStyle w:val="FigureNote"/>
      </w:pPr>
      <w:r>
        <w:rPr>
          <w:i/>
          <w:iCs/>
        </w:rPr>
        <w:t xml:space="preserve">Note</w:t>
      </w:r>
      <w:r>
        <w:t xml:space="preserve">.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p>
      <w:r>
        <w:br w:type="page"/>
      </w:r>
    </w:p>
    <w:bookmarkStart w:id="125" w:name="fig-s2-ppd"/>
    <w:p>
      <w:pPr>
        <w:pStyle w:val="FigureTitle"/>
      </w:pPr>
      <w:r>
        <w:t xml:space="preserve">Figure 7</w:t>
      </w:r>
    </w:p>
    <w:p>
      <w:pPr>
        <w:pStyle w:val="Caption"/>
      </w:pPr>
      <w:r>
        <w:t xml:space="preserve">Experiment 2. Posterior predictive check of the bayesian regression model</w:t>
      </w:r>
    </w:p>
    <w:p>
      <w:pPr>
        <w:pStyle w:val="FigureWithNote"/>
      </w:pPr>
      <w:r>
        <w:drawing>
          <wp:inline>
            <wp:extent cx="5943600" cy="5943600"/>
            <wp:effectExtent b="0" l="0" r="0" t="0"/>
            <wp:docPr descr="" title="" id="123" name="Picture"/>
            <a:graphic>
              <a:graphicData uri="http://schemas.openxmlformats.org/drawingml/2006/picture">
                <pic:pic>
                  <pic:nvPicPr>
                    <pic:cNvPr descr="manuscript_files/figure-docx/fig-s2-ppd-1.png" id="124" name="Picture"/>
                    <pic:cNvPicPr>
                      <a:picLocks noChangeArrowheads="1" noChangeAspect="1"/>
                    </pic:cNvPicPr>
                  </pic:nvPicPr>
                  <pic:blipFill>
                    <a:blip r:embed="rId122"/>
                    <a:stretch>
                      <a:fillRect/>
                    </a:stretch>
                  </pic:blipFill>
                  <pic:spPr bwMode="auto">
                    <a:xfrm>
                      <a:off x="0" y="0"/>
                      <a:ext cx="5943600" cy="5943600"/>
                    </a:xfrm>
                    <a:prstGeom prst="rect">
                      <a:avLst/>
                    </a:prstGeom>
                    <a:noFill/>
                    <a:ln w="9525">
                      <a:noFill/>
                      <a:headEnd/>
                      <a:tailEnd/>
                    </a:ln>
                  </pic:spPr>
                </pic:pic>
              </a:graphicData>
            </a:graphic>
          </wp:inline>
        </w:drawing>
      </w:r>
    </w:p>
    <w:bookmarkEnd w:id="125"/>
    <w:p>
      <w:pPr>
        <w:pStyle w:val="FigureNote"/>
      </w:pPr>
      <w:r>
        <w:rPr>
          <w:i/>
          <w:iCs/>
        </w:rPr>
        <w:t xml:space="preserve">Note</w:t>
      </w:r>
      <w:r>
        <w:t xml:space="preserve">.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r>
        <w:br w:type="page"/>
      </w:r>
    </w:p>
    <w:bookmarkStart w:id="129" w:name="fig-s2-els"/>
    <w:p>
      <w:pPr>
        <w:pStyle w:val="FigureTitle"/>
      </w:pPr>
      <w:r>
        <w:t xml:space="preserve">Figure 8</w:t>
      </w:r>
    </w:p>
    <w:p>
      <w:pPr>
        <w:pStyle w:val="Caption"/>
      </w:pPr>
      <w:r>
        <w:t xml:space="preserve">Experiment 2. Conditional effect of energy literacy on log absolute error</w:t>
      </w:r>
    </w:p>
    <w:p>
      <w:pPr>
        <w:pStyle w:val="FigureWithNote"/>
      </w:pPr>
      <w:r>
        <w:drawing>
          <wp:inline>
            <wp:extent cx="5943600" cy="5943600"/>
            <wp:effectExtent b="0" l="0" r="0" t="0"/>
            <wp:docPr descr="" title="" id="127" name="Picture"/>
            <a:graphic>
              <a:graphicData uri="http://schemas.openxmlformats.org/drawingml/2006/picture">
                <pic:pic>
                  <pic:nvPicPr>
                    <pic:cNvPr descr="manuscript_files/figure-docx/fig-s2-els-1.png" id="128" name="Picture"/>
                    <pic:cNvPicPr>
                      <a:picLocks noChangeArrowheads="1" noChangeAspect="1"/>
                    </pic:cNvPicPr>
                  </pic:nvPicPr>
                  <pic:blipFill>
                    <a:blip r:embed="rId126"/>
                    <a:stretch>
                      <a:fillRect/>
                    </a:stretch>
                  </pic:blipFill>
                  <pic:spPr bwMode="auto">
                    <a:xfrm>
                      <a:off x="0" y="0"/>
                      <a:ext cx="5943600" cy="5943600"/>
                    </a:xfrm>
                    <a:prstGeom prst="rect">
                      <a:avLst/>
                    </a:prstGeom>
                    <a:noFill/>
                    <a:ln w="9525">
                      <a:noFill/>
                      <a:headEnd/>
                      <a:tailEnd/>
                    </a:ln>
                  </pic:spPr>
                </pic:pic>
              </a:graphicData>
            </a:graphic>
          </wp:inline>
        </w:drawing>
      </w:r>
    </w:p>
    <w:bookmarkEnd w:id="129"/>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r>
        <w:br w:type="page"/>
      </w:r>
    </w:p>
    <w:bookmarkEnd w:id="13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98" Target="media/rId98.png" /><Relationship Type="http://schemas.openxmlformats.org/officeDocument/2006/relationships/image" Id="rId110" Target="media/rId110.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8" Target="media/rId118.png" /><Relationship Type="http://schemas.openxmlformats.org/officeDocument/2006/relationships/image" Id="rId126" Target="media/rId126.png" /><Relationship Type="http://schemas.openxmlformats.org/officeDocument/2006/relationships/image" Id="rId114" Target="media/rId114.png" /><Relationship Type="http://schemas.openxmlformats.org/officeDocument/2006/relationships/image" Id="rId122" Target="media/rId122.png" /><Relationship Type="http://schemas.openxmlformats.org/officeDocument/2006/relationships/hyperlink" Id="rId68" Target="https://doi.org/10.1002/cb.2051" TargetMode="External" /><Relationship Type="http://schemas.openxmlformats.org/officeDocument/2006/relationships/hyperlink" Id="rId60" Target="https://doi.org/10.1007/s10311-023-01591-5" TargetMode="External" /><Relationship Type="http://schemas.openxmlformats.org/officeDocument/2006/relationships/hyperlink" Id="rId62" Target="https://doi.org/10.1007/s12053-008-9009-7" TargetMode="External" /><Relationship Type="http://schemas.openxmlformats.org/officeDocument/2006/relationships/hyperlink" Id="rId74" Target="https://doi.org/10.1016/B978-0-12-405888-0.09999-2" TargetMode="External" /><Relationship Type="http://schemas.openxmlformats.org/officeDocument/2006/relationships/hyperlink" Id="rId72" Target="https://doi.org/10.1016/j.enbuild.2010.10.010" TargetMode="External" /><Relationship Type="http://schemas.openxmlformats.org/officeDocument/2006/relationships/hyperlink" Id="rId58" Target="https://doi.org/10.1016/j.enpol.2010.12.049" TargetMode="External" /><Relationship Type="http://schemas.openxmlformats.org/officeDocument/2006/relationships/hyperlink" Id="rId82" Target="https://doi.org/10.1016/j.jdeveco.2023.103202" TargetMode="External" /><Relationship Type="http://schemas.openxmlformats.org/officeDocument/2006/relationships/hyperlink" Id="rId42" Target="https://doi.org/10.1016/j.jenvp.2005.08.002" TargetMode="External" /><Relationship Type="http://schemas.openxmlformats.org/officeDocument/2006/relationships/hyperlink" Id="rId44" Target="https://doi.org/10.1016/j.jenvp.2007.08.002" TargetMode="External" /><Relationship Type="http://schemas.openxmlformats.org/officeDocument/2006/relationships/hyperlink" Id="rId84" Target="https://doi.org/10.1016/j.jenvp.2019.02.008" TargetMode="External" /><Relationship Type="http://schemas.openxmlformats.org/officeDocument/2006/relationships/hyperlink" Id="rId50" Target="https://doi.org/10.1016/j.reseneeco.2017.06.001" TargetMode="External" /><Relationship Type="http://schemas.openxmlformats.org/officeDocument/2006/relationships/hyperlink" Id="rId78" Target="https://doi.org/10.1016/j.reseneeco.2020.101201" TargetMode="External" /><Relationship Type="http://schemas.openxmlformats.org/officeDocument/2006/relationships/hyperlink" Id="rId70" Target="https://doi.org/10.1017/S1930297500008172" TargetMode="External" /><Relationship Type="http://schemas.openxmlformats.org/officeDocument/2006/relationships/hyperlink" Id="rId76" Target="https://doi.org/10.1038/s41560-020-00763-9" TargetMode="External" /><Relationship Type="http://schemas.openxmlformats.org/officeDocument/2006/relationships/hyperlink" Id="rId48" Target="https://doi.org/10.1038/s41560-020-0582-0" TargetMode="External" /><Relationship Type="http://schemas.openxmlformats.org/officeDocument/2006/relationships/hyperlink" Id="rId46" Target="https://doi.org/10.1073/pnas.1001509107" TargetMode="External" /><Relationship Type="http://schemas.openxmlformats.org/officeDocument/2006/relationships/hyperlink" Id="rId56" Target="https://doi.org/10.1080/13669877.2015.1121909" TargetMode="External" /><Relationship Type="http://schemas.openxmlformats.org/officeDocument/2006/relationships/hyperlink" Id="rId64" Target="https://doi.org/10.1093/jcr/ucac006" TargetMode="External" /><Relationship Type="http://schemas.openxmlformats.org/officeDocument/2006/relationships/hyperlink" Id="rId66" Target="https://doi.org/10.1136/bmj.327.7417.741" TargetMode="External" /><Relationship Type="http://schemas.openxmlformats.org/officeDocument/2006/relationships/hyperlink" Id="rId54" Target="https://doi.org/10.1177/2515245918823199" TargetMode="External" /><Relationship Type="http://schemas.openxmlformats.org/officeDocument/2006/relationships/hyperlink" Id="rId52" Target="https://doi.org/10.18637/jss.v080.i01" TargetMode="External" /><Relationship Type="http://schemas.openxmlformats.org/officeDocument/2006/relationships/hyperlink" Id="rId88" Target="https://doi.org/10.21105/joss.01686" TargetMode="External" /><Relationship Type="http://schemas.openxmlformats.org/officeDocument/2006/relationships/hyperlink" Id="rId86" Target="https://doi.org/10.3389/fpsyg.2018.01833"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2/cb.2051" TargetMode="External" /><Relationship Type="http://schemas.openxmlformats.org/officeDocument/2006/relationships/hyperlink" Id="rId60" Target="https://doi.org/10.1007/s10311-023-01591-5" TargetMode="External" /><Relationship Type="http://schemas.openxmlformats.org/officeDocument/2006/relationships/hyperlink" Id="rId62" Target="https://doi.org/10.1007/s12053-008-9009-7" TargetMode="External" /><Relationship Type="http://schemas.openxmlformats.org/officeDocument/2006/relationships/hyperlink" Id="rId74" Target="https://doi.org/10.1016/B978-0-12-405888-0.09999-2" TargetMode="External" /><Relationship Type="http://schemas.openxmlformats.org/officeDocument/2006/relationships/hyperlink" Id="rId72" Target="https://doi.org/10.1016/j.enbuild.2010.10.010" TargetMode="External" /><Relationship Type="http://schemas.openxmlformats.org/officeDocument/2006/relationships/hyperlink" Id="rId58" Target="https://doi.org/10.1016/j.enpol.2010.12.049" TargetMode="External" /><Relationship Type="http://schemas.openxmlformats.org/officeDocument/2006/relationships/hyperlink" Id="rId82" Target="https://doi.org/10.1016/j.jdeveco.2023.103202" TargetMode="External" /><Relationship Type="http://schemas.openxmlformats.org/officeDocument/2006/relationships/hyperlink" Id="rId42" Target="https://doi.org/10.1016/j.jenvp.2005.08.002" TargetMode="External" /><Relationship Type="http://schemas.openxmlformats.org/officeDocument/2006/relationships/hyperlink" Id="rId44" Target="https://doi.org/10.1016/j.jenvp.2007.08.002" TargetMode="External" /><Relationship Type="http://schemas.openxmlformats.org/officeDocument/2006/relationships/hyperlink" Id="rId84" Target="https://doi.org/10.1016/j.jenvp.2019.02.008" TargetMode="External" /><Relationship Type="http://schemas.openxmlformats.org/officeDocument/2006/relationships/hyperlink" Id="rId50" Target="https://doi.org/10.1016/j.reseneeco.2017.06.001" TargetMode="External" /><Relationship Type="http://schemas.openxmlformats.org/officeDocument/2006/relationships/hyperlink" Id="rId78" Target="https://doi.org/10.1016/j.reseneeco.2020.101201" TargetMode="External" /><Relationship Type="http://schemas.openxmlformats.org/officeDocument/2006/relationships/hyperlink" Id="rId70" Target="https://doi.org/10.1017/S1930297500008172" TargetMode="External" /><Relationship Type="http://schemas.openxmlformats.org/officeDocument/2006/relationships/hyperlink" Id="rId76" Target="https://doi.org/10.1038/s41560-020-00763-9" TargetMode="External" /><Relationship Type="http://schemas.openxmlformats.org/officeDocument/2006/relationships/hyperlink" Id="rId48" Target="https://doi.org/10.1038/s41560-020-0582-0" TargetMode="External" /><Relationship Type="http://schemas.openxmlformats.org/officeDocument/2006/relationships/hyperlink" Id="rId46" Target="https://doi.org/10.1073/pnas.1001509107" TargetMode="External" /><Relationship Type="http://schemas.openxmlformats.org/officeDocument/2006/relationships/hyperlink" Id="rId56" Target="https://doi.org/10.1080/13669877.2015.1121909" TargetMode="External" /><Relationship Type="http://schemas.openxmlformats.org/officeDocument/2006/relationships/hyperlink" Id="rId64" Target="https://doi.org/10.1093/jcr/ucac006" TargetMode="External" /><Relationship Type="http://schemas.openxmlformats.org/officeDocument/2006/relationships/hyperlink" Id="rId66" Target="https://doi.org/10.1136/bmj.327.7417.741" TargetMode="External" /><Relationship Type="http://schemas.openxmlformats.org/officeDocument/2006/relationships/hyperlink" Id="rId54" Target="https://doi.org/10.1177/2515245918823199" TargetMode="External" /><Relationship Type="http://schemas.openxmlformats.org/officeDocument/2006/relationships/hyperlink" Id="rId52" Target="https://doi.org/10.18637/jss.v080.i01" TargetMode="External" /><Relationship Type="http://schemas.openxmlformats.org/officeDocument/2006/relationships/hyperlink" Id="rId88" Target="https://doi.org/10.21105/joss.01686" TargetMode="External" /><Relationship Type="http://schemas.openxmlformats.org/officeDocument/2006/relationships/hyperlink" Id="rId86" Target="https://doi.org/10.3389/fpsyg.2018.018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HOW INFORMATION FORMAT AFFECTS ACCURACY</dc:description>
  <cp:keywords>energy literacy, information format, planning accuracy, decision making</cp:keywords>
  <dcterms:created xsi:type="dcterms:W3CDTF">2025-04-01T00:08:21Z</dcterms:created>
  <dcterms:modified xsi:type="dcterms:W3CDTF">2025-04-01T00:08:21Z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2025-03-31</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False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mask">
    <vt:lpwstr>True</vt:lpwstr>
  </property>
  <property fmtid="{D5CDD505-2E9C-101B-9397-08002B2CF9AE}" pid="29" name="no-ampersand-parenthetical">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HOW INFORMATION FORMAT AFFECTS ACCURACY</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