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F90AD" w14:textId="77777777" w:rsidR="003F6AF4" w:rsidRDefault="00000000">
      <w:pPr>
        <w:pStyle w:val="FirstParagraph"/>
      </w:pPr>
      <w:r>
        <w:t xml:space="preserve"> </w:t>
      </w:r>
    </w:p>
    <w:p w14:paraId="2E4DEFBA" w14:textId="77777777" w:rsidR="003F6AF4" w:rsidRDefault="00000000">
      <w:pPr>
        <w:pStyle w:val="BodyText"/>
      </w:pPr>
      <w:r>
        <w:t xml:space="preserve"> </w:t>
      </w:r>
    </w:p>
    <w:p w14:paraId="7EF28139" w14:textId="77777777" w:rsidR="003F6AF4" w:rsidRDefault="00000000">
      <w:pPr>
        <w:pStyle w:val="Heading1"/>
      </w:pPr>
      <w:bookmarkStart w:id="0" w:name="title"/>
      <w:r>
        <w:t>Planning to Save Energy: How Information Format Affects Accuracy</w:t>
      </w:r>
    </w:p>
    <w:p w14:paraId="38546523" w14:textId="77777777" w:rsidR="003F6AF4" w:rsidRDefault="00000000">
      <w:pPr>
        <w:pStyle w:val="FirstParagraph"/>
      </w:pPr>
      <w:r>
        <w:t xml:space="preserve"> </w:t>
      </w:r>
    </w:p>
    <w:p w14:paraId="18B8CC1B" w14:textId="77777777" w:rsidR="003F6AF4" w:rsidRDefault="00000000">
      <w:pPr>
        <w:pStyle w:val="BodyText"/>
      </w:pPr>
      <w:r>
        <w:t xml:space="preserve"> </w:t>
      </w:r>
    </w:p>
    <w:p w14:paraId="7804B3A5" w14:textId="7310A22E" w:rsidR="003F6AF4" w:rsidRPr="003F00DE" w:rsidRDefault="00000000" w:rsidP="003F00DE">
      <w:pPr>
        <w:jc w:val="center"/>
        <w:rPr>
          <w:b/>
          <w:bCs/>
        </w:rPr>
      </w:pPr>
      <w:bookmarkStart w:id="1" w:name="abstract"/>
      <w:bookmarkEnd w:id="0"/>
      <w:r w:rsidRPr="003F00DE">
        <w:rPr>
          <w:b/>
          <w:bCs/>
        </w:rPr>
        <w:t>Abstract</w:t>
      </w:r>
    </w:p>
    <w:p w14:paraId="676CC244" w14:textId="77777777" w:rsidR="003F6AF4" w:rsidRDefault="00000000">
      <w:pPr>
        <w:pStyle w:val="AbstractFirstParagraph"/>
      </w:pPr>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5265982C" w14:textId="77777777" w:rsidR="003F6AF4" w:rsidRDefault="00000000">
      <w:pPr>
        <w:pStyle w:val="BodyText"/>
      </w:pPr>
      <w:r>
        <w:rPr>
          <w:i/>
          <w:iCs/>
        </w:rPr>
        <w:t>Keywords</w:t>
      </w:r>
      <w:r>
        <w:t>: energy literacy, information format, planning accuracy, decision making</w:t>
      </w:r>
    </w:p>
    <w:p w14:paraId="1E8BB849" w14:textId="77777777" w:rsidR="003F6AF4" w:rsidRDefault="00000000">
      <w:r>
        <w:br w:type="page"/>
      </w:r>
    </w:p>
    <w:p w14:paraId="71299C5D" w14:textId="77777777" w:rsidR="003F6AF4" w:rsidRDefault="00000000">
      <w:pPr>
        <w:pStyle w:val="Heading1"/>
      </w:pPr>
      <w:bookmarkStart w:id="2" w:name="firstheader"/>
      <w:bookmarkEnd w:id="1"/>
      <w:r>
        <w:lastRenderedPageBreak/>
        <w:t>Planning to Save Energy: How Information Format Affects Accuracy</w:t>
      </w:r>
    </w:p>
    <w:p w14:paraId="64607F70" w14:textId="77777777" w:rsidR="003F6AF4" w:rsidRDefault="00000000">
      <w:pPr>
        <w:pStyle w:val="Heading1"/>
      </w:pPr>
      <w:bookmarkStart w:id="3" w:name="introduction"/>
      <w:bookmarkEnd w:id="2"/>
      <w:r>
        <w:t>Introduction</w:t>
      </w:r>
    </w:p>
    <w:p w14:paraId="6505DBDA" w14:textId="77777777" w:rsidR="003F6AF4" w:rsidRDefault="00000000">
      <w:pPr>
        <w:pStyle w:val="FirstParagraph"/>
      </w:pPr>
      <w:r>
        <w:t>Energy insecurity has emerged as a critical public health concern, especially among low-income households, who frequently face difficult choices between paying energy bills and meeting other essential needs (</w:t>
      </w:r>
      <w:hyperlink w:anchor="ref-bednarRecognitionResponseEnergy2020">
        <w:r>
          <w:rPr>
            <w:rStyle w:val="Hyperlink"/>
          </w:rPr>
          <w:t>Bednar &amp; Reames, 2020</w:t>
        </w:r>
      </w:hyperlink>
      <w:r>
        <w:t xml:space="preserve">; </w:t>
      </w:r>
      <w:hyperlink w:anchor="X3b6a1d5d45806e48bd092325245544cfc853796">
        <w:r>
          <w:rPr>
            <w:rStyle w:val="Hyperlink"/>
          </w:rPr>
          <w:t>Memmott et al., 2021</w:t>
        </w:r>
      </w:hyperlink>
      <w:r>
        <w:t>). Such households often experience unsafe coping strategies (e.g., foregoing heating during winter months), which disproportionately affect at-risk populations and heighten risks of utility disconnection (</w:t>
      </w:r>
      <w:hyperlink w:anchor="X3b6a1d5d45806e48bd092325245544cfc853796">
        <w:r>
          <w:rPr>
            <w:rStyle w:val="Hyperlink"/>
          </w:rPr>
          <w:t>Memmott et al., 2021</w:t>
        </w:r>
      </w:hyperlink>
      <w:r>
        <w:t>). Moreover, residential energy use contributes to climate change, intensifying the urgency for sustainable solutions (</w:t>
      </w:r>
      <w:hyperlink w:anchor="ref-farghaliStrategiesEnergyContext2023">
        <w:r>
          <w:rPr>
            <w:rStyle w:val="Hyperlink"/>
          </w:rPr>
          <w:t>Farghali et al., 2023</w:t>
        </w:r>
      </w:hyperlink>
      <w:r>
        <w:t>).</w:t>
      </w:r>
    </w:p>
    <w:p w14:paraId="2CD0372D" w14:textId="77777777" w:rsidR="003F6AF4" w:rsidRDefault="00000000">
      <w:pPr>
        <w:pStyle w:val="BodyText"/>
      </w:pPr>
      <w:r>
        <w:t>Given the relevance of promoting behavior change to reduce energy consumption, several strands of research have aimed to identify factors that affect energy behaviors and interventions that effectively reduce energy consumption. For example, Abrahamse et al. (</w:t>
      </w:r>
      <w:hyperlink w:anchor="Xc77c1353231159de2b8cfbcbe6900637f731154">
        <w:r>
          <w:rPr>
            <w:rStyle w:val="Hyperlink"/>
          </w:rPr>
          <w:t>2007</w:t>
        </w:r>
      </w:hyperlink>
      <w:r>
        <w:t>) 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14:paraId="4AE1924A" w14:textId="77777777" w:rsidR="003F6AF4" w:rsidRDefault="00000000">
      <w:pPr>
        <w:pStyle w:val="BodyText"/>
      </w:pPr>
      <w:r>
        <w:t xml:space="preserve">However, the success of such interventions may hinge on how effectively energy information is communicated, with format and presentation context significantly influencing </w:t>
      </w:r>
      <w:r>
        <w:lastRenderedPageBreak/>
        <w:t>understanding and action (</w:t>
      </w:r>
      <w:hyperlink w:anchor="X583a2aeb73133489b1bca7034fc4c88220fccdb">
        <w:r>
          <w:rPr>
            <w:rStyle w:val="Hyperlink"/>
          </w:rPr>
          <w:t>Canfield et al., 2017</w:t>
        </w:r>
      </w:hyperlink>
      <w:r>
        <w:t xml:space="preserve">; </w:t>
      </w:r>
      <w:hyperlink w:anchor="X5af67f995b39de65510a4284ea565163ed449fb">
        <w:r>
          <w:rPr>
            <w:rStyle w:val="Hyperlink"/>
          </w:rPr>
          <w:t>Fischer, 2008</w:t>
        </w:r>
      </w:hyperlink>
      <w:r>
        <w:t>).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p w14:paraId="4AB5EBA9" w14:textId="77777777" w:rsidR="003F6AF4" w:rsidRDefault="00000000">
      <w:pPr>
        <w:pStyle w:val="Heading3"/>
      </w:pPr>
      <w:bookmarkStart w:id="4" w:name="representation-formats"/>
      <w:r>
        <w:t>Representation Formats</w:t>
      </w:r>
    </w:p>
    <w:p w14:paraId="401E96E0" w14:textId="77777777" w:rsidR="003F6AF4" w:rsidRDefault="00000000">
      <w:pPr>
        <w:pStyle w:val="FirstParagraph"/>
      </w:pPr>
      <w:r>
        <w:t>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 Canfield et al. (</w:t>
      </w:r>
      <w:hyperlink w:anchor="X583a2aeb73133489b1bca7034fc4c88220fccdb">
        <w:r>
          <w:rPr>
            <w:rStyle w:val="Hyperlink"/>
          </w:rPr>
          <w:t>2017</w:t>
        </w:r>
      </w:hyperlink>
      <w:r>
        <w:t>) 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 Canfield et al. (</w:t>
      </w:r>
      <w:hyperlink w:anchor="X583a2aeb73133489b1bca7034fc4c88220fccdb">
        <w:r>
          <w:rPr>
            <w:rStyle w:val="Hyperlink"/>
          </w:rPr>
          <w:t>2017</w:t>
        </w:r>
      </w:hyperlink>
      <w:r>
        <w:t>)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 DeWaters and Powers (</w:t>
      </w:r>
      <w:hyperlink w:anchor="ref-dewatersEnergyLiteracySecondary2011">
        <w:r>
          <w:rPr>
            <w:rStyle w:val="Hyperlink"/>
          </w:rPr>
          <w:t>2011</w:t>
        </w:r>
      </w:hyperlink>
      <w:r>
        <w:t xml:space="preserve">) 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w:t>
      </w:r>
      <w:r>
        <w:lastRenderedPageBreak/>
        <w:t>preferences, and intentions, Canfield et al. (</w:t>
      </w:r>
      <w:hyperlink w:anchor="X583a2aeb73133489b1bca7034fc4c88220fccdb">
        <w:r>
          <w:rPr>
            <w:rStyle w:val="Hyperlink"/>
          </w:rPr>
          <w:t>2017</w:t>
        </w:r>
      </w:hyperlink>
      <w:r>
        <w:t>) demonstrated that easy-to-implement communication strategies in energy bills can lead to energy-saving behaviors.</w:t>
      </w:r>
    </w:p>
    <w:p w14:paraId="708ED91A" w14:textId="77777777" w:rsidR="003F6AF4" w:rsidRDefault="00000000">
      <w:pPr>
        <w:pStyle w:val="BodyText"/>
      </w:pPr>
      <w:r>
        <w:t>Although many individuals express a desire to conserve energy, research consistently shows that abstract goals (e.g., “reduce overall usage by 15%”) often fail to translate into effective behavior change unless accompanied by specific, actionable steps (</w:t>
      </w:r>
      <w:hyperlink w:anchor="X017f3aa19ce35c5f02a682eb2019dab7020f49c">
        <w:r>
          <w:rPr>
            <w:rStyle w:val="Hyperlink"/>
          </w:rPr>
          <w:t>Abrahamse et al., 2005</w:t>
        </w:r>
      </w:hyperlink>
      <w:r>
        <w:t xml:space="preserve">; </w:t>
      </w:r>
      <w:hyperlink w:anchor="X6b928f3b3d6d58eb00a6f05f7cc31476714d0fc">
        <w:r>
          <w:rPr>
            <w:rStyle w:val="Hyperlink"/>
          </w:rPr>
          <w:t>Nemati &amp; Penn, 2020</w:t>
        </w:r>
      </w:hyperlink>
      <w:r>
        <w:t>). For instance, Abrahamse et al. (</w:t>
      </w:r>
      <w:hyperlink w:anchor="X017f3aa19ce35c5f02a682eb2019dab7020f49c">
        <w:r>
          <w:rPr>
            <w:rStyle w:val="Hyperlink"/>
          </w:rPr>
          <w:t>2005</w:t>
        </w:r>
      </w:hyperlink>
      <w:r>
        <w:t>) demonstrated that merely providing general information about energy savings rarely alters consumption patterns unless consumers also receive concrete instructions or tailored feedback.</w:t>
      </w:r>
    </w:p>
    <w:p w14:paraId="332BB075" w14:textId="77777777" w:rsidR="003F6AF4" w:rsidRDefault="00000000">
      <w:pPr>
        <w:pStyle w:val="BodyText"/>
      </w:pPr>
      <w:r>
        <w:t>Similarly, Tonke (</w:t>
      </w:r>
      <w:hyperlink w:anchor="Xd44db9aff911e722b730a7e513225ab165d3721">
        <w:r>
          <w:rPr>
            <w:rStyle w:val="Hyperlink"/>
          </w:rPr>
          <w:t>2024</w:t>
        </w:r>
      </w:hyperlink>
      <w:r>
        <w:t>) 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 (</w:t>
      </w:r>
      <w:hyperlink w:anchor="ref-attariPublicPerceptionsEnergy2010">
        <w:r>
          <w:rPr>
            <w:rStyle w:val="Hyperlink"/>
          </w:rPr>
          <w:t>Attari et al., 2010</w:t>
        </w:r>
      </w:hyperlink>
      <w:r>
        <w:t>). Additionally, meta-analytic findings suggest that people respond more robustly to household-level feedback that situates their usage within a personalized framework, thereby reducing the cognitive burden of determining next steps (</w:t>
      </w:r>
      <w:hyperlink w:anchor="X6b928f3b3d6d58eb00a6f05f7cc31476714d0fc">
        <w:r>
          <w:rPr>
            <w:rStyle w:val="Hyperlink"/>
          </w:rPr>
          <w:t>Nemati &amp; Penn, 2020</w:t>
        </w:r>
      </w:hyperlink>
      <w:r>
        <w:t>).</w:t>
      </w:r>
    </w:p>
    <w:p w14:paraId="2E1D55A4" w14:textId="77777777" w:rsidR="003F6AF4" w:rsidRDefault="00000000">
      <w:pPr>
        <w:pStyle w:val="BodyText"/>
      </w:pPr>
      <w:r>
        <w:t>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xml:space="preserve">). A substantial body of evidence suggests that presenting data in terms of absolute counts </w:t>
      </w:r>
      <w:r>
        <w:lastRenderedPageBreak/>
        <w:t>or frequencies, as opposed to probabilities or percentages, can promote more accurate comprehension and facilitate decision making. However, it is important to note that even intuitive formats can pose challenges. For instance, Weber et al. (</w:t>
      </w:r>
      <w:hyperlink w:anchor="ref-weberWhyCanOnly2018">
        <w:r>
          <w:rPr>
            <w:rStyle w:val="Hyperlink"/>
          </w:rPr>
          <w:t>2018</w:t>
        </w:r>
      </w:hyperlink>
      <w:r>
        <w:t>) found that individuals often struggle with reasoning tasks presented in natural frequencies because they inadvertently revert to more complex probabilistic thinking.</w:t>
      </w:r>
    </w:p>
    <w:p w14:paraId="366B45F3" w14:textId="77777777" w:rsidR="003F6AF4" w:rsidRDefault="00000000">
      <w:pPr>
        <w:pStyle w:val="BodyText"/>
      </w:pPr>
      <w:r>
        <w:t>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w:t>
      </w:r>
      <w:hyperlink w:anchor="X583a2aeb73133489b1bca7034fc4c88220fccdb">
        <w:r>
          <w:rPr>
            <w:rStyle w:val="Hyperlink"/>
          </w:rPr>
          <w:t>Canfield et al., 2017</w:t>
        </w:r>
      </w:hyperlink>
      <w:r>
        <w:t>). Furthermore, the framing of energy costs, such as displaying monthly rather than daily or yearly expenses, can significantly affect consumers’ choices (</w:t>
      </w:r>
      <w:hyperlink w:anchor="ref-gillConsumerMatchingCosts2022">
        <w:r>
          <w:rPr>
            <w:rStyle w:val="Hyperlink"/>
          </w:rPr>
          <w:t>Gill et al., 2022</w:t>
        </w:r>
      </w:hyperlink>
      <w:r>
        <w:t>).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as well as better long-term appliance selection with information presented in monetary terms (</w:t>
      </w:r>
      <w:hyperlink w:anchor="ref-blaschBoundedlyRationalConsumers2019">
        <w:r>
          <w:rPr>
            <w:rStyle w:val="Hyperlink"/>
          </w:rPr>
          <w:t>Blasch et al., 2019</w:t>
        </w:r>
      </w:hyperlink>
      <w:r>
        <w:t>). However, it remains uncertain how these reported benefits might generalize to the more complex task of household energy planning, where usage patterns are multifaceted and subject to a variety of contextual influences.</w:t>
      </w:r>
    </w:p>
    <w:p w14:paraId="4C675F28" w14:textId="77777777" w:rsidR="003F6AF4" w:rsidRDefault="00000000">
      <w:pPr>
        <w:pStyle w:val="Heading3"/>
      </w:pPr>
      <w:bookmarkStart w:id="5" w:name="overview-of-current-research"/>
      <w:bookmarkEnd w:id="4"/>
      <w:r>
        <w:lastRenderedPageBreak/>
        <w:t>Overview of Current Research</w:t>
      </w:r>
    </w:p>
    <w:p w14:paraId="34BA603E" w14:textId="77777777" w:rsidR="003F6AF4" w:rsidRDefault="00000000">
      <w:pPr>
        <w:pStyle w:val="FirstParagraph"/>
      </w:pPr>
      <w:r>
        <w:t>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p w14:paraId="6D0AF4C6" w14:textId="77777777" w:rsidR="003F6AF4" w:rsidRDefault="00000000">
      <w:pPr>
        <w:pStyle w:val="Heading1"/>
      </w:pPr>
      <w:bookmarkStart w:id="6" w:name="experiment-1"/>
      <w:bookmarkEnd w:id="3"/>
      <w:bookmarkEnd w:id="5"/>
      <w:r>
        <w:t>Experiment 1</w:t>
      </w:r>
    </w:p>
    <w:p w14:paraId="585D505B" w14:textId="77777777" w:rsidR="003F6AF4" w:rsidRDefault="00000000">
      <w:pPr>
        <w:pStyle w:val="FirstParagraph"/>
      </w:pPr>
      <w:r>
        <w:t xml:space="preserve">See </w:t>
      </w:r>
      <w:hyperlink w:anchor="fig-task">
        <w:r>
          <w:rPr>
            <w:rStyle w:val="Hyperlink"/>
          </w:rPr>
          <w:t>Figure 1</w:t>
        </w:r>
      </w:hyperlink>
      <w:r>
        <w:t xml:space="preserve"> for an example of a planning trial as it was seen by participants.</w:t>
      </w:r>
    </w:p>
    <w:p w14:paraId="0EE099A4" w14:textId="77777777" w:rsidR="003F6AF4" w:rsidRDefault="00000000">
      <w:pPr>
        <w:pStyle w:val="Heading2"/>
      </w:pPr>
      <w:bookmarkStart w:id="7" w:name="methods"/>
      <w:r>
        <w:lastRenderedPageBreak/>
        <w:t>Methods</w:t>
      </w:r>
    </w:p>
    <w:p w14:paraId="5972CF3D" w14:textId="77777777" w:rsidR="003F6AF4" w:rsidRDefault="00000000">
      <w:pPr>
        <w:pStyle w:val="Heading3"/>
      </w:pPr>
      <w:bookmarkStart w:id="8" w:name="participants"/>
      <w:r>
        <w:t>Participants</w:t>
      </w:r>
    </w:p>
    <w:p w14:paraId="24854CE0" w14:textId="77777777" w:rsidR="003F6AF4" w:rsidRDefault="00000000">
      <w:pPr>
        <w:pStyle w:val="FirstParagraph"/>
      </w:pPr>
      <w:r>
        <w:t>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p w14:paraId="28E2EE90" w14:textId="77777777" w:rsidR="003F6AF4" w:rsidRDefault="00000000">
      <w:pPr>
        <w:pStyle w:val="Heading3"/>
      </w:pPr>
      <w:bookmarkStart w:id="9" w:name="materials-and-design"/>
      <w:bookmarkEnd w:id="8"/>
      <w:r>
        <w:t>Materials and Design</w:t>
      </w:r>
    </w:p>
    <w:p w14:paraId="24E6E534" w14:textId="77777777" w:rsidR="003F6AF4" w:rsidRDefault="00000000">
      <w:pPr>
        <w:pStyle w:val="FirstParagraph"/>
      </w:pPr>
      <w:r>
        <w:t>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 (</w:t>
      </w:r>
      <w:hyperlink w:anchor="ref-dewatersEnergyLiteracySecondary2011">
        <w:r>
          <w:rPr>
            <w:rStyle w:val="Hyperlink"/>
          </w:rPr>
          <w:t>DeWaters &amp; Powers, 2011</w:t>
        </w:r>
      </w:hyperlink>
      <w:r>
        <w:t>), and a question indicating whether they used a calculator for the task.</w:t>
      </w:r>
    </w:p>
    <w:p w14:paraId="48F3BC07" w14:textId="77777777" w:rsidR="003F6AF4" w:rsidRDefault="00000000">
      <w:pPr>
        <w:pStyle w:val="Heading3"/>
      </w:pPr>
      <w:bookmarkStart w:id="10" w:name="procedure"/>
      <w:bookmarkEnd w:id="9"/>
      <w:r>
        <w:t>Procedure</w:t>
      </w:r>
    </w:p>
    <w:p w14:paraId="498144F7" w14:textId="77777777" w:rsidR="003F6AF4"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w:t>
      </w:r>
      <w:r>
        <w:lastRenderedPageBreak/>
        <w:t xml:space="preserve">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 </w:t>
      </w:r>
      <w:hyperlink w:anchor="fig-task">
        <w:r>
          <w:rPr>
            <w:rStyle w:val="Hyperlink"/>
          </w:rPr>
          <w:t>Figure 1</w:t>
        </w:r>
      </w:hyperlink>
      <w:r>
        <w:t>).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p w14:paraId="7F3F8B32" w14:textId="77777777" w:rsidR="003F6AF4" w:rsidRDefault="00000000">
      <w:pPr>
        <w:pStyle w:val="Heading2"/>
      </w:pPr>
      <w:bookmarkStart w:id="11" w:name="results"/>
      <w:bookmarkEnd w:id="7"/>
      <w:bookmarkEnd w:id="10"/>
      <w:r>
        <w:t>Results</w:t>
      </w:r>
    </w:p>
    <w:p w14:paraId="43CC0AB4" w14:textId="77777777" w:rsidR="003F6AF4" w:rsidRDefault="00000000">
      <w:pPr>
        <w:pStyle w:val="FirstParagraph"/>
      </w:pPr>
      <w:r>
        <w:t xml:space="preserve">All preprocessing and analyses were carried out in </w:t>
      </w:r>
      <w:r>
        <w:rPr>
          <w:rStyle w:val="VerbatimChar"/>
        </w:rPr>
        <w:t>R</w:t>
      </w:r>
      <w:r>
        <w:t xml:space="preserve"> version 4.4.3 (</w:t>
      </w:r>
      <w:hyperlink w:anchor="X7b3c79bfb7654af1f4b03dba64dad1a6765c972">
        <w:r>
          <w:rPr>
            <w:rStyle w:val="Hyperlink"/>
          </w:rPr>
          <w:t>Team, 2020</w:t>
        </w:r>
      </w:hyperlink>
      <w:r>
        <w:t>) and the Tidyverse package (</w:t>
      </w:r>
      <w:hyperlink w:anchor="ref-wickhamWelcomeTidyverse2019">
        <w:r>
          <w:rPr>
            <w:rStyle w:val="Hyperlink"/>
          </w:rPr>
          <w:t>Wickham et al., 2019</w:t>
        </w:r>
      </w:hyperlink>
      <w:r>
        <w:t xml:space="preserve">). Mixed Bayesian regressions were fit using the </w:t>
      </w:r>
      <w:r>
        <w:rPr>
          <w:rStyle w:val="VerbatimChar"/>
        </w:rPr>
        <w:t>brms</w:t>
      </w:r>
      <w:r>
        <w:t xml:space="preserve"> package (</w:t>
      </w:r>
      <w:hyperlink w:anchor="ref-burknerBrmsPackageBayesian2017">
        <w:r>
          <w:rPr>
            <w:rStyle w:val="Hyperlink"/>
          </w:rPr>
          <w:t>Bürkner, 2017</w:t>
        </w:r>
      </w:hyperlink>
      <w:r>
        <w:t>), with participants and family scenario set as random effects.</w:t>
      </w:r>
    </w:p>
    <w:p w14:paraId="05C379E1" w14:textId="77777777" w:rsidR="003F6AF4" w:rsidRDefault="00000000">
      <w:pPr>
        <w:pStyle w:val="BodyText"/>
      </w:pPr>
      <w:r>
        <w:t xml:space="preserve">The summary statistics in </w:t>
      </w:r>
      <w:hyperlink w:anchor="tbl-s1-agg">
        <w:r>
          <w:rPr>
            <w:rStyle w:val="Hyperlink"/>
          </w:rPr>
          <w:t>Table 1</w:t>
        </w:r>
      </w:hyperlink>
      <w:r>
        <w:t xml:space="preserve"> 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 </w:t>
      </w:r>
      <w:hyperlink w:anchor="tbl-s1-agg">
        <w:r>
          <w:rPr>
            <w:rStyle w:val="Hyperlink"/>
          </w:rPr>
          <w:t>Table 1</w:t>
        </w:r>
      </w:hyperlink>
      <w:r>
        <w:t xml:space="preserve">, coupled with the visual evidence presented in </w:t>
      </w:r>
      <w:hyperlink w:anchor="fig-s1-log-dist">
        <w:r>
          <w:rPr>
            <w:rStyle w:val="Hyperlink"/>
          </w:rPr>
          <w:t>Figure 2</w:t>
        </w:r>
      </w:hyperlink>
      <w:r>
        <w:t>, underscore the markedly skewed, and potentially bi-modal distribution of the underlying planning errors.</w:t>
      </w:r>
    </w:p>
    <w:p w14:paraId="37276217" w14:textId="77777777" w:rsidR="003F6AF4" w:rsidRDefault="00000000">
      <w:pPr>
        <w:pStyle w:val="BodyText"/>
      </w:pPr>
      <w:r>
        <w:t xml:space="preserve">In light of these distributional characteristics, we elected to bin planning performance into ordered accuracy levels (as shown in </w:t>
      </w:r>
      <w:hyperlink w:anchor="tbl-s1-prop">
        <w:r>
          <w:rPr>
            <w:rStyle w:val="Hyperlink"/>
          </w:rPr>
          <w:t>Table 2</w:t>
        </w:r>
      </w:hyperlink>
      <w:r>
        <w:t xml:space="preserve">). Consequently, we binned individual trial outcomes into three distinct, ordered categories: “Exact match” (0% absolute error), “0.01-5% error” (minor deviations), and “Over 5% error” (larger deviations). This binned </w:t>
      </w:r>
      <w:r>
        <w:rPr>
          <w:rStyle w:val="VerbatimChar"/>
        </w:rPr>
        <w:t>accuracy_level</w:t>
      </w:r>
      <w:r>
        <w:t xml:space="preserve"> variable subsequently served as the dependent measure in our primary inferential analyses examining the impact of reference class on planning accuracy</w:t>
      </w:r>
    </w:p>
    <w:p w14:paraId="7CEACC6A" w14:textId="77777777" w:rsidR="003F6AF4" w:rsidRDefault="00000000">
      <w:r>
        <w:br w:type="page"/>
      </w:r>
    </w:p>
    <w:p w14:paraId="56B10A53" w14:textId="77777777" w:rsidR="003F6AF4" w:rsidRDefault="00000000">
      <w:pPr>
        <w:pStyle w:val="BodyText"/>
      </w:pPr>
      <w:r>
        <w:lastRenderedPageBreak/>
        <w:t>Group comparisons were conducted with Bayesian ordinal regression (</w:t>
      </w:r>
      <w:hyperlink w:anchor="ref-burknerOrdinalRegressionModels2019">
        <w:r>
          <w:rPr>
            <w:rStyle w:val="Hyperlink"/>
          </w:rPr>
          <w:t>Bürkner &amp; Vuorre, 2019</w:t>
        </w:r>
      </w:hyperlink>
      <w:r>
        <w:t xml:space="preserve">; </w:t>
      </w:r>
      <w:hyperlink w:anchor="ref-kruschkeDoingBayesianData2014">
        <w:r>
          <w:rPr>
            <w:rStyle w:val="Hyperlink"/>
          </w:rPr>
          <w:t>Kruschke, 2014</w:t>
        </w:r>
      </w:hyperlink>
      <w:r>
        <w:t>). We modeled the ordered accuracy outcome as a function of the reference class condition, while controlling for random variation across participants and family scenarios (</w:t>
      </w:r>
      <w:hyperlink w:anchor="eq-e1">
        <w:r>
          <w:rPr>
            <w:rStyle w:val="Hyperlink"/>
          </w:rPr>
          <w:t>Equation 1</w:t>
        </w:r>
      </w:hyperlink>
      <w:r>
        <w:t>).</w:t>
      </w:r>
    </w:p>
    <w:p w14:paraId="60E5E9BE" w14:textId="77777777" w:rsidR="003F6AF4" w:rsidRDefault="00000000">
      <w:pPr>
        <w:pStyle w:val="BodyText"/>
      </w:pPr>
      <w:bookmarkStart w:id="12" w:name="eq-e1"/>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1</m:t>
              </m:r>
            </m:e>
          </m:d>
        </m:oMath>
      </m:oMathPara>
      <w:bookmarkEnd w:id="12"/>
    </w:p>
    <w:p w14:paraId="6F4504D3" w14:textId="77777777" w:rsidR="003F6AF4" w:rsidRDefault="00000000">
      <w:pPr>
        <w:pStyle w:val="FirstParagraph"/>
      </w:pPr>
      <w:r>
        <w:t>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 (</w:t>
      </w:r>
      <w:hyperlink w:anchor="ref-kruschkeDoingBayesianData2014">
        <w:r>
          <w:rPr>
            <w:rStyle w:val="Hyperlink"/>
          </w:rPr>
          <w:t>Kruschke, 2014</w:t>
        </w:r>
      </w:hyperlink>
      <w:r>
        <w:t>)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 The width of the credible intervals (Bayesian equivalent of confidence intervals) derived from the posterior distribution directly indicates the degree of uncertainty in these effects.</w:t>
      </w:r>
    </w:p>
    <w:p w14:paraId="45D6F495" w14:textId="77777777" w:rsidR="003F6AF4" w:rsidRDefault="00000000">
      <w:pPr>
        <w:pStyle w:val="BodyText"/>
      </w:pPr>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w:t>
      </w:r>
      <w:r>
        <w:lastRenderedPageBreak/>
        <w:t xml:space="preserve">produce plans that fell into higher error categories. Moreover, the odds ratios (see </w:t>
      </w:r>
      <w:hyperlink w:anchor="tbl-s1-ord">
        <w:r>
          <w:rPr>
            <w:rStyle w:val="Hyperlink"/>
          </w:rPr>
          <w:t>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 </w:t>
      </w:r>
      <w:hyperlink w:anchor="fig-s1-ppd">
        <w:r>
          <w:rPr>
            <w:rStyle w:val="Hyperlink"/>
          </w:rPr>
          <w:t>Figure 3</w:t>
        </w:r>
      </w:hyperlink>
      <w:r>
        <w:t>,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14:paraId="6271E18D" w14:textId="77777777" w:rsidR="003F6AF4" w:rsidRDefault="00000000">
      <w:pPr>
        <w:pStyle w:val="BodyText"/>
      </w:pPr>
      <w:r>
        <w:t>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Figure 4</w:t>
        </w:r>
      </w:hyperlink>
      <w:r>
        <w:t>).</w:t>
      </w:r>
    </w:p>
    <w:p w14:paraId="45E6CDDE" w14:textId="77777777" w:rsidR="003F6AF4" w:rsidRDefault="00000000">
      <w:pPr>
        <w:pStyle w:val="Heading2"/>
      </w:pPr>
      <w:bookmarkStart w:id="13" w:name="experiment-1-discussion"/>
      <w:bookmarkEnd w:id="11"/>
      <w:r>
        <w:lastRenderedPageBreak/>
        <w:t>Experiment 1: Discussion</w:t>
      </w:r>
    </w:p>
    <w:p w14:paraId="427489DA" w14:textId="77777777" w:rsidR="003F6AF4"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0BD93F9F" w14:textId="77777777" w:rsidR="003F6AF4"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286A7EEB" w14:textId="77777777" w:rsidR="003F6AF4" w:rsidRDefault="00000000">
      <w:pPr>
        <w:pStyle w:val="Heading1"/>
      </w:pPr>
      <w:bookmarkStart w:id="14" w:name="experiment-2"/>
      <w:bookmarkEnd w:id="6"/>
      <w:bookmarkEnd w:id="13"/>
      <w:r>
        <w:t>Experiment 2</w:t>
      </w:r>
    </w:p>
    <w:p w14:paraId="1893D424" w14:textId="77777777" w:rsidR="003F6AF4" w:rsidRDefault="00000000">
      <w:pPr>
        <w:pStyle w:val="Heading2"/>
      </w:pPr>
      <w:bookmarkStart w:id="15" w:name="introduction-1"/>
      <w:r>
        <w:t>Introduction</w:t>
      </w:r>
    </w:p>
    <w:p w14:paraId="7A3E2997" w14:textId="77777777" w:rsidR="003F6AF4" w:rsidRDefault="00000000">
      <w:pPr>
        <w:pStyle w:val="FirstParagraph"/>
      </w:pPr>
      <w:r>
        <w:t xml:space="preserve">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w:t>
      </w:r>
      <w:r>
        <w:lastRenderedPageBreak/>
        <w:t>(comparing a 10% versus a 15% target) and the granularity of the presented numerical usage data (using exact versus rounded figures).</w:t>
      </w:r>
    </w:p>
    <w:p w14:paraId="3DCE6EC1" w14:textId="77777777" w:rsidR="003F6AF4" w:rsidRDefault="00000000">
      <w:pPr>
        <w:pStyle w:val="Heading2"/>
      </w:pPr>
      <w:bookmarkStart w:id="16" w:name="methods-1"/>
      <w:bookmarkEnd w:id="15"/>
      <w:r>
        <w:t>Methods</w:t>
      </w:r>
    </w:p>
    <w:p w14:paraId="337BC758" w14:textId="77777777" w:rsidR="003F6AF4" w:rsidRDefault="00000000">
      <w:pPr>
        <w:pStyle w:val="FirstParagraph"/>
      </w:pPr>
      <w:r>
        <w:t>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14:paraId="2E9B3DA8" w14:textId="77777777" w:rsidR="003F6AF4" w:rsidRDefault="00000000">
      <w:pPr>
        <w:pStyle w:val="BodyText"/>
      </w:pPr>
      <w:r>
        <w:t>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149922D6" w14:textId="77777777" w:rsidR="003F6AF4" w:rsidRDefault="00000000">
      <w:pPr>
        <w:pStyle w:val="Heading2"/>
      </w:pPr>
      <w:bookmarkStart w:id="17" w:name="results-1"/>
      <w:bookmarkEnd w:id="16"/>
      <w:r>
        <w:t>Results</w:t>
      </w:r>
    </w:p>
    <w:p w14:paraId="51DA262F" w14:textId="77777777" w:rsidR="003F6AF4" w:rsidRDefault="00000000">
      <w:pPr>
        <w:pStyle w:val="FirstParagraph"/>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Equation 2</w:t>
        </w:r>
      </w:hyperlink>
      <w:r>
        <w:t xml:space="preserve">). The model was fit using the </w:t>
      </w:r>
      <w:r>
        <w:lastRenderedPageBreak/>
        <w:t>brms package in R, with weakly informative priors for the regression coefficients and cutpoints (</w:t>
      </w:r>
      <w:hyperlink w:anchor="ref-kruschkeDoingBayesianData2014">
        <w:r>
          <w:rPr>
            <w:rStyle w:val="Hyperlink"/>
          </w:rPr>
          <w:t>Kruschke, 2014</w:t>
        </w:r>
      </w:hyperlink>
      <w:r>
        <w:t>).</w:t>
      </w:r>
    </w:p>
    <w:p w14:paraId="38F7CCFD" w14:textId="77777777" w:rsidR="003F6AF4" w:rsidRDefault="00000000">
      <w:pPr>
        <w:pStyle w:val="BodyText"/>
      </w:pPr>
      <w:bookmarkStart w:id="18" w:name="eq-e2"/>
      <m:oMathPara>
        <m:oMathParaPr>
          <m:jc m:val="center"/>
        </m:oMathParaPr>
        <m:oMath>
          <m:r>
            <m:rPr>
              <m:nor/>
            </m:rPr>
            <m:t>Accuracy</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r>
            <m:rPr>
              <m:nor/>
            </m:rPr>
            <m:t>Goal</m:t>
          </m:r>
          <m:r>
            <m:rPr>
              <m:sty m:val="p"/>
            </m:rPr>
            <w:rPr>
              <w:rFonts w:ascii="Cambria Math" w:hAnsi="Cambria Math"/>
            </w:rPr>
            <m:t>+</m:t>
          </m:r>
          <m:r>
            <m:rPr>
              <m:nor/>
            </m:rPr>
            <m:t>Rounded</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r>
            <w:rPr>
              <w:rFonts w:ascii="Cambria Math" w:hAnsi="Cambria Math"/>
            </w:rPr>
            <m:t>  </m:t>
          </m:r>
          <m:d>
            <m:dPr>
              <m:ctrlPr>
                <w:rPr>
                  <w:rFonts w:ascii="Cambria Math" w:hAnsi="Cambria Math"/>
                </w:rPr>
              </m:ctrlPr>
            </m:dPr>
            <m:e>
              <m:r>
                <w:rPr>
                  <w:rFonts w:ascii="Cambria Math" w:hAnsi="Cambria Math"/>
                </w:rPr>
                <m:t>2</m:t>
              </m:r>
            </m:e>
          </m:d>
        </m:oMath>
      </m:oMathPara>
      <w:bookmarkEnd w:id="18"/>
    </w:p>
    <w:p w14:paraId="157FDFAD" w14:textId="4F75F851" w:rsidR="003F6AF4" w:rsidRDefault="00000000">
      <w:pPr>
        <w:pStyle w:val="FirstParagraph"/>
      </w:pPr>
      <w:r>
        <w:t xml:space="preserve">See </w:t>
      </w:r>
      <w:hyperlink w:anchor="tbl-s2-agg">
        <w:r>
          <w:rPr>
            <w:rStyle w:val="Hyperlink"/>
          </w:rPr>
          <w:t>Table 5</w:t>
        </w:r>
      </w:hyperlink>
      <w:r>
        <w:t xml:space="preserve"> for a breakdown of the descriptive statistics. 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 (</w:t>
      </w:r>
      <w:r w:rsidR="003F00DE">
        <w:t xml:space="preserve">see </w:t>
      </w:r>
      <w:hyperlink w:anchor="tbl-s2-ord">
        <w:r>
          <w:rPr>
            <w:rStyle w:val="Hyperlink"/>
          </w:rPr>
          <w:t>Table 7</w:t>
        </w:r>
      </w:hyperlink>
      <w:r>
        <w:t>).</w:t>
      </w:r>
    </w:p>
    <w:p w14:paraId="65B4BA8D" w14:textId="77777777" w:rsidR="003F6AF4" w:rsidRDefault="00000000">
      <w:pPr>
        <w:pStyle w:val="BodyText"/>
      </w:pPr>
      <w:r>
        <w:t>We also found that using rounded numbers modestly improved accuracy (Estimate = -0.53, 95% CI: [-0.96, -0.11]), with participants having 0.59 times the odds of falling into a worse accuracy category when working with rounded values. The more challenging 15% reduction goal 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14:paraId="616590BB" w14:textId="77777777" w:rsidR="003F6AF4" w:rsidRDefault="00000000">
      <w:pPr>
        <w:pStyle w:val="BodyText"/>
      </w:pPr>
      <w:hyperlink w:anchor="fig-s2-ame">
        <w:r>
          <w:rPr>
            <w:rStyle w:val="Hyperlink"/>
          </w:rPr>
          <w:t>Figure 6</w:t>
        </w:r>
      </w:hyperlink>
      <w:r>
        <w:t xml:space="preserve"> shows the marginal effects of Reference Class on each level of accuracy_level. These results reveal that switching from kWh to Percentage decreased the probability of an </w:t>
      </w:r>
      <w:r>
        <w:lastRenderedPageBreak/>
        <w:t>“Exact match” by an average of 7.0 percentage points, 95% CI: [-19.2, 4.2] and increased the probability of falling into the “Over 5% error” category by 6.9 percentage points, 95% CI: [-4.5, 18.6]. Similarly, switching from kWh to USD decreased the probability of an “Exact match” by 15 percentage points, 95% CI: [-26.7, -3.3], and increased the probability of “Over 5% error” by 16.5 percentage points, 95% CI: [3.7, 29.3].</w:t>
      </w:r>
    </w:p>
    <w:p w14:paraId="106E4A27" w14:textId="77777777" w:rsidR="003F6AF4"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Figure 8</w:t>
        </w:r>
      </w:hyperlink>
      <w:r>
        <w:t>).</w:t>
      </w:r>
    </w:p>
    <w:p w14:paraId="721F6313" w14:textId="77777777" w:rsidR="003F6AF4" w:rsidRDefault="00000000">
      <w:pPr>
        <w:pStyle w:val="Heading2"/>
      </w:pPr>
      <w:bookmarkStart w:id="19" w:name="experiment-2-discussion"/>
      <w:bookmarkEnd w:id="17"/>
      <w:r>
        <w:t>Experiment 2: Discussion</w:t>
      </w:r>
    </w:p>
    <w:p w14:paraId="3928D6D9" w14:textId="77777777" w:rsidR="003F6AF4" w:rsidRDefault="00000000">
      <w:pPr>
        <w:pStyle w:val="FirstParagraph"/>
      </w:pPr>
      <w:r>
        <w:t>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6EC721EA" w14:textId="77777777" w:rsidR="003F6AF4"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686CFB1A" w14:textId="77777777" w:rsidR="003F6AF4" w:rsidRDefault="00000000">
      <w:pPr>
        <w:pStyle w:val="BodyText"/>
      </w:pPr>
      <w:r>
        <w:lastRenderedPageBreak/>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confidently establish its existence. Furthermore, the magnitude of the effect size of this manipulation should be examined to better understand the practical implications of goal difficulty for energy conservation.</w:t>
      </w:r>
    </w:p>
    <w:p w14:paraId="37EA0045" w14:textId="77777777" w:rsidR="003F6AF4"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27191928" w14:textId="77777777" w:rsidR="003F6AF4" w:rsidRDefault="00000000">
      <w:pPr>
        <w:pStyle w:val="Heading1"/>
      </w:pPr>
      <w:bookmarkStart w:id="20" w:name="general-discussion"/>
      <w:bookmarkEnd w:id="14"/>
      <w:bookmarkEnd w:id="19"/>
      <w:r>
        <w:t>General Discussion</w:t>
      </w:r>
    </w:p>
    <w:p w14:paraId="08E6CEF4" w14:textId="77777777" w:rsidR="003F6AF4"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w:t>
      </w:r>
      <w:hyperlink w:anchor="X48ee7d52bd4db5ee8bad5220fee5b9ac66ecac9">
        <w:r>
          <w:rPr>
            <w:rStyle w:val="Hyperlink"/>
          </w:rPr>
          <w:t>Gigerenzer &amp; Edwards, 2003</w:t>
        </w:r>
      </w:hyperlink>
      <w:r>
        <w:t xml:space="preserve">; </w:t>
      </w:r>
      <w:hyperlink w:anchor="ref-reimerNumericCommunicationRisk2015">
        <w:r>
          <w:rPr>
            <w:rStyle w:val="Hyperlink"/>
          </w:rPr>
          <w:t>Reimer et al., 2015</w:t>
        </w:r>
      </w:hyperlink>
      <w:r>
        <w:t>).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 (</w:t>
      </w:r>
      <w:hyperlink w:anchor="ref-attariPublicPerceptionsEnergy2010">
        <w:r>
          <w:rPr>
            <w:rStyle w:val="Hyperlink"/>
          </w:rPr>
          <w:t>Attari et al., 2010</w:t>
        </w:r>
      </w:hyperlink>
      <w:r>
        <w:t xml:space="preserve">; </w:t>
      </w:r>
      <w:hyperlink w:anchor="X583a2aeb73133489b1bca7034fc4c88220fccdb">
        <w:r>
          <w:rPr>
            <w:rStyle w:val="Hyperlink"/>
          </w:rPr>
          <w:t>Canfield et al., 2017</w:t>
        </w:r>
      </w:hyperlink>
      <w:r>
        <w:t>)</w:t>
      </w:r>
    </w:p>
    <w:p w14:paraId="199E1BB1" w14:textId="77777777" w:rsidR="003F6AF4" w:rsidRDefault="00000000">
      <w:pPr>
        <w:pStyle w:val="BodyText"/>
      </w:pPr>
      <w:r>
        <w:lastRenderedPageBreak/>
        <w:t>While prior research has suggested that consumers sometimes prefer monetary formats (</w:t>
      </w:r>
      <w:hyperlink w:anchor="X227e3d6b85043161ccff60bb73ea027362781dc">
        <w:r>
          <w:rPr>
            <w:rStyle w:val="Hyperlink"/>
          </w:rPr>
          <w:t>Karjalainen, 2011</w:t>
        </w:r>
      </w:hyperlink>
      <w:r>
        <w:t xml:space="preserve">; </w:t>
      </w:r>
      <w:hyperlink w:anchor="X6b928f3b3d6d58eb00a6f05f7cc31476714d0fc">
        <w:r>
          <w:rPr>
            <w:rStyle w:val="Hyperlink"/>
          </w:rPr>
          <w:t>Nemati &amp; Penn, 2020</w:t>
        </w:r>
      </w:hyperlink>
      <w:r>
        <w:t>) or that monetary framing can improve appliance choices (</w:t>
      </w:r>
      <w:hyperlink w:anchor="ref-blaschBoundedlyRationalConsumers2019">
        <w:r>
          <w:rPr>
            <w:rStyle w:val="Hyperlink"/>
          </w:rPr>
          <w:t>Blasch et al., 2019</w:t>
        </w:r>
      </w:hyperlink>
      <w:r>
        <w:t>),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w:t>
      </w:r>
      <w:hyperlink w:anchor="ref-fisher100BiasEffects2022">
        <w:r>
          <w:rPr>
            <w:rStyle w:val="Hyperlink"/>
          </w:rPr>
          <w:t>Fisher &amp; Mormann, 2022</w:t>
        </w:r>
      </w:hyperlink>
      <w:r>
        <w:t>). Research on consumer heuristics in energy judgments (</w:t>
      </w:r>
      <w:hyperlink w:anchor="Xb1100beca2d010ddfe6cd55e590057ba1b04648">
        <w:r>
          <w:rPr>
            <w:rStyle w:val="Hyperlink"/>
          </w:rPr>
          <w:t>Van Den Broek &amp; Walker, 2019</w:t>
        </w:r>
      </w:hyperlink>
      <w:r>
        <w:t>) suggests that individuals gravitate toward concrete cues, and the directness of absolute units may align well with these heuristics. Similarly, the concept of “default units” (</w:t>
      </w:r>
      <w:hyperlink w:anchor="ref-herberzKiloWhatDefault2020">
        <w:r>
          <w:rPr>
            <w:rStyle w:val="Hyperlink"/>
          </w:rPr>
          <w:t>Herberz et al., 2020</w:t>
        </w:r>
      </w:hyperlink>
      <w:r>
        <w:t>) 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p w14:paraId="61991FDA" w14:textId="77777777" w:rsidR="003F6AF4" w:rsidRDefault="00000000">
      <w:pPr>
        <w:pStyle w:val="Heading2"/>
      </w:pPr>
      <w:bookmarkStart w:id="21" w:name="limitations-and-future-directions"/>
      <w:r>
        <w:t>Limitations and Future Directions</w:t>
      </w:r>
    </w:p>
    <w:p w14:paraId="4A67E422" w14:textId="77777777" w:rsidR="003F6AF4" w:rsidRDefault="00000000">
      <w:pPr>
        <w:pStyle w:val="FirstParagraph"/>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w:t>
      </w:r>
      <w:hyperlink w:anchor="X5af67f995b39de65510a4284ea565163ed449fb">
        <w:r>
          <w:rPr>
            <w:rStyle w:val="Hyperlink"/>
          </w:rPr>
          <w:t>Fischer, 2008</w:t>
        </w:r>
      </w:hyperlink>
      <w:r>
        <w:t xml:space="preserve">). In addition, investigating whether certain </w:t>
      </w:r>
      <w:r>
        <w:lastRenderedPageBreak/>
        <w:t>household types or income levels respond differently to monetary versus absolute energy frames could yield further practical guidance for targeting energy-reduction interventions. Finally, incorporating more explicit or automated prompts for appliance-specific tips (</w:t>
      </w:r>
      <w:hyperlink w:anchor="Xd44db9aff911e722b730a7e513225ab165d3721">
        <w:r>
          <w:rPr>
            <w:rStyle w:val="Hyperlink"/>
          </w:rPr>
          <w:t>Tonke, 2024</w:t>
        </w:r>
      </w:hyperlink>
      <w:r>
        <w:t>)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0EA7C273" w14:textId="77777777" w:rsidR="003F6AF4" w:rsidRDefault="00000000">
      <w:r>
        <w:br w:type="page"/>
      </w:r>
    </w:p>
    <w:p w14:paraId="54DB5DF0" w14:textId="77777777" w:rsidR="003F6AF4" w:rsidRDefault="00000000">
      <w:pPr>
        <w:pStyle w:val="Heading1"/>
      </w:pPr>
      <w:bookmarkStart w:id="22" w:name="references"/>
      <w:bookmarkEnd w:id="20"/>
      <w:bookmarkEnd w:id="21"/>
      <w:r>
        <w:lastRenderedPageBreak/>
        <w:t>References</w:t>
      </w:r>
    </w:p>
    <w:p w14:paraId="7EAFA7CF" w14:textId="77777777" w:rsidR="003F6AF4" w:rsidRDefault="00000000">
      <w:pPr>
        <w:pStyle w:val="Bibliography"/>
      </w:pPr>
      <w:bookmarkStart w:id="23" w:name="X017f3aa19ce35c5f02a682eb2019dab7020f49c"/>
      <w:bookmarkStart w:id="24"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7">
        <w:r>
          <w:rPr>
            <w:rStyle w:val="Hyperlink"/>
          </w:rPr>
          <w:t>https://doi.org/10.1016/j.jenvp.2005.08.002</w:t>
        </w:r>
      </w:hyperlink>
    </w:p>
    <w:p w14:paraId="33C5B86B" w14:textId="77777777" w:rsidR="003F6AF4" w:rsidRDefault="00000000">
      <w:pPr>
        <w:pStyle w:val="Bibliography"/>
      </w:pPr>
      <w:bookmarkStart w:id="25" w:name="Xc77c1353231159de2b8cfbcbe6900637f731154"/>
      <w:bookmarkEnd w:id="23"/>
      <w:r>
        <w:t xml:space="preserve">Abrahamse, W., Steg, L., Vlek, C., &amp; Rothengatter, T. (2007). The effect of tailored information, goal setting, and tailored feedback on household energy use, energy-related behaviors, and behavioral antecedents. </w:t>
      </w:r>
      <w:r>
        <w:rPr>
          <w:i/>
          <w:iCs/>
        </w:rPr>
        <w:t>Journal of Environmental Psychology</w:t>
      </w:r>
      <w:r>
        <w:t xml:space="preserve">, </w:t>
      </w:r>
      <w:r>
        <w:rPr>
          <w:i/>
          <w:iCs/>
        </w:rPr>
        <w:t>27</w:t>
      </w:r>
      <w:r>
        <w:t xml:space="preserve">(4), 265–276. </w:t>
      </w:r>
      <w:hyperlink r:id="rId8">
        <w:r>
          <w:rPr>
            <w:rStyle w:val="Hyperlink"/>
          </w:rPr>
          <w:t>https://doi.org/10.1016/j.jenvp.2007.08.002</w:t>
        </w:r>
      </w:hyperlink>
    </w:p>
    <w:p w14:paraId="4340C341" w14:textId="77777777" w:rsidR="003F6AF4" w:rsidRDefault="00000000">
      <w:pPr>
        <w:pStyle w:val="Bibliography"/>
      </w:pPr>
      <w:bookmarkStart w:id="26" w:name="ref-attariPublicPerceptionsEnergy2010"/>
      <w:bookmarkEnd w:id="25"/>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9">
        <w:r>
          <w:rPr>
            <w:rStyle w:val="Hyperlink"/>
          </w:rPr>
          <w:t>https://doi.org/10.1073/pnas.1001509107</w:t>
        </w:r>
      </w:hyperlink>
    </w:p>
    <w:p w14:paraId="268F5B0C" w14:textId="77777777" w:rsidR="003F6AF4" w:rsidRDefault="00000000">
      <w:pPr>
        <w:pStyle w:val="Bibliography"/>
      </w:pPr>
      <w:bookmarkStart w:id="27" w:name="ref-bednarRecognitionResponseEnergy2020"/>
      <w:bookmarkEnd w:id="26"/>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10">
        <w:r>
          <w:rPr>
            <w:rStyle w:val="Hyperlink"/>
          </w:rPr>
          <w:t>https://doi.org/10.1038/s41560-020-0582-0</w:t>
        </w:r>
      </w:hyperlink>
    </w:p>
    <w:p w14:paraId="64A4AB4E" w14:textId="77777777" w:rsidR="003F6AF4" w:rsidRDefault="00000000">
      <w:pPr>
        <w:pStyle w:val="Bibliography"/>
      </w:pPr>
      <w:bookmarkStart w:id="28" w:name="ref-blaschBoundedlyRationalConsumers2019"/>
      <w:bookmarkEnd w:id="27"/>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11">
        <w:r>
          <w:rPr>
            <w:rStyle w:val="Hyperlink"/>
          </w:rPr>
          <w:t>https://doi.org/10.1016/j.reseneeco.2017.06.001</w:t>
        </w:r>
      </w:hyperlink>
    </w:p>
    <w:p w14:paraId="1C4CC846" w14:textId="77777777" w:rsidR="003F6AF4" w:rsidRDefault="00000000">
      <w:pPr>
        <w:pStyle w:val="Bibliography"/>
      </w:pPr>
      <w:bookmarkStart w:id="29" w:name="ref-burknerBrmsPackageBayesian2017"/>
      <w:bookmarkEnd w:id="28"/>
      <w:r>
        <w:t xml:space="preserve">Bürkner, P.-C. (2017). Brms: An R Package for Bayesian Multilevel Models Using Stan. </w:t>
      </w:r>
      <w:r>
        <w:rPr>
          <w:i/>
          <w:iCs/>
        </w:rPr>
        <w:t>Journal of Statistical Software</w:t>
      </w:r>
      <w:r>
        <w:t xml:space="preserve">, </w:t>
      </w:r>
      <w:r>
        <w:rPr>
          <w:i/>
          <w:iCs/>
        </w:rPr>
        <w:t>80</w:t>
      </w:r>
      <w:r>
        <w:t xml:space="preserve">, 1–28. </w:t>
      </w:r>
      <w:hyperlink r:id="rId12">
        <w:r>
          <w:rPr>
            <w:rStyle w:val="Hyperlink"/>
          </w:rPr>
          <w:t>https://doi.org/10.18637/jss.v080.i01</w:t>
        </w:r>
      </w:hyperlink>
    </w:p>
    <w:p w14:paraId="48ABDF59" w14:textId="77777777" w:rsidR="003F6AF4" w:rsidRDefault="00000000">
      <w:pPr>
        <w:pStyle w:val="Bibliography"/>
      </w:pPr>
      <w:bookmarkStart w:id="30" w:name="ref-burknerOrdinalRegressionModels2019"/>
      <w:bookmarkEnd w:id="29"/>
      <w:r>
        <w:t xml:space="preserve">Bürkner, P.-C., &amp; Vuorre, M. (2019). Ordinal Regression Models in Psychology: A Tutorial. </w:t>
      </w:r>
      <w:r>
        <w:rPr>
          <w:i/>
          <w:iCs/>
        </w:rPr>
        <w:t>Advances in Methods and Practices in Psychological Science</w:t>
      </w:r>
      <w:r>
        <w:t xml:space="preserve">, </w:t>
      </w:r>
      <w:r>
        <w:rPr>
          <w:i/>
          <w:iCs/>
        </w:rPr>
        <w:t>2</w:t>
      </w:r>
      <w:r>
        <w:t xml:space="preserve">(1), 77–101. </w:t>
      </w:r>
      <w:hyperlink r:id="rId13">
        <w:r>
          <w:rPr>
            <w:rStyle w:val="Hyperlink"/>
          </w:rPr>
          <w:t>https://doi.org/10.1177/2515245918823199</w:t>
        </w:r>
      </w:hyperlink>
    </w:p>
    <w:p w14:paraId="04A442D6" w14:textId="77777777" w:rsidR="003F6AF4" w:rsidRDefault="00000000">
      <w:pPr>
        <w:pStyle w:val="Bibliography"/>
      </w:pPr>
      <w:bookmarkStart w:id="31" w:name="X583a2aeb73133489b1bca7034fc4c88220fccdb"/>
      <w:bookmarkEnd w:id="30"/>
      <w:r>
        <w:lastRenderedPageBreak/>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14">
        <w:r>
          <w:rPr>
            <w:rStyle w:val="Hyperlink"/>
          </w:rPr>
          <w:t>https://doi.org/10.1080/13669877.2015.1121909</w:t>
        </w:r>
      </w:hyperlink>
    </w:p>
    <w:p w14:paraId="2CA4B5A1" w14:textId="77777777" w:rsidR="003F6AF4" w:rsidRDefault="00000000">
      <w:pPr>
        <w:pStyle w:val="Bibliography"/>
      </w:pPr>
      <w:bookmarkStart w:id="32" w:name="ref-dewatersEnergyLiteracySecondary2011"/>
      <w:bookmarkEnd w:id="31"/>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15">
        <w:r>
          <w:rPr>
            <w:rStyle w:val="Hyperlink"/>
          </w:rPr>
          <w:t>https://doi.org/10.1016/j.enpol.2010.12.049</w:t>
        </w:r>
      </w:hyperlink>
    </w:p>
    <w:p w14:paraId="45D8A992" w14:textId="77777777" w:rsidR="003F6AF4" w:rsidRDefault="00000000">
      <w:pPr>
        <w:pStyle w:val="Bibliography"/>
      </w:pPr>
      <w:bookmarkStart w:id="33" w:name="ref-farghaliStrategiesEnergyContext2023"/>
      <w:bookmarkEnd w:id="32"/>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16">
        <w:r>
          <w:rPr>
            <w:rStyle w:val="Hyperlink"/>
          </w:rPr>
          <w:t>https://doi.org/10.1007/s10311-023-01591-5</w:t>
        </w:r>
      </w:hyperlink>
    </w:p>
    <w:p w14:paraId="23EE15D7" w14:textId="77777777" w:rsidR="003F6AF4" w:rsidRDefault="00000000">
      <w:pPr>
        <w:pStyle w:val="Bibliography"/>
      </w:pPr>
      <w:bookmarkStart w:id="34" w:name="X5af67f995b39de65510a4284ea565163ed449fb"/>
      <w:bookmarkEnd w:id="33"/>
      <w:r>
        <w:t xml:space="preserve">Fischer, C. (2008). Feedback on household electricity consumption: A tool for saving energy? </w:t>
      </w:r>
      <w:r>
        <w:rPr>
          <w:i/>
          <w:iCs/>
        </w:rPr>
        <w:t>Energy Efficiency</w:t>
      </w:r>
      <w:r>
        <w:t xml:space="preserve">, </w:t>
      </w:r>
      <w:r>
        <w:rPr>
          <w:i/>
          <w:iCs/>
        </w:rPr>
        <w:t>1</w:t>
      </w:r>
      <w:r>
        <w:t xml:space="preserve">(1), 79–104. </w:t>
      </w:r>
      <w:hyperlink r:id="rId17">
        <w:r>
          <w:rPr>
            <w:rStyle w:val="Hyperlink"/>
          </w:rPr>
          <w:t>https://doi.org/10.1007/s12053-008-9009-7</w:t>
        </w:r>
      </w:hyperlink>
    </w:p>
    <w:p w14:paraId="7FC89DBC" w14:textId="77777777" w:rsidR="003F6AF4" w:rsidRDefault="00000000">
      <w:pPr>
        <w:pStyle w:val="Bibliography"/>
      </w:pPr>
      <w:bookmarkStart w:id="35" w:name="ref-fisher100BiasEffects2022"/>
      <w:bookmarkEnd w:id="34"/>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18">
        <w:r>
          <w:rPr>
            <w:rStyle w:val="Hyperlink"/>
          </w:rPr>
          <w:t>https://doi.org/10.1093/jcr/ucac006</w:t>
        </w:r>
      </w:hyperlink>
    </w:p>
    <w:p w14:paraId="4E58442F" w14:textId="77777777" w:rsidR="003F6AF4" w:rsidRDefault="00000000">
      <w:pPr>
        <w:pStyle w:val="Bibliography"/>
      </w:pPr>
      <w:bookmarkStart w:id="36" w:name="X48ee7d52bd4db5ee8bad5220fee5b9ac66ecac9"/>
      <w:bookmarkEnd w:id="35"/>
      <w:r>
        <w:t xml:space="preserve">Gigerenzer, G., &amp; Edwards, A. (2003). Simple tools for understanding risks: From innumeracy to insight. </w:t>
      </w:r>
      <w:r>
        <w:rPr>
          <w:i/>
          <w:iCs/>
        </w:rPr>
        <w:t>BMJ</w:t>
      </w:r>
      <w:r>
        <w:t xml:space="preserve">, </w:t>
      </w:r>
      <w:r>
        <w:rPr>
          <w:i/>
          <w:iCs/>
        </w:rPr>
        <w:t>327</w:t>
      </w:r>
      <w:r>
        <w:t xml:space="preserve">(7417), 741–744. </w:t>
      </w:r>
      <w:hyperlink r:id="rId19">
        <w:r>
          <w:rPr>
            <w:rStyle w:val="Hyperlink"/>
          </w:rPr>
          <w:t>https://doi.org/10.1136/bmj.327.7417.741</w:t>
        </w:r>
      </w:hyperlink>
    </w:p>
    <w:p w14:paraId="2B3CA7E7" w14:textId="77777777" w:rsidR="003F6AF4" w:rsidRDefault="00000000">
      <w:pPr>
        <w:pStyle w:val="Bibliography"/>
      </w:pPr>
      <w:bookmarkStart w:id="37" w:name="ref-gillConsumerMatchingCosts2022"/>
      <w:bookmarkEnd w:id="36"/>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20">
        <w:r>
          <w:rPr>
            <w:rStyle w:val="Hyperlink"/>
          </w:rPr>
          <w:t>https://doi.org/10.1002/cb.2051</w:t>
        </w:r>
      </w:hyperlink>
    </w:p>
    <w:p w14:paraId="510200D0" w14:textId="77777777" w:rsidR="003F6AF4" w:rsidRDefault="00000000">
      <w:pPr>
        <w:pStyle w:val="Bibliography"/>
      </w:pPr>
      <w:bookmarkStart w:id="38" w:name="ref-herberzKiloWhatDefault2020"/>
      <w:bookmarkEnd w:id="37"/>
      <w:r>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21">
        <w:r>
          <w:rPr>
            <w:rStyle w:val="Hyperlink"/>
          </w:rPr>
          <w:t>https://doi.org/10.1017/S1930297500008172</w:t>
        </w:r>
      </w:hyperlink>
    </w:p>
    <w:p w14:paraId="54E618BB" w14:textId="77777777" w:rsidR="003F6AF4" w:rsidRDefault="00000000">
      <w:pPr>
        <w:pStyle w:val="Bibliography"/>
      </w:pPr>
      <w:bookmarkStart w:id="39" w:name="X227e3d6b85043161ccff60bb73ea027362781dc"/>
      <w:bookmarkEnd w:id="38"/>
      <w:r>
        <w:lastRenderedPageBreak/>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22">
        <w:r>
          <w:rPr>
            <w:rStyle w:val="Hyperlink"/>
          </w:rPr>
          <w:t>https://doi.org/10.1016/j.enbuild.2010.10.010</w:t>
        </w:r>
      </w:hyperlink>
    </w:p>
    <w:p w14:paraId="1A4FB0BA" w14:textId="77777777" w:rsidR="003F6AF4" w:rsidRDefault="00000000">
      <w:pPr>
        <w:pStyle w:val="Bibliography"/>
      </w:pPr>
      <w:bookmarkStart w:id="40" w:name="ref-kruschkeDoingBayesianData2014"/>
      <w:bookmarkEnd w:id="39"/>
      <w:r>
        <w:t xml:space="preserve">Kruschke, J. K. (2014). </w:t>
      </w:r>
      <w:r>
        <w:rPr>
          <w:i/>
          <w:iCs/>
        </w:rPr>
        <w:t>Doing Bayesian data analysis: A tutorial with R, JAGS, and Stan</w:t>
      </w:r>
      <w:r>
        <w:t xml:space="preserve"> (2nd ed.). Academic Press. </w:t>
      </w:r>
      <w:hyperlink r:id="rId23">
        <w:r>
          <w:rPr>
            <w:rStyle w:val="Hyperlink"/>
          </w:rPr>
          <w:t>https://doi.org/10.1016/B978-0-12-405888-0.09999-2</w:t>
        </w:r>
      </w:hyperlink>
    </w:p>
    <w:p w14:paraId="7E3B8D88" w14:textId="77777777" w:rsidR="003F6AF4" w:rsidRDefault="00000000">
      <w:pPr>
        <w:pStyle w:val="Bibliography"/>
      </w:pPr>
      <w:bookmarkStart w:id="41" w:name="X3b6a1d5d45806e48bd092325245544cfc853796"/>
      <w:bookmarkEnd w:id="40"/>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24">
        <w:r>
          <w:rPr>
            <w:rStyle w:val="Hyperlink"/>
          </w:rPr>
          <w:t>https://doi.org/10.1038/s41560-020-00763-9</w:t>
        </w:r>
      </w:hyperlink>
    </w:p>
    <w:p w14:paraId="4DB1A2ED" w14:textId="77777777" w:rsidR="003F6AF4" w:rsidRDefault="00000000">
      <w:pPr>
        <w:pStyle w:val="Bibliography"/>
      </w:pPr>
      <w:bookmarkStart w:id="42" w:name="X6b928f3b3d6d58eb00a6f05f7cc31476714d0fc"/>
      <w:bookmarkEnd w:id="41"/>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25">
        <w:r>
          <w:rPr>
            <w:rStyle w:val="Hyperlink"/>
          </w:rPr>
          <w:t>https://doi.org/10.1016/j.reseneeco.2020.101201</w:t>
        </w:r>
      </w:hyperlink>
    </w:p>
    <w:p w14:paraId="32C435FD" w14:textId="77777777" w:rsidR="003F6AF4" w:rsidRDefault="00000000">
      <w:pPr>
        <w:pStyle w:val="Bibliography"/>
      </w:pPr>
      <w:bookmarkStart w:id="43" w:name="ref-reimerNumericCommunicationRisk2015"/>
      <w:bookmarkEnd w:id="42"/>
      <w:r>
        <w:t xml:space="preserve">Reimer, T., Jones, C., &amp; Skubisz, C. (2015). Numeric Communication of Risk. In </w:t>
      </w:r>
      <w:r>
        <w:rPr>
          <w:i/>
          <w:iCs/>
        </w:rPr>
        <w:t>The SAGE handbook of risk communication</w:t>
      </w:r>
      <w:r>
        <w:t xml:space="preserve"> (pp. 167–179).</w:t>
      </w:r>
    </w:p>
    <w:p w14:paraId="2C580739" w14:textId="77777777" w:rsidR="003F6AF4" w:rsidRDefault="00000000">
      <w:pPr>
        <w:pStyle w:val="Bibliography"/>
      </w:pPr>
      <w:bookmarkStart w:id="44" w:name="X7b3c79bfb7654af1f4b03dba64dad1a6765c972"/>
      <w:bookmarkEnd w:id="43"/>
      <w:r>
        <w:t xml:space="preserve">Team, R. C. (2020). </w:t>
      </w:r>
      <w:r>
        <w:rPr>
          <w:i/>
          <w:iCs/>
        </w:rPr>
        <w:t>R: A Language and Environment for Statistical Computing</w:t>
      </w:r>
      <w:r>
        <w:t>. R: A Language and Environment for Statistical Computing.</w:t>
      </w:r>
    </w:p>
    <w:p w14:paraId="4819E727" w14:textId="77777777" w:rsidR="003F6AF4" w:rsidRDefault="00000000">
      <w:pPr>
        <w:pStyle w:val="Bibliography"/>
      </w:pPr>
      <w:bookmarkStart w:id="45" w:name="Xd44db9aff911e722b730a7e513225ab165d3721"/>
      <w:bookmarkEnd w:id="44"/>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26">
        <w:r>
          <w:rPr>
            <w:rStyle w:val="Hyperlink"/>
          </w:rPr>
          <w:t>https://doi.org/10.1016/j.jdeveco.2023.103202</w:t>
        </w:r>
      </w:hyperlink>
    </w:p>
    <w:p w14:paraId="24C5AE05" w14:textId="77777777" w:rsidR="003F6AF4" w:rsidRDefault="00000000">
      <w:pPr>
        <w:pStyle w:val="Bibliography"/>
      </w:pPr>
      <w:bookmarkStart w:id="46" w:name="Xb1100beca2d010ddfe6cd55e590057ba1b04648"/>
      <w:bookmarkEnd w:id="45"/>
      <w:r>
        <w:t xml:space="preserve">Van Den Broek, K. L., &amp; Walker, I. (2019). Heuristics in energy judgement tasks. </w:t>
      </w:r>
      <w:r>
        <w:rPr>
          <w:i/>
          <w:iCs/>
        </w:rPr>
        <w:t>Journal of Environmental Psychology</w:t>
      </w:r>
      <w:r>
        <w:t xml:space="preserve">, </w:t>
      </w:r>
      <w:r>
        <w:rPr>
          <w:i/>
          <w:iCs/>
        </w:rPr>
        <w:t>62</w:t>
      </w:r>
      <w:r>
        <w:t xml:space="preserve">, 95–104. </w:t>
      </w:r>
      <w:hyperlink r:id="rId27">
        <w:r>
          <w:rPr>
            <w:rStyle w:val="Hyperlink"/>
          </w:rPr>
          <w:t>https://doi.org/10.1016/j.jenvp.2019.02.008</w:t>
        </w:r>
      </w:hyperlink>
    </w:p>
    <w:p w14:paraId="4EB1AA0A" w14:textId="77777777" w:rsidR="003F6AF4" w:rsidRDefault="00000000">
      <w:pPr>
        <w:pStyle w:val="Bibliography"/>
      </w:pPr>
      <w:bookmarkStart w:id="47" w:name="ref-weberWhyCanOnly2018"/>
      <w:bookmarkEnd w:id="46"/>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28">
        <w:r>
          <w:rPr>
            <w:rStyle w:val="Hyperlink"/>
          </w:rPr>
          <w:t>https://doi.org/10.3389/fpsyg.2018.01833</w:t>
        </w:r>
      </w:hyperlink>
    </w:p>
    <w:p w14:paraId="10D532A1" w14:textId="77777777" w:rsidR="003F6AF4" w:rsidRDefault="00000000">
      <w:pPr>
        <w:pStyle w:val="Bibliography"/>
      </w:pPr>
      <w:bookmarkStart w:id="48" w:name="ref-wickhamWelcomeTidyverse2019"/>
      <w:bookmarkEnd w:id="47"/>
      <w:r>
        <w:lastRenderedPageBreak/>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14:paraId="5E03FAAA" w14:textId="77777777" w:rsidR="003F6AF4" w:rsidRDefault="00000000">
      <w:pPr>
        <w:pStyle w:val="FigureTitle"/>
      </w:pPr>
      <w:bookmarkStart w:id="49" w:name="tbl-s1-agg"/>
      <w:bookmarkEnd w:id="24"/>
      <w:bookmarkEnd w:id="48"/>
      <w:r>
        <w:t>Table 1</w:t>
      </w:r>
    </w:p>
    <w:p w14:paraId="59B44417" w14:textId="77777777" w:rsidR="003F6AF4" w:rsidRDefault="00000000">
      <w:pPr>
        <w:pStyle w:val="Caption"/>
      </w:pPr>
      <w:r>
        <w:t>Study 1: Summary of planning accuracy by reference class</w:t>
      </w:r>
    </w:p>
    <w:tbl>
      <w:tblPr>
        <w:tblStyle w:val="Table"/>
        <w:tblW w:w="5000" w:type="pct"/>
        <w:tblLayout w:type="fixed"/>
        <w:tblLook w:val="0020" w:firstRow="1" w:lastRow="0" w:firstColumn="0" w:lastColumn="0" w:noHBand="0" w:noVBand="0"/>
      </w:tblPr>
      <w:tblGrid>
        <w:gridCol w:w="1610"/>
        <w:gridCol w:w="460"/>
        <w:gridCol w:w="1854"/>
        <w:gridCol w:w="2013"/>
        <w:gridCol w:w="1510"/>
        <w:gridCol w:w="1913"/>
      </w:tblGrid>
      <w:tr w:rsidR="003F6AF4" w14:paraId="70BD65A8" w14:textId="77777777" w:rsidTr="003F00DE">
        <w:trPr>
          <w:cnfStyle w:val="100000000000" w:firstRow="1" w:lastRow="0" w:firstColumn="0" w:lastColumn="0" w:oddVBand="0" w:evenVBand="0" w:oddHBand="0" w:evenHBand="0" w:firstRowFirstColumn="0" w:firstRowLastColumn="0" w:lastRowFirstColumn="0" w:lastRowLastColumn="0"/>
          <w:tblHeader/>
        </w:trPr>
        <w:tc>
          <w:tcPr>
            <w:tcW w:w="1610" w:type="dxa"/>
          </w:tcPr>
          <w:p w14:paraId="73A51B9E" w14:textId="77777777" w:rsidR="003F6AF4" w:rsidRDefault="00000000">
            <w:pPr>
              <w:pStyle w:val="Compact"/>
            </w:pPr>
            <w:r>
              <w:t>Reference Class</w:t>
            </w:r>
          </w:p>
        </w:tc>
        <w:tc>
          <w:tcPr>
            <w:tcW w:w="460" w:type="dxa"/>
          </w:tcPr>
          <w:p w14:paraId="20216081" w14:textId="77777777" w:rsidR="003F6AF4" w:rsidRDefault="00000000">
            <w:pPr>
              <w:pStyle w:val="Compact"/>
            </w:pPr>
            <w:r>
              <w:t>N</w:t>
            </w:r>
          </w:p>
        </w:tc>
        <w:tc>
          <w:tcPr>
            <w:tcW w:w="1854" w:type="dxa"/>
          </w:tcPr>
          <w:p w14:paraId="3B80021D" w14:textId="77777777" w:rsidR="003F6AF4" w:rsidRDefault="00000000">
            <w:pPr>
              <w:pStyle w:val="Compact"/>
            </w:pPr>
            <w:r>
              <w:t>Exact Match Rate(%)</w:t>
            </w:r>
          </w:p>
        </w:tc>
        <w:tc>
          <w:tcPr>
            <w:tcW w:w="2013" w:type="dxa"/>
          </w:tcPr>
          <w:p w14:paraId="38DDF6CA" w14:textId="77777777" w:rsidR="003F6AF4" w:rsidRDefault="00000000">
            <w:pPr>
              <w:pStyle w:val="Compact"/>
            </w:pPr>
            <w:r>
              <w:t>Close Match Rate(%)</w:t>
            </w:r>
          </w:p>
        </w:tc>
        <w:tc>
          <w:tcPr>
            <w:tcW w:w="1510" w:type="dxa"/>
          </w:tcPr>
          <w:p w14:paraId="36517E92" w14:textId="77777777" w:rsidR="003F6AF4" w:rsidRDefault="00000000">
            <w:pPr>
              <w:pStyle w:val="Compact"/>
            </w:pPr>
            <w:r>
              <w:t>Abs. Deviation</w:t>
            </w:r>
          </w:p>
        </w:tc>
        <w:tc>
          <w:tcPr>
            <w:tcW w:w="1913" w:type="dxa"/>
          </w:tcPr>
          <w:p w14:paraId="6F71830C" w14:textId="77777777" w:rsidR="003F6AF4" w:rsidRDefault="00000000">
            <w:pPr>
              <w:pStyle w:val="Compact"/>
            </w:pPr>
            <w:r>
              <w:t>Log Abs. Deviation</w:t>
            </w:r>
          </w:p>
        </w:tc>
      </w:tr>
      <w:tr w:rsidR="003F6AF4" w14:paraId="5C64B521" w14:textId="77777777" w:rsidTr="003F00DE">
        <w:tc>
          <w:tcPr>
            <w:tcW w:w="1610" w:type="dxa"/>
          </w:tcPr>
          <w:p w14:paraId="2CF1D971" w14:textId="77777777" w:rsidR="003F6AF4" w:rsidRDefault="00000000">
            <w:pPr>
              <w:pStyle w:val="Compact"/>
            </w:pPr>
            <w:r>
              <w:t>kWh</w:t>
            </w:r>
          </w:p>
        </w:tc>
        <w:tc>
          <w:tcPr>
            <w:tcW w:w="460" w:type="dxa"/>
          </w:tcPr>
          <w:p w14:paraId="552F7DD2" w14:textId="77777777" w:rsidR="003F6AF4" w:rsidRDefault="00000000">
            <w:pPr>
              <w:pStyle w:val="Compact"/>
            </w:pPr>
            <w:r>
              <w:t>76</w:t>
            </w:r>
          </w:p>
        </w:tc>
        <w:tc>
          <w:tcPr>
            <w:tcW w:w="1854" w:type="dxa"/>
          </w:tcPr>
          <w:p w14:paraId="19FABCDB" w14:textId="77777777" w:rsidR="003F6AF4" w:rsidRDefault="00000000">
            <w:pPr>
              <w:pStyle w:val="Compact"/>
            </w:pPr>
            <w:r>
              <w:t>38 (45)</w:t>
            </w:r>
          </w:p>
        </w:tc>
        <w:tc>
          <w:tcPr>
            <w:tcW w:w="2013" w:type="dxa"/>
          </w:tcPr>
          <w:p w14:paraId="432BCFB0" w14:textId="77777777" w:rsidR="003F6AF4" w:rsidRDefault="00000000">
            <w:pPr>
              <w:pStyle w:val="Compact"/>
            </w:pPr>
            <w:r>
              <w:t>54 (45)</w:t>
            </w:r>
          </w:p>
        </w:tc>
        <w:tc>
          <w:tcPr>
            <w:tcW w:w="1510" w:type="dxa"/>
          </w:tcPr>
          <w:p w14:paraId="02CB5A46" w14:textId="77777777" w:rsidR="003F6AF4" w:rsidRDefault="00000000">
            <w:pPr>
              <w:pStyle w:val="Compact"/>
            </w:pPr>
            <w:r>
              <w:t>0.029 (0.117)</w:t>
            </w:r>
          </w:p>
        </w:tc>
        <w:tc>
          <w:tcPr>
            <w:tcW w:w="1913" w:type="dxa"/>
          </w:tcPr>
          <w:p w14:paraId="4E52DFE8" w14:textId="77777777" w:rsidR="003F6AF4" w:rsidRDefault="00000000">
            <w:pPr>
              <w:pStyle w:val="Compact"/>
            </w:pPr>
            <w:r>
              <w:t>-3.69 (2.79)</w:t>
            </w:r>
          </w:p>
        </w:tc>
      </w:tr>
      <w:tr w:rsidR="003F6AF4" w14:paraId="65A5BFD5" w14:textId="77777777" w:rsidTr="003F00DE">
        <w:tc>
          <w:tcPr>
            <w:tcW w:w="1610" w:type="dxa"/>
          </w:tcPr>
          <w:p w14:paraId="1E858869" w14:textId="77777777" w:rsidR="003F6AF4" w:rsidRDefault="00000000">
            <w:pPr>
              <w:pStyle w:val="Compact"/>
            </w:pPr>
            <w:r>
              <w:t>Percentage</w:t>
            </w:r>
          </w:p>
        </w:tc>
        <w:tc>
          <w:tcPr>
            <w:tcW w:w="460" w:type="dxa"/>
          </w:tcPr>
          <w:p w14:paraId="03CEDA52" w14:textId="77777777" w:rsidR="003F6AF4" w:rsidRDefault="00000000">
            <w:pPr>
              <w:pStyle w:val="Compact"/>
            </w:pPr>
            <w:r>
              <w:t>67</w:t>
            </w:r>
          </w:p>
        </w:tc>
        <w:tc>
          <w:tcPr>
            <w:tcW w:w="1854" w:type="dxa"/>
          </w:tcPr>
          <w:p w14:paraId="319A3BC7" w14:textId="77777777" w:rsidR="003F6AF4" w:rsidRDefault="00000000">
            <w:pPr>
              <w:pStyle w:val="Compact"/>
            </w:pPr>
            <w:r>
              <w:t>22 (37)</w:t>
            </w:r>
          </w:p>
        </w:tc>
        <w:tc>
          <w:tcPr>
            <w:tcW w:w="2013" w:type="dxa"/>
          </w:tcPr>
          <w:p w14:paraId="04F41FC8" w14:textId="77777777" w:rsidR="003F6AF4" w:rsidRDefault="00000000">
            <w:pPr>
              <w:pStyle w:val="Compact"/>
            </w:pPr>
            <w:r>
              <w:t>40 (41)</w:t>
            </w:r>
          </w:p>
        </w:tc>
        <w:tc>
          <w:tcPr>
            <w:tcW w:w="1510" w:type="dxa"/>
          </w:tcPr>
          <w:p w14:paraId="2473F102" w14:textId="77777777" w:rsidR="003F6AF4" w:rsidRDefault="00000000">
            <w:pPr>
              <w:pStyle w:val="Compact"/>
            </w:pPr>
            <w:r>
              <w:t>0.056 (0.104)</w:t>
            </w:r>
          </w:p>
        </w:tc>
        <w:tc>
          <w:tcPr>
            <w:tcW w:w="1913" w:type="dxa"/>
          </w:tcPr>
          <w:p w14:paraId="0EF199CB" w14:textId="77777777" w:rsidR="003F6AF4" w:rsidRDefault="00000000">
            <w:pPr>
              <w:pStyle w:val="Compact"/>
            </w:pPr>
            <w:r>
              <w:t>-3.10 (1.87)</w:t>
            </w:r>
          </w:p>
        </w:tc>
      </w:tr>
      <w:tr w:rsidR="003F6AF4" w14:paraId="0323402B" w14:textId="77777777" w:rsidTr="003F00DE">
        <w:tc>
          <w:tcPr>
            <w:tcW w:w="1610" w:type="dxa"/>
          </w:tcPr>
          <w:p w14:paraId="22BD4C56" w14:textId="77777777" w:rsidR="003F6AF4" w:rsidRDefault="00000000">
            <w:pPr>
              <w:pStyle w:val="Compact"/>
            </w:pPr>
            <w:r>
              <w:t>USD</w:t>
            </w:r>
          </w:p>
        </w:tc>
        <w:tc>
          <w:tcPr>
            <w:tcW w:w="460" w:type="dxa"/>
          </w:tcPr>
          <w:p w14:paraId="53263FAE" w14:textId="77777777" w:rsidR="003F6AF4" w:rsidRDefault="00000000">
            <w:pPr>
              <w:pStyle w:val="Compact"/>
            </w:pPr>
            <w:r>
              <w:t>86</w:t>
            </w:r>
          </w:p>
        </w:tc>
        <w:tc>
          <w:tcPr>
            <w:tcW w:w="1854" w:type="dxa"/>
          </w:tcPr>
          <w:p w14:paraId="7D65D824" w14:textId="77777777" w:rsidR="003F6AF4" w:rsidRDefault="00000000">
            <w:pPr>
              <w:pStyle w:val="Compact"/>
            </w:pPr>
            <w:r>
              <w:t>10 (28)</w:t>
            </w:r>
          </w:p>
        </w:tc>
        <w:tc>
          <w:tcPr>
            <w:tcW w:w="2013" w:type="dxa"/>
          </w:tcPr>
          <w:p w14:paraId="4721C66D" w14:textId="77777777" w:rsidR="003F6AF4" w:rsidRDefault="00000000">
            <w:pPr>
              <w:pStyle w:val="Compact"/>
            </w:pPr>
            <w:r>
              <w:t>22 (33)</w:t>
            </w:r>
          </w:p>
        </w:tc>
        <w:tc>
          <w:tcPr>
            <w:tcW w:w="1510" w:type="dxa"/>
          </w:tcPr>
          <w:p w14:paraId="75C62C45" w14:textId="77777777" w:rsidR="003F6AF4" w:rsidRDefault="00000000">
            <w:pPr>
              <w:pStyle w:val="Compact"/>
            </w:pPr>
            <w:r>
              <w:t>0.095 (0.094)</w:t>
            </w:r>
          </w:p>
        </w:tc>
        <w:tc>
          <w:tcPr>
            <w:tcW w:w="1913" w:type="dxa"/>
          </w:tcPr>
          <w:p w14:paraId="4E9D49C1" w14:textId="77777777" w:rsidR="003F6AF4" w:rsidRDefault="00000000">
            <w:pPr>
              <w:pStyle w:val="Compact"/>
            </w:pPr>
            <w:r>
              <w:t>-2.40 (1.09)</w:t>
            </w:r>
          </w:p>
        </w:tc>
      </w:tr>
    </w:tbl>
    <w:bookmarkEnd w:id="49"/>
    <w:p w14:paraId="7A6156EF" w14:textId="77777777" w:rsidR="003F6AF4"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0350FA34" w14:textId="77777777" w:rsidR="003F6AF4" w:rsidRDefault="00000000">
      <w:r>
        <w:br w:type="page"/>
      </w:r>
    </w:p>
    <w:p w14:paraId="549B4C2B" w14:textId="77777777" w:rsidR="003F6AF4" w:rsidRDefault="00000000">
      <w:pPr>
        <w:pStyle w:val="FigureTitle"/>
      </w:pPr>
      <w:bookmarkStart w:id="50" w:name="tbl-s1-prop"/>
      <w:r>
        <w:lastRenderedPageBreak/>
        <w:t>Table 2</w:t>
      </w:r>
    </w:p>
    <w:p w14:paraId="64C5FF10" w14:textId="77777777" w:rsidR="003F6AF4" w:rsidRDefault="00000000">
      <w:pPr>
        <w:pStyle w:val="Caption"/>
      </w:pPr>
      <w:r>
        <w:t>Experiment 1: Categorization of Participants according to Accuracy Levels</w:t>
      </w:r>
    </w:p>
    <w:tbl>
      <w:tblPr>
        <w:tblStyle w:val="Table"/>
        <w:tblW w:w="0" w:type="auto"/>
        <w:tblLook w:val="0020" w:firstRow="1" w:lastRow="0" w:firstColumn="0" w:lastColumn="0" w:noHBand="0" w:noVBand="0"/>
      </w:tblPr>
      <w:tblGrid>
        <w:gridCol w:w="1642"/>
        <w:gridCol w:w="736"/>
        <w:gridCol w:w="1169"/>
        <w:gridCol w:w="736"/>
      </w:tblGrid>
      <w:tr w:rsidR="003F6AF4" w14:paraId="4F787F0F" w14:textId="77777777" w:rsidTr="003F6AF4">
        <w:trPr>
          <w:cnfStyle w:val="100000000000" w:firstRow="1" w:lastRow="0" w:firstColumn="0" w:lastColumn="0" w:oddVBand="0" w:evenVBand="0" w:oddHBand="0" w:evenHBand="0" w:firstRowFirstColumn="0" w:firstRowLastColumn="0" w:lastRowFirstColumn="0" w:lastRowLastColumn="0"/>
          <w:tblHeader/>
        </w:trPr>
        <w:tc>
          <w:tcPr>
            <w:tcW w:w="0" w:type="auto"/>
          </w:tcPr>
          <w:p w14:paraId="1AD6F9CF" w14:textId="77777777" w:rsidR="003F6AF4" w:rsidRDefault="00000000">
            <w:pPr>
              <w:pStyle w:val="Compact"/>
            </w:pPr>
            <w:r>
              <w:t>Accuracy Level</w:t>
            </w:r>
          </w:p>
        </w:tc>
        <w:tc>
          <w:tcPr>
            <w:tcW w:w="0" w:type="auto"/>
          </w:tcPr>
          <w:p w14:paraId="443A2A61" w14:textId="77777777" w:rsidR="003F6AF4" w:rsidRDefault="00000000">
            <w:pPr>
              <w:pStyle w:val="Compact"/>
            </w:pPr>
            <w:r>
              <w:t>kWh</w:t>
            </w:r>
          </w:p>
        </w:tc>
        <w:tc>
          <w:tcPr>
            <w:tcW w:w="0" w:type="auto"/>
          </w:tcPr>
          <w:p w14:paraId="06789D37" w14:textId="77777777" w:rsidR="003F6AF4" w:rsidRDefault="00000000">
            <w:pPr>
              <w:pStyle w:val="Compact"/>
            </w:pPr>
            <w:r>
              <w:t>Percentage</w:t>
            </w:r>
          </w:p>
        </w:tc>
        <w:tc>
          <w:tcPr>
            <w:tcW w:w="0" w:type="auto"/>
          </w:tcPr>
          <w:p w14:paraId="5C33EF84" w14:textId="77777777" w:rsidR="003F6AF4" w:rsidRDefault="00000000">
            <w:pPr>
              <w:pStyle w:val="Compact"/>
            </w:pPr>
            <w:r>
              <w:t>USD</w:t>
            </w:r>
          </w:p>
        </w:tc>
      </w:tr>
      <w:tr w:rsidR="003F6AF4" w14:paraId="1158F720" w14:textId="77777777">
        <w:tc>
          <w:tcPr>
            <w:tcW w:w="0" w:type="auto"/>
          </w:tcPr>
          <w:p w14:paraId="5CAF2FB3" w14:textId="77777777" w:rsidR="003F6AF4" w:rsidRDefault="00000000">
            <w:pPr>
              <w:pStyle w:val="Compact"/>
            </w:pPr>
            <w:r>
              <w:t>Exact match</w:t>
            </w:r>
          </w:p>
        </w:tc>
        <w:tc>
          <w:tcPr>
            <w:tcW w:w="0" w:type="auto"/>
          </w:tcPr>
          <w:p w14:paraId="47C5CA48" w14:textId="77777777" w:rsidR="003F6AF4" w:rsidRDefault="00000000">
            <w:pPr>
              <w:pStyle w:val="Compact"/>
            </w:pPr>
            <w:r>
              <w:t>38.5%</w:t>
            </w:r>
          </w:p>
        </w:tc>
        <w:tc>
          <w:tcPr>
            <w:tcW w:w="0" w:type="auto"/>
          </w:tcPr>
          <w:p w14:paraId="09EE0759" w14:textId="77777777" w:rsidR="003F6AF4" w:rsidRDefault="00000000">
            <w:pPr>
              <w:pStyle w:val="Compact"/>
            </w:pPr>
            <w:r>
              <w:t>22.4%</w:t>
            </w:r>
          </w:p>
        </w:tc>
        <w:tc>
          <w:tcPr>
            <w:tcW w:w="0" w:type="auto"/>
          </w:tcPr>
          <w:p w14:paraId="0B9C96FC" w14:textId="77777777" w:rsidR="003F6AF4" w:rsidRDefault="00000000">
            <w:pPr>
              <w:pStyle w:val="Compact"/>
            </w:pPr>
            <w:r>
              <w:t>10.2%</w:t>
            </w:r>
          </w:p>
        </w:tc>
      </w:tr>
      <w:tr w:rsidR="003F6AF4" w14:paraId="3BEA84F1" w14:textId="77777777">
        <w:tc>
          <w:tcPr>
            <w:tcW w:w="0" w:type="auto"/>
          </w:tcPr>
          <w:p w14:paraId="1D0D353C" w14:textId="77777777" w:rsidR="003F6AF4" w:rsidRDefault="00000000">
            <w:pPr>
              <w:pStyle w:val="Compact"/>
            </w:pPr>
            <w:r>
              <w:t>0.01-5% error</w:t>
            </w:r>
          </w:p>
        </w:tc>
        <w:tc>
          <w:tcPr>
            <w:tcW w:w="0" w:type="auto"/>
          </w:tcPr>
          <w:p w14:paraId="1EBFF187" w14:textId="77777777" w:rsidR="003F6AF4" w:rsidRDefault="00000000">
            <w:pPr>
              <w:pStyle w:val="Compact"/>
            </w:pPr>
            <w:r>
              <w:t>22.7%</w:t>
            </w:r>
          </w:p>
        </w:tc>
        <w:tc>
          <w:tcPr>
            <w:tcW w:w="0" w:type="auto"/>
          </w:tcPr>
          <w:p w14:paraId="44A17A65" w14:textId="77777777" w:rsidR="003F6AF4" w:rsidRDefault="00000000">
            <w:pPr>
              <w:pStyle w:val="Compact"/>
            </w:pPr>
            <w:r>
              <w:t>29.5%</w:t>
            </w:r>
          </w:p>
        </w:tc>
        <w:tc>
          <w:tcPr>
            <w:tcW w:w="0" w:type="auto"/>
          </w:tcPr>
          <w:p w14:paraId="01E150EF" w14:textId="77777777" w:rsidR="003F6AF4" w:rsidRDefault="00000000">
            <w:pPr>
              <w:pStyle w:val="Compact"/>
            </w:pPr>
            <w:r>
              <w:t>25%</w:t>
            </w:r>
          </w:p>
        </w:tc>
      </w:tr>
      <w:tr w:rsidR="003F6AF4" w14:paraId="6E6666CB" w14:textId="77777777">
        <w:tc>
          <w:tcPr>
            <w:tcW w:w="0" w:type="auto"/>
          </w:tcPr>
          <w:p w14:paraId="2EFADA29" w14:textId="77777777" w:rsidR="003F6AF4" w:rsidRDefault="00000000">
            <w:pPr>
              <w:pStyle w:val="Compact"/>
            </w:pPr>
            <w:r>
              <w:t>Over 5% error</w:t>
            </w:r>
          </w:p>
        </w:tc>
        <w:tc>
          <w:tcPr>
            <w:tcW w:w="0" w:type="auto"/>
          </w:tcPr>
          <w:p w14:paraId="689021BF" w14:textId="77777777" w:rsidR="003F6AF4" w:rsidRDefault="00000000">
            <w:pPr>
              <w:pStyle w:val="Compact"/>
            </w:pPr>
            <w:r>
              <w:t>38.8%</w:t>
            </w:r>
          </w:p>
        </w:tc>
        <w:tc>
          <w:tcPr>
            <w:tcW w:w="0" w:type="auto"/>
          </w:tcPr>
          <w:p w14:paraId="7C6B87D5" w14:textId="77777777" w:rsidR="003F6AF4" w:rsidRDefault="00000000">
            <w:pPr>
              <w:pStyle w:val="Compact"/>
            </w:pPr>
            <w:r>
              <w:t>48.1%</w:t>
            </w:r>
          </w:p>
        </w:tc>
        <w:tc>
          <w:tcPr>
            <w:tcW w:w="0" w:type="auto"/>
          </w:tcPr>
          <w:p w14:paraId="4446E25A" w14:textId="77777777" w:rsidR="003F6AF4" w:rsidRDefault="00000000">
            <w:pPr>
              <w:pStyle w:val="Compact"/>
            </w:pPr>
            <w:r>
              <w:t>64.8%</w:t>
            </w:r>
          </w:p>
        </w:tc>
      </w:tr>
    </w:tbl>
    <w:bookmarkEnd w:id="50"/>
    <w:p w14:paraId="69825A40" w14:textId="77777777" w:rsidR="003F6AF4" w:rsidRDefault="00000000">
      <w:pPr>
        <w:pStyle w:val="FigureNote"/>
      </w:pPr>
      <w:r>
        <w:rPr>
          <w:i/>
          <w:iCs/>
        </w:rPr>
        <w:t>Note</w:t>
      </w:r>
      <w:r>
        <w:t>. The table shows the percentage of action-plans which fell into each accuracy level for each reference class condition (percentages of kWh, $, and USD columns reflect within condition percentages).</w:t>
      </w:r>
    </w:p>
    <w:p w14:paraId="48CD47A7" w14:textId="77777777" w:rsidR="003F6AF4" w:rsidRDefault="00000000">
      <w:r>
        <w:br w:type="page"/>
      </w:r>
    </w:p>
    <w:p w14:paraId="0642BBEC" w14:textId="77777777" w:rsidR="003F6AF4" w:rsidRDefault="00000000">
      <w:pPr>
        <w:pStyle w:val="FigureTitle"/>
      </w:pPr>
      <w:bookmarkStart w:id="51" w:name="tbl-s1-reg"/>
      <w:r>
        <w:lastRenderedPageBreak/>
        <w:t>Table 3</w:t>
      </w:r>
    </w:p>
    <w:p w14:paraId="492FEF93" w14:textId="77777777" w:rsidR="003F6AF4" w:rsidRDefault="00000000">
      <w:pPr>
        <w:pStyle w:val="Caption"/>
      </w:pPr>
      <w:r>
        <w:rPr>
          <w:b/>
          <w:bCs/>
        </w:rPr>
        <w:t>Experiment 1</w:t>
      </w:r>
      <w:r>
        <w:t>: Ordinal Regression Results of a Test of Differences between conditions in Accuracy Levels</w:t>
      </w:r>
    </w:p>
    <w:tbl>
      <w:tblPr>
        <w:tblStyle w:val="Table"/>
        <w:tblW w:w="0" w:type="auto"/>
        <w:tblLook w:val="0020" w:firstRow="1" w:lastRow="0" w:firstColumn="0" w:lastColumn="0" w:noHBand="0" w:noVBand="0"/>
      </w:tblPr>
      <w:tblGrid>
        <w:gridCol w:w="2116"/>
        <w:gridCol w:w="956"/>
        <w:gridCol w:w="1103"/>
        <w:gridCol w:w="1076"/>
        <w:gridCol w:w="536"/>
      </w:tblGrid>
      <w:tr w:rsidR="003F6AF4" w14:paraId="39BE4B3B" w14:textId="77777777" w:rsidTr="003F6AF4">
        <w:trPr>
          <w:cnfStyle w:val="100000000000" w:firstRow="1" w:lastRow="0" w:firstColumn="0" w:lastColumn="0" w:oddVBand="0" w:evenVBand="0" w:oddHBand="0" w:evenHBand="0" w:firstRowFirstColumn="0" w:firstRowLastColumn="0" w:lastRowFirstColumn="0" w:lastRowLastColumn="0"/>
          <w:tblHeader/>
        </w:trPr>
        <w:tc>
          <w:tcPr>
            <w:tcW w:w="0" w:type="auto"/>
          </w:tcPr>
          <w:p w14:paraId="4F06C600" w14:textId="77777777" w:rsidR="003F6AF4" w:rsidRDefault="00000000">
            <w:pPr>
              <w:pStyle w:val="Compact"/>
            </w:pPr>
            <w:r>
              <w:t>Parameter</w:t>
            </w:r>
          </w:p>
        </w:tc>
        <w:tc>
          <w:tcPr>
            <w:tcW w:w="0" w:type="auto"/>
          </w:tcPr>
          <w:p w14:paraId="51E6C18B" w14:textId="77777777" w:rsidR="003F6AF4" w:rsidRDefault="00000000">
            <w:pPr>
              <w:pStyle w:val="Compact"/>
            </w:pPr>
            <w:r>
              <w:t>Estimate</w:t>
            </w:r>
          </w:p>
        </w:tc>
        <w:tc>
          <w:tcPr>
            <w:tcW w:w="0" w:type="auto"/>
          </w:tcPr>
          <w:p w14:paraId="1C9BDFA5" w14:textId="77777777" w:rsidR="003F6AF4" w:rsidRDefault="00000000">
            <w:pPr>
              <w:pStyle w:val="Compact"/>
            </w:pPr>
            <w:r>
              <w:t>CI_Lower</w:t>
            </w:r>
          </w:p>
        </w:tc>
        <w:tc>
          <w:tcPr>
            <w:tcW w:w="0" w:type="auto"/>
          </w:tcPr>
          <w:p w14:paraId="22DF70DE" w14:textId="77777777" w:rsidR="003F6AF4" w:rsidRDefault="00000000">
            <w:pPr>
              <w:pStyle w:val="Compact"/>
            </w:pPr>
            <w:r>
              <w:t>CI_Upper</w:t>
            </w:r>
          </w:p>
        </w:tc>
        <w:tc>
          <w:tcPr>
            <w:tcW w:w="0" w:type="auto"/>
          </w:tcPr>
          <w:p w14:paraId="70F9C9C4" w14:textId="77777777" w:rsidR="003F6AF4" w:rsidRDefault="00000000">
            <w:pPr>
              <w:pStyle w:val="Compact"/>
            </w:pPr>
            <w:r>
              <w:t>pd</w:t>
            </w:r>
          </w:p>
        </w:tc>
      </w:tr>
      <w:tr w:rsidR="003F6AF4" w14:paraId="367AAF2C" w14:textId="77777777">
        <w:tc>
          <w:tcPr>
            <w:tcW w:w="0" w:type="auto"/>
          </w:tcPr>
          <w:p w14:paraId="5458E6FB" w14:textId="77777777" w:rsidR="003F6AF4" w:rsidRDefault="00000000">
            <w:pPr>
              <w:pStyle w:val="Compact"/>
            </w:pPr>
            <w:r>
              <w:t>Intercept[1]</w:t>
            </w:r>
          </w:p>
        </w:tc>
        <w:tc>
          <w:tcPr>
            <w:tcW w:w="0" w:type="auto"/>
          </w:tcPr>
          <w:p w14:paraId="71A20F23" w14:textId="77777777" w:rsidR="003F6AF4" w:rsidRDefault="00000000">
            <w:pPr>
              <w:pStyle w:val="Compact"/>
            </w:pPr>
            <w:r>
              <w:t>-4.21</w:t>
            </w:r>
          </w:p>
        </w:tc>
        <w:tc>
          <w:tcPr>
            <w:tcW w:w="0" w:type="auto"/>
          </w:tcPr>
          <w:p w14:paraId="712B9764" w14:textId="77777777" w:rsidR="003F6AF4" w:rsidRDefault="00000000">
            <w:pPr>
              <w:pStyle w:val="Compact"/>
            </w:pPr>
            <w:r>
              <w:t>-5.90</w:t>
            </w:r>
          </w:p>
        </w:tc>
        <w:tc>
          <w:tcPr>
            <w:tcW w:w="0" w:type="auto"/>
          </w:tcPr>
          <w:p w14:paraId="305BC3E7" w14:textId="77777777" w:rsidR="003F6AF4" w:rsidRDefault="00000000">
            <w:pPr>
              <w:pStyle w:val="Compact"/>
            </w:pPr>
            <w:r>
              <w:t>-2.58</w:t>
            </w:r>
          </w:p>
        </w:tc>
        <w:tc>
          <w:tcPr>
            <w:tcW w:w="0" w:type="auto"/>
          </w:tcPr>
          <w:p w14:paraId="4B773009" w14:textId="77777777" w:rsidR="003F6AF4" w:rsidRDefault="00000000">
            <w:pPr>
              <w:pStyle w:val="Compact"/>
            </w:pPr>
            <w:r>
              <w:t>1.00</w:t>
            </w:r>
          </w:p>
        </w:tc>
      </w:tr>
      <w:tr w:rsidR="003F6AF4" w14:paraId="17EC8EDA" w14:textId="77777777">
        <w:tc>
          <w:tcPr>
            <w:tcW w:w="0" w:type="auto"/>
          </w:tcPr>
          <w:p w14:paraId="1B9F0606" w14:textId="77777777" w:rsidR="003F6AF4" w:rsidRDefault="00000000">
            <w:pPr>
              <w:pStyle w:val="Compact"/>
            </w:pPr>
            <w:r>
              <w:t>Intercept[2]</w:t>
            </w:r>
          </w:p>
        </w:tc>
        <w:tc>
          <w:tcPr>
            <w:tcW w:w="0" w:type="auto"/>
          </w:tcPr>
          <w:p w14:paraId="3EB6E241" w14:textId="77777777" w:rsidR="003F6AF4" w:rsidRDefault="00000000">
            <w:pPr>
              <w:pStyle w:val="Compact"/>
            </w:pPr>
            <w:r>
              <w:t>-0.89</w:t>
            </w:r>
          </w:p>
        </w:tc>
        <w:tc>
          <w:tcPr>
            <w:tcW w:w="0" w:type="auto"/>
          </w:tcPr>
          <w:p w14:paraId="0912BBCC" w14:textId="77777777" w:rsidR="003F6AF4" w:rsidRDefault="00000000">
            <w:pPr>
              <w:pStyle w:val="Compact"/>
            </w:pPr>
            <w:r>
              <w:t>-2.49</w:t>
            </w:r>
          </w:p>
        </w:tc>
        <w:tc>
          <w:tcPr>
            <w:tcW w:w="0" w:type="auto"/>
          </w:tcPr>
          <w:p w14:paraId="2EBB2EF8" w14:textId="77777777" w:rsidR="003F6AF4" w:rsidRDefault="00000000">
            <w:pPr>
              <w:pStyle w:val="Compact"/>
            </w:pPr>
            <w:r>
              <w:t>0.71</w:t>
            </w:r>
          </w:p>
        </w:tc>
        <w:tc>
          <w:tcPr>
            <w:tcW w:w="0" w:type="auto"/>
          </w:tcPr>
          <w:p w14:paraId="5E0599DD" w14:textId="77777777" w:rsidR="003F6AF4" w:rsidRDefault="00000000">
            <w:pPr>
              <w:pStyle w:val="Compact"/>
            </w:pPr>
            <w:r>
              <w:t>0.87</w:t>
            </w:r>
          </w:p>
        </w:tc>
      </w:tr>
      <w:tr w:rsidR="003F6AF4" w14:paraId="151413ED" w14:textId="77777777">
        <w:tc>
          <w:tcPr>
            <w:tcW w:w="0" w:type="auto"/>
          </w:tcPr>
          <w:p w14:paraId="6930F352" w14:textId="77777777" w:rsidR="003F6AF4" w:rsidRDefault="00000000">
            <w:pPr>
              <w:pStyle w:val="Compact"/>
            </w:pPr>
            <w:r>
              <w:t>RefClass-Percentage</w:t>
            </w:r>
          </w:p>
        </w:tc>
        <w:tc>
          <w:tcPr>
            <w:tcW w:w="0" w:type="auto"/>
          </w:tcPr>
          <w:p w14:paraId="15F37E7D" w14:textId="77777777" w:rsidR="003F6AF4" w:rsidRDefault="00000000">
            <w:pPr>
              <w:pStyle w:val="Compact"/>
            </w:pPr>
            <w:r>
              <w:t>1.44</w:t>
            </w:r>
          </w:p>
        </w:tc>
        <w:tc>
          <w:tcPr>
            <w:tcW w:w="0" w:type="auto"/>
          </w:tcPr>
          <w:p w14:paraId="394831E4" w14:textId="77777777" w:rsidR="003F6AF4" w:rsidRDefault="00000000">
            <w:pPr>
              <w:pStyle w:val="Compact"/>
            </w:pPr>
            <w:r>
              <w:t>0.07</w:t>
            </w:r>
          </w:p>
        </w:tc>
        <w:tc>
          <w:tcPr>
            <w:tcW w:w="0" w:type="auto"/>
          </w:tcPr>
          <w:p w14:paraId="21AEBF50" w14:textId="77777777" w:rsidR="003F6AF4" w:rsidRDefault="00000000">
            <w:pPr>
              <w:pStyle w:val="Compact"/>
            </w:pPr>
            <w:r>
              <w:t>2.88</w:t>
            </w:r>
          </w:p>
        </w:tc>
        <w:tc>
          <w:tcPr>
            <w:tcW w:w="0" w:type="auto"/>
          </w:tcPr>
          <w:p w14:paraId="47EE1E7A" w14:textId="77777777" w:rsidR="003F6AF4" w:rsidRDefault="00000000">
            <w:pPr>
              <w:pStyle w:val="Compact"/>
            </w:pPr>
            <w:r>
              <w:t>0.98</w:t>
            </w:r>
          </w:p>
        </w:tc>
      </w:tr>
      <w:tr w:rsidR="003F6AF4" w14:paraId="666FFC7F" w14:textId="77777777">
        <w:tc>
          <w:tcPr>
            <w:tcW w:w="0" w:type="auto"/>
          </w:tcPr>
          <w:p w14:paraId="3E4D2A43" w14:textId="77777777" w:rsidR="003F6AF4" w:rsidRDefault="00000000">
            <w:pPr>
              <w:pStyle w:val="Compact"/>
            </w:pPr>
            <w:r>
              <w:t>RefClass-USD</w:t>
            </w:r>
          </w:p>
        </w:tc>
        <w:tc>
          <w:tcPr>
            <w:tcW w:w="0" w:type="auto"/>
          </w:tcPr>
          <w:p w14:paraId="315B2AE7" w14:textId="77777777" w:rsidR="003F6AF4" w:rsidRDefault="00000000">
            <w:pPr>
              <w:pStyle w:val="Compact"/>
            </w:pPr>
            <w:r>
              <w:t>3.13</w:t>
            </w:r>
          </w:p>
        </w:tc>
        <w:tc>
          <w:tcPr>
            <w:tcW w:w="0" w:type="auto"/>
          </w:tcPr>
          <w:p w14:paraId="11899C3D" w14:textId="77777777" w:rsidR="003F6AF4" w:rsidRDefault="00000000">
            <w:pPr>
              <w:pStyle w:val="Compact"/>
            </w:pPr>
            <w:r>
              <w:t>1.81</w:t>
            </w:r>
          </w:p>
        </w:tc>
        <w:tc>
          <w:tcPr>
            <w:tcW w:w="0" w:type="auto"/>
          </w:tcPr>
          <w:p w14:paraId="673B8C1A" w14:textId="77777777" w:rsidR="003F6AF4" w:rsidRDefault="00000000">
            <w:pPr>
              <w:pStyle w:val="Compact"/>
            </w:pPr>
            <w:r>
              <w:t>4.50</w:t>
            </w:r>
          </w:p>
        </w:tc>
        <w:tc>
          <w:tcPr>
            <w:tcW w:w="0" w:type="auto"/>
          </w:tcPr>
          <w:p w14:paraId="727AA745" w14:textId="77777777" w:rsidR="003F6AF4" w:rsidRDefault="00000000">
            <w:pPr>
              <w:pStyle w:val="Compact"/>
            </w:pPr>
            <w:r>
              <w:t>1.00</w:t>
            </w:r>
          </w:p>
        </w:tc>
      </w:tr>
      <w:tr w:rsidR="003F6AF4" w14:paraId="53368517" w14:textId="77777777">
        <w:tc>
          <w:tcPr>
            <w:tcW w:w="0" w:type="auto"/>
          </w:tcPr>
          <w:p w14:paraId="71368CB2" w14:textId="77777777" w:rsidR="003F6AF4" w:rsidRDefault="00000000">
            <w:pPr>
              <w:pStyle w:val="Compact"/>
            </w:pPr>
            <w:r>
              <w:t>calc-UsedCalculator</w:t>
            </w:r>
          </w:p>
        </w:tc>
        <w:tc>
          <w:tcPr>
            <w:tcW w:w="0" w:type="auto"/>
          </w:tcPr>
          <w:p w14:paraId="54C06C78" w14:textId="77777777" w:rsidR="003F6AF4" w:rsidRDefault="00000000">
            <w:pPr>
              <w:pStyle w:val="Compact"/>
            </w:pPr>
            <w:r>
              <w:t>-3.30</w:t>
            </w:r>
          </w:p>
        </w:tc>
        <w:tc>
          <w:tcPr>
            <w:tcW w:w="0" w:type="auto"/>
          </w:tcPr>
          <w:p w14:paraId="750E0F55" w14:textId="77777777" w:rsidR="003F6AF4" w:rsidRDefault="00000000">
            <w:pPr>
              <w:pStyle w:val="Compact"/>
            </w:pPr>
            <w:r>
              <w:t>-4.80</w:t>
            </w:r>
          </w:p>
        </w:tc>
        <w:tc>
          <w:tcPr>
            <w:tcW w:w="0" w:type="auto"/>
          </w:tcPr>
          <w:p w14:paraId="376F249E" w14:textId="77777777" w:rsidR="003F6AF4" w:rsidRDefault="00000000">
            <w:pPr>
              <w:pStyle w:val="Compact"/>
            </w:pPr>
            <w:r>
              <w:t>-1.92</w:t>
            </w:r>
          </w:p>
        </w:tc>
        <w:tc>
          <w:tcPr>
            <w:tcW w:w="0" w:type="auto"/>
          </w:tcPr>
          <w:p w14:paraId="3DDC9B17" w14:textId="77777777" w:rsidR="003F6AF4" w:rsidRDefault="00000000">
            <w:pPr>
              <w:pStyle w:val="Compact"/>
            </w:pPr>
            <w:r>
              <w:t>1.00</w:t>
            </w:r>
          </w:p>
        </w:tc>
      </w:tr>
    </w:tbl>
    <w:bookmarkEnd w:id="51"/>
    <w:p w14:paraId="6D9CA4FC" w14:textId="77777777" w:rsidR="003F6AF4" w:rsidRDefault="00000000">
      <w:pPr>
        <w:pStyle w:val="FigureNote"/>
      </w:pPr>
      <w:r>
        <w:rPr>
          <w:i/>
          <w:iCs/>
        </w:rPr>
        <w:t>Note</w:t>
      </w:r>
      <w:r>
        <w:t>. Ordinal regression results. Positive coefficient estimates for the reference class predictors indicate that those conditions are associated with higher error categories relative to the kWh baseline.</w:t>
      </w:r>
    </w:p>
    <w:p w14:paraId="2D724B63" w14:textId="77777777" w:rsidR="003F6AF4" w:rsidRDefault="00000000">
      <w:r>
        <w:br w:type="page"/>
      </w:r>
    </w:p>
    <w:p w14:paraId="14C2E7C3" w14:textId="77777777" w:rsidR="003F6AF4" w:rsidRDefault="00000000">
      <w:pPr>
        <w:pStyle w:val="FigureTitle"/>
      </w:pPr>
      <w:bookmarkStart w:id="52" w:name="tbl-s1-ord"/>
      <w:r>
        <w:lastRenderedPageBreak/>
        <w:t>Table 4</w:t>
      </w:r>
    </w:p>
    <w:p w14:paraId="1441F2AB" w14:textId="77777777" w:rsidR="003F6AF4" w:rsidRDefault="00000000">
      <w:pPr>
        <w:pStyle w:val="Caption"/>
      </w:pPr>
      <w:r>
        <w:rPr>
          <w:b/>
          <w:bCs/>
        </w:rPr>
        <w:t>Experiment 1</w:t>
      </w:r>
      <w:r>
        <w:t>: Odds ratios for group comparisons</w:t>
      </w:r>
    </w:p>
    <w:tbl>
      <w:tblPr>
        <w:tblStyle w:val="Table"/>
        <w:tblW w:w="0" w:type="auto"/>
        <w:tblLook w:val="0020" w:firstRow="1" w:lastRow="0" w:firstColumn="0" w:lastColumn="0" w:noHBand="0" w:noVBand="0"/>
      </w:tblPr>
      <w:tblGrid>
        <w:gridCol w:w="1969"/>
        <w:gridCol w:w="1130"/>
        <w:gridCol w:w="956"/>
        <w:gridCol w:w="956"/>
      </w:tblGrid>
      <w:tr w:rsidR="003F6AF4" w14:paraId="1C4B2BD9" w14:textId="77777777" w:rsidTr="003F6AF4">
        <w:trPr>
          <w:cnfStyle w:val="100000000000" w:firstRow="1" w:lastRow="0" w:firstColumn="0" w:lastColumn="0" w:oddVBand="0" w:evenVBand="0" w:oddHBand="0" w:evenHBand="0" w:firstRowFirstColumn="0" w:firstRowLastColumn="0" w:lastRowFirstColumn="0" w:lastRowLastColumn="0"/>
          <w:tblHeader/>
        </w:trPr>
        <w:tc>
          <w:tcPr>
            <w:tcW w:w="0" w:type="auto"/>
          </w:tcPr>
          <w:p w14:paraId="410740E5" w14:textId="77777777" w:rsidR="003F6AF4" w:rsidRDefault="00000000">
            <w:pPr>
              <w:pStyle w:val="Compact"/>
            </w:pPr>
            <w:r>
              <w:t>Comparison</w:t>
            </w:r>
          </w:p>
        </w:tc>
        <w:tc>
          <w:tcPr>
            <w:tcW w:w="0" w:type="auto"/>
          </w:tcPr>
          <w:p w14:paraId="4E516290" w14:textId="77777777" w:rsidR="003F6AF4" w:rsidRDefault="00000000">
            <w:pPr>
              <w:pStyle w:val="Compact"/>
            </w:pPr>
            <w:r>
              <w:t>odds_ratio</w:t>
            </w:r>
          </w:p>
        </w:tc>
        <w:tc>
          <w:tcPr>
            <w:tcW w:w="0" w:type="auto"/>
          </w:tcPr>
          <w:p w14:paraId="233F1232" w14:textId="77777777" w:rsidR="003F6AF4" w:rsidRDefault="00000000">
            <w:pPr>
              <w:pStyle w:val="Compact"/>
            </w:pPr>
            <w:r>
              <w:t>ci_lower</w:t>
            </w:r>
          </w:p>
        </w:tc>
        <w:tc>
          <w:tcPr>
            <w:tcW w:w="0" w:type="auto"/>
          </w:tcPr>
          <w:p w14:paraId="45A9C083" w14:textId="77777777" w:rsidR="003F6AF4" w:rsidRDefault="00000000">
            <w:pPr>
              <w:pStyle w:val="Compact"/>
            </w:pPr>
            <w:r>
              <w:t>ci_upper</w:t>
            </w:r>
          </w:p>
        </w:tc>
      </w:tr>
      <w:tr w:rsidR="003F6AF4" w14:paraId="4E54654D" w14:textId="77777777">
        <w:tc>
          <w:tcPr>
            <w:tcW w:w="0" w:type="auto"/>
          </w:tcPr>
          <w:p w14:paraId="0ADDD789" w14:textId="77777777" w:rsidR="003F6AF4" w:rsidRDefault="00000000">
            <w:pPr>
              <w:pStyle w:val="Compact"/>
            </w:pPr>
            <w:r>
              <w:t>Percentage vs kWh</w:t>
            </w:r>
          </w:p>
        </w:tc>
        <w:tc>
          <w:tcPr>
            <w:tcW w:w="0" w:type="auto"/>
          </w:tcPr>
          <w:p w14:paraId="7BA262FB" w14:textId="77777777" w:rsidR="003F6AF4" w:rsidRDefault="00000000">
            <w:pPr>
              <w:pStyle w:val="Compact"/>
            </w:pPr>
            <w:r>
              <w:t>4.2</w:t>
            </w:r>
          </w:p>
        </w:tc>
        <w:tc>
          <w:tcPr>
            <w:tcW w:w="0" w:type="auto"/>
          </w:tcPr>
          <w:p w14:paraId="1FBC2A93" w14:textId="77777777" w:rsidR="003F6AF4" w:rsidRDefault="00000000">
            <w:pPr>
              <w:pStyle w:val="Compact"/>
            </w:pPr>
            <w:r>
              <w:t>1.1</w:t>
            </w:r>
          </w:p>
        </w:tc>
        <w:tc>
          <w:tcPr>
            <w:tcW w:w="0" w:type="auto"/>
          </w:tcPr>
          <w:p w14:paraId="10BA18C1" w14:textId="77777777" w:rsidR="003F6AF4" w:rsidRDefault="00000000">
            <w:pPr>
              <w:pStyle w:val="Compact"/>
            </w:pPr>
            <w:r>
              <w:t>18</w:t>
            </w:r>
          </w:p>
        </w:tc>
      </w:tr>
      <w:tr w:rsidR="003F6AF4" w14:paraId="727FC3AC" w14:textId="77777777">
        <w:tc>
          <w:tcPr>
            <w:tcW w:w="0" w:type="auto"/>
          </w:tcPr>
          <w:p w14:paraId="16BF15DD" w14:textId="77777777" w:rsidR="003F6AF4" w:rsidRDefault="00000000">
            <w:pPr>
              <w:pStyle w:val="Compact"/>
            </w:pPr>
            <w:r>
              <w:t>USD vs kWh</w:t>
            </w:r>
          </w:p>
        </w:tc>
        <w:tc>
          <w:tcPr>
            <w:tcW w:w="0" w:type="auto"/>
          </w:tcPr>
          <w:p w14:paraId="3BB67F6D" w14:textId="77777777" w:rsidR="003F6AF4" w:rsidRDefault="00000000">
            <w:pPr>
              <w:pStyle w:val="Compact"/>
            </w:pPr>
            <w:r>
              <w:t>22.9</w:t>
            </w:r>
          </w:p>
        </w:tc>
        <w:tc>
          <w:tcPr>
            <w:tcW w:w="0" w:type="auto"/>
          </w:tcPr>
          <w:p w14:paraId="63433EA7" w14:textId="77777777" w:rsidR="003F6AF4" w:rsidRDefault="00000000">
            <w:pPr>
              <w:pStyle w:val="Compact"/>
            </w:pPr>
            <w:r>
              <w:t>6.1</w:t>
            </w:r>
          </w:p>
        </w:tc>
        <w:tc>
          <w:tcPr>
            <w:tcW w:w="0" w:type="auto"/>
          </w:tcPr>
          <w:p w14:paraId="25C78681" w14:textId="77777777" w:rsidR="003F6AF4" w:rsidRDefault="00000000">
            <w:pPr>
              <w:pStyle w:val="Compact"/>
            </w:pPr>
            <w:r>
              <w:t>90</w:t>
            </w:r>
          </w:p>
        </w:tc>
      </w:tr>
    </w:tbl>
    <w:bookmarkEnd w:id="52"/>
    <w:p w14:paraId="2A82A242" w14:textId="77777777" w:rsidR="003F6AF4" w:rsidRDefault="00000000">
      <w:pPr>
        <w:pStyle w:val="FigureNote"/>
      </w:pPr>
      <w:r>
        <w:rPr>
          <w:i/>
          <w:iCs/>
        </w:rPr>
        <w:t>Note</w:t>
      </w:r>
      <w:r>
        <w:t>. Odds ratios greater than 1 indicate increased odds of falling into a worse accuracy category compared to the kWh condition</w:t>
      </w:r>
    </w:p>
    <w:p w14:paraId="709792B8" w14:textId="77777777" w:rsidR="003F6AF4" w:rsidRDefault="00000000">
      <w:r>
        <w:br w:type="page"/>
      </w:r>
    </w:p>
    <w:p w14:paraId="01E48765" w14:textId="77777777" w:rsidR="003F6AF4" w:rsidRDefault="00000000">
      <w:pPr>
        <w:pStyle w:val="FigureTitle"/>
      </w:pPr>
      <w:bookmarkStart w:id="53" w:name="tbl-s2-agg"/>
      <w:r>
        <w:lastRenderedPageBreak/>
        <w:t>Table 5</w:t>
      </w:r>
    </w:p>
    <w:p w14:paraId="372AEC68" w14:textId="77777777" w:rsidR="003F6AF4" w:rsidRDefault="00000000">
      <w:pPr>
        <w:pStyle w:val="Caption"/>
      </w:pPr>
      <w:r>
        <w:t>Experiment 2: Summary of planning accuracy by reference class</w:t>
      </w:r>
    </w:p>
    <w:tbl>
      <w:tblPr>
        <w:tblStyle w:val="Table"/>
        <w:tblW w:w="5000" w:type="pct"/>
        <w:tblLayout w:type="fixed"/>
        <w:tblLook w:val="0020" w:firstRow="1" w:lastRow="0" w:firstColumn="0" w:lastColumn="0" w:noHBand="0" w:noVBand="0"/>
      </w:tblPr>
      <w:tblGrid>
        <w:gridCol w:w="1610"/>
        <w:gridCol w:w="460"/>
        <w:gridCol w:w="1854"/>
        <w:gridCol w:w="2013"/>
        <w:gridCol w:w="1510"/>
        <w:gridCol w:w="1913"/>
      </w:tblGrid>
      <w:tr w:rsidR="003F6AF4" w14:paraId="624279AD" w14:textId="77777777" w:rsidTr="002F34D3">
        <w:trPr>
          <w:cnfStyle w:val="100000000000" w:firstRow="1" w:lastRow="0" w:firstColumn="0" w:lastColumn="0" w:oddVBand="0" w:evenVBand="0" w:oddHBand="0" w:evenHBand="0" w:firstRowFirstColumn="0" w:firstRowLastColumn="0" w:lastRowFirstColumn="0" w:lastRowLastColumn="0"/>
          <w:tblHeader/>
        </w:trPr>
        <w:tc>
          <w:tcPr>
            <w:tcW w:w="1610" w:type="dxa"/>
          </w:tcPr>
          <w:p w14:paraId="04BC2CE6" w14:textId="77777777" w:rsidR="003F6AF4" w:rsidRDefault="00000000">
            <w:pPr>
              <w:pStyle w:val="Compact"/>
            </w:pPr>
            <w:r>
              <w:t>Reference Class</w:t>
            </w:r>
          </w:p>
        </w:tc>
        <w:tc>
          <w:tcPr>
            <w:tcW w:w="460" w:type="dxa"/>
          </w:tcPr>
          <w:p w14:paraId="4213393D" w14:textId="77777777" w:rsidR="003F6AF4" w:rsidRDefault="00000000">
            <w:pPr>
              <w:pStyle w:val="Compact"/>
            </w:pPr>
            <w:r>
              <w:t>N</w:t>
            </w:r>
          </w:p>
        </w:tc>
        <w:tc>
          <w:tcPr>
            <w:tcW w:w="1854" w:type="dxa"/>
          </w:tcPr>
          <w:p w14:paraId="7687B026" w14:textId="77777777" w:rsidR="003F6AF4" w:rsidRDefault="00000000">
            <w:pPr>
              <w:pStyle w:val="Compact"/>
            </w:pPr>
            <w:r>
              <w:t>Exact Match Rate(%)</w:t>
            </w:r>
          </w:p>
        </w:tc>
        <w:tc>
          <w:tcPr>
            <w:tcW w:w="2013" w:type="dxa"/>
          </w:tcPr>
          <w:p w14:paraId="4E7D9D96" w14:textId="77777777" w:rsidR="003F6AF4" w:rsidRDefault="00000000">
            <w:pPr>
              <w:pStyle w:val="Compact"/>
            </w:pPr>
            <w:r>
              <w:t>Close Match Rate(%)</w:t>
            </w:r>
          </w:p>
        </w:tc>
        <w:tc>
          <w:tcPr>
            <w:tcW w:w="1510" w:type="dxa"/>
          </w:tcPr>
          <w:p w14:paraId="44136007" w14:textId="77777777" w:rsidR="003F6AF4" w:rsidRDefault="00000000">
            <w:pPr>
              <w:pStyle w:val="Compact"/>
            </w:pPr>
            <w:r>
              <w:t>Abs. Deviation</w:t>
            </w:r>
          </w:p>
        </w:tc>
        <w:tc>
          <w:tcPr>
            <w:tcW w:w="1913" w:type="dxa"/>
          </w:tcPr>
          <w:p w14:paraId="3657D2E5" w14:textId="77777777" w:rsidR="003F6AF4" w:rsidRDefault="00000000">
            <w:pPr>
              <w:pStyle w:val="Compact"/>
            </w:pPr>
            <w:r>
              <w:t>Log Abs. Deviation</w:t>
            </w:r>
          </w:p>
        </w:tc>
      </w:tr>
      <w:tr w:rsidR="003F6AF4" w14:paraId="654D204B" w14:textId="77777777" w:rsidTr="002F34D3">
        <w:tc>
          <w:tcPr>
            <w:tcW w:w="1610" w:type="dxa"/>
          </w:tcPr>
          <w:p w14:paraId="2B42BD90" w14:textId="77777777" w:rsidR="003F6AF4" w:rsidRDefault="00000000">
            <w:pPr>
              <w:pStyle w:val="Compact"/>
            </w:pPr>
            <w:r>
              <w:t>kWh</w:t>
            </w:r>
          </w:p>
        </w:tc>
        <w:tc>
          <w:tcPr>
            <w:tcW w:w="460" w:type="dxa"/>
          </w:tcPr>
          <w:p w14:paraId="3A6EFD60" w14:textId="77777777" w:rsidR="003F6AF4" w:rsidRDefault="00000000">
            <w:pPr>
              <w:pStyle w:val="Compact"/>
            </w:pPr>
            <w:r>
              <w:t>68</w:t>
            </w:r>
          </w:p>
        </w:tc>
        <w:tc>
          <w:tcPr>
            <w:tcW w:w="1854" w:type="dxa"/>
          </w:tcPr>
          <w:p w14:paraId="4EFB3154" w14:textId="77777777" w:rsidR="003F6AF4" w:rsidRDefault="00000000">
            <w:pPr>
              <w:pStyle w:val="Compact"/>
            </w:pPr>
            <w:r>
              <w:t>44 (45)</w:t>
            </w:r>
          </w:p>
        </w:tc>
        <w:tc>
          <w:tcPr>
            <w:tcW w:w="2013" w:type="dxa"/>
          </w:tcPr>
          <w:p w14:paraId="15A03B1C" w14:textId="77777777" w:rsidR="003F6AF4" w:rsidRDefault="00000000">
            <w:pPr>
              <w:pStyle w:val="Compact"/>
            </w:pPr>
            <w:r>
              <w:t>52 (46)</w:t>
            </w:r>
          </w:p>
        </w:tc>
        <w:tc>
          <w:tcPr>
            <w:tcW w:w="1510" w:type="dxa"/>
          </w:tcPr>
          <w:p w14:paraId="3F08619C" w14:textId="77777777" w:rsidR="003F6AF4" w:rsidRDefault="00000000">
            <w:pPr>
              <w:pStyle w:val="Compact"/>
            </w:pPr>
            <w:r>
              <w:t>0.022 (0.182)</w:t>
            </w:r>
          </w:p>
        </w:tc>
        <w:tc>
          <w:tcPr>
            <w:tcW w:w="1913" w:type="dxa"/>
          </w:tcPr>
          <w:p w14:paraId="3F957F9A" w14:textId="77777777" w:rsidR="003F6AF4" w:rsidRDefault="00000000">
            <w:pPr>
              <w:pStyle w:val="Compact"/>
            </w:pPr>
            <w:r>
              <w:t>-3.87 (3.12)</w:t>
            </w:r>
          </w:p>
        </w:tc>
      </w:tr>
      <w:tr w:rsidR="003F6AF4" w14:paraId="389D67FA" w14:textId="77777777" w:rsidTr="002F34D3">
        <w:tc>
          <w:tcPr>
            <w:tcW w:w="1610" w:type="dxa"/>
          </w:tcPr>
          <w:p w14:paraId="5ADCC5EB" w14:textId="77777777" w:rsidR="003F6AF4" w:rsidRDefault="00000000">
            <w:pPr>
              <w:pStyle w:val="Compact"/>
            </w:pPr>
            <w:r>
              <w:t>Percentage</w:t>
            </w:r>
          </w:p>
        </w:tc>
        <w:tc>
          <w:tcPr>
            <w:tcW w:w="460" w:type="dxa"/>
          </w:tcPr>
          <w:p w14:paraId="62A1BF0E" w14:textId="77777777" w:rsidR="003F6AF4" w:rsidRDefault="00000000">
            <w:pPr>
              <w:pStyle w:val="Compact"/>
            </w:pPr>
            <w:r>
              <w:t>67</w:t>
            </w:r>
          </w:p>
        </w:tc>
        <w:tc>
          <w:tcPr>
            <w:tcW w:w="1854" w:type="dxa"/>
          </w:tcPr>
          <w:p w14:paraId="722B717F" w14:textId="77777777" w:rsidR="003F6AF4" w:rsidRDefault="00000000">
            <w:pPr>
              <w:pStyle w:val="Compact"/>
            </w:pPr>
            <w:r>
              <w:t>28 (36)</w:t>
            </w:r>
          </w:p>
        </w:tc>
        <w:tc>
          <w:tcPr>
            <w:tcW w:w="2013" w:type="dxa"/>
          </w:tcPr>
          <w:p w14:paraId="07AE072E" w14:textId="77777777" w:rsidR="003F6AF4" w:rsidRDefault="00000000">
            <w:pPr>
              <w:pStyle w:val="Compact"/>
            </w:pPr>
            <w:r>
              <w:t>42 (42)</w:t>
            </w:r>
          </w:p>
        </w:tc>
        <w:tc>
          <w:tcPr>
            <w:tcW w:w="1510" w:type="dxa"/>
          </w:tcPr>
          <w:p w14:paraId="3A5634B8" w14:textId="77777777" w:rsidR="003F6AF4" w:rsidRDefault="00000000">
            <w:pPr>
              <w:pStyle w:val="Compact"/>
            </w:pPr>
            <w:r>
              <w:t>0.062 (0.138)</w:t>
            </w:r>
          </w:p>
        </w:tc>
        <w:tc>
          <w:tcPr>
            <w:tcW w:w="1913" w:type="dxa"/>
          </w:tcPr>
          <w:p w14:paraId="18315BDA" w14:textId="77777777" w:rsidR="003F6AF4" w:rsidRDefault="00000000">
            <w:pPr>
              <w:pStyle w:val="Compact"/>
            </w:pPr>
            <w:r>
              <w:t>-3.22 (2.31)</w:t>
            </w:r>
          </w:p>
        </w:tc>
      </w:tr>
      <w:tr w:rsidR="003F6AF4" w14:paraId="2D0AEA5C" w14:textId="77777777" w:rsidTr="002F34D3">
        <w:tc>
          <w:tcPr>
            <w:tcW w:w="1610" w:type="dxa"/>
          </w:tcPr>
          <w:p w14:paraId="09AABAFD" w14:textId="77777777" w:rsidR="003F6AF4" w:rsidRDefault="00000000">
            <w:pPr>
              <w:pStyle w:val="Compact"/>
            </w:pPr>
            <w:r>
              <w:t>USD</w:t>
            </w:r>
          </w:p>
        </w:tc>
        <w:tc>
          <w:tcPr>
            <w:tcW w:w="460" w:type="dxa"/>
          </w:tcPr>
          <w:p w14:paraId="75D4353A" w14:textId="77777777" w:rsidR="003F6AF4" w:rsidRDefault="00000000">
            <w:pPr>
              <w:pStyle w:val="Compact"/>
            </w:pPr>
            <w:r>
              <w:t>55</w:t>
            </w:r>
          </w:p>
        </w:tc>
        <w:tc>
          <w:tcPr>
            <w:tcW w:w="1854" w:type="dxa"/>
          </w:tcPr>
          <w:p w14:paraId="690AF08C" w14:textId="77777777" w:rsidR="003F6AF4" w:rsidRDefault="00000000">
            <w:pPr>
              <w:pStyle w:val="Compact"/>
            </w:pPr>
            <w:r>
              <w:t>20 (38)</w:t>
            </w:r>
          </w:p>
        </w:tc>
        <w:tc>
          <w:tcPr>
            <w:tcW w:w="2013" w:type="dxa"/>
          </w:tcPr>
          <w:p w14:paraId="63BB1C13" w14:textId="77777777" w:rsidR="003F6AF4" w:rsidRDefault="00000000">
            <w:pPr>
              <w:pStyle w:val="Compact"/>
            </w:pPr>
            <w:r>
              <w:t>29 (40)</w:t>
            </w:r>
          </w:p>
        </w:tc>
        <w:tc>
          <w:tcPr>
            <w:tcW w:w="1510" w:type="dxa"/>
          </w:tcPr>
          <w:p w14:paraId="1C30F05A" w14:textId="77777777" w:rsidR="003F6AF4" w:rsidRDefault="00000000">
            <w:pPr>
              <w:pStyle w:val="Compact"/>
            </w:pPr>
            <w:r>
              <w:t>0.102 (0.135)</w:t>
            </w:r>
          </w:p>
        </w:tc>
        <w:tc>
          <w:tcPr>
            <w:tcW w:w="1913" w:type="dxa"/>
          </w:tcPr>
          <w:p w14:paraId="1C81724E" w14:textId="77777777" w:rsidR="003F6AF4" w:rsidRDefault="00000000">
            <w:pPr>
              <w:pStyle w:val="Compact"/>
            </w:pPr>
            <w:r>
              <w:t>-2.42 (1.52)</w:t>
            </w:r>
          </w:p>
        </w:tc>
      </w:tr>
    </w:tbl>
    <w:bookmarkEnd w:id="53"/>
    <w:p w14:paraId="16CDA4F7" w14:textId="77777777" w:rsidR="003F6AF4" w:rsidRDefault="00000000">
      <w:pPr>
        <w:pStyle w:val="FigureNote"/>
      </w:pPr>
      <w:r>
        <w:rPr>
          <w:i/>
          <w:iCs/>
        </w:rPr>
        <w:t>Note</w:t>
      </w:r>
      <w:r>
        <w:t>.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14:paraId="6A3E4D87" w14:textId="77777777" w:rsidR="003F6AF4" w:rsidRDefault="00000000">
      <w:r>
        <w:br w:type="page"/>
      </w:r>
    </w:p>
    <w:p w14:paraId="73311DEA" w14:textId="77777777" w:rsidR="003F6AF4" w:rsidRDefault="00000000">
      <w:pPr>
        <w:pStyle w:val="FigureTitle"/>
      </w:pPr>
      <w:bookmarkStart w:id="54" w:name="tbl-s2-reg"/>
      <w:r>
        <w:lastRenderedPageBreak/>
        <w:t>Table 6</w:t>
      </w:r>
    </w:p>
    <w:p w14:paraId="3E558D19" w14:textId="77777777" w:rsidR="003F6AF4" w:rsidRDefault="00000000">
      <w:pPr>
        <w:pStyle w:val="Caption"/>
      </w:pPr>
      <w:r>
        <w:rPr>
          <w:b/>
          <w:bCs/>
        </w:rPr>
        <w:t>Experiment 2.</w:t>
      </w:r>
      <w:r>
        <w:t xml:space="preserve"> Parameter estimates from the ordinal regression model</w:t>
      </w:r>
    </w:p>
    <w:tbl>
      <w:tblPr>
        <w:tblStyle w:val="Table"/>
        <w:tblW w:w="0" w:type="auto"/>
        <w:tblLook w:val="0020" w:firstRow="1" w:lastRow="0" w:firstColumn="0" w:lastColumn="0" w:noHBand="0" w:noVBand="0"/>
      </w:tblPr>
      <w:tblGrid>
        <w:gridCol w:w="2116"/>
        <w:gridCol w:w="956"/>
        <w:gridCol w:w="1103"/>
        <w:gridCol w:w="1076"/>
        <w:gridCol w:w="536"/>
      </w:tblGrid>
      <w:tr w:rsidR="003F6AF4" w14:paraId="52599C7D" w14:textId="77777777" w:rsidTr="003F6AF4">
        <w:trPr>
          <w:cnfStyle w:val="100000000000" w:firstRow="1" w:lastRow="0" w:firstColumn="0" w:lastColumn="0" w:oddVBand="0" w:evenVBand="0" w:oddHBand="0" w:evenHBand="0" w:firstRowFirstColumn="0" w:firstRowLastColumn="0" w:lastRowFirstColumn="0" w:lastRowLastColumn="0"/>
          <w:tblHeader/>
        </w:trPr>
        <w:tc>
          <w:tcPr>
            <w:tcW w:w="0" w:type="auto"/>
          </w:tcPr>
          <w:p w14:paraId="7312D1EB" w14:textId="77777777" w:rsidR="003F6AF4" w:rsidRDefault="00000000">
            <w:pPr>
              <w:pStyle w:val="Compact"/>
            </w:pPr>
            <w:r>
              <w:t>Parameter</w:t>
            </w:r>
          </w:p>
        </w:tc>
        <w:tc>
          <w:tcPr>
            <w:tcW w:w="0" w:type="auto"/>
          </w:tcPr>
          <w:p w14:paraId="340C1C68" w14:textId="77777777" w:rsidR="003F6AF4" w:rsidRDefault="00000000">
            <w:pPr>
              <w:pStyle w:val="Compact"/>
            </w:pPr>
            <w:r>
              <w:t>Estimate</w:t>
            </w:r>
          </w:p>
        </w:tc>
        <w:tc>
          <w:tcPr>
            <w:tcW w:w="0" w:type="auto"/>
          </w:tcPr>
          <w:p w14:paraId="4FAA9B2C" w14:textId="77777777" w:rsidR="003F6AF4" w:rsidRDefault="00000000">
            <w:pPr>
              <w:pStyle w:val="Compact"/>
            </w:pPr>
            <w:r>
              <w:t>CI_Lower</w:t>
            </w:r>
          </w:p>
        </w:tc>
        <w:tc>
          <w:tcPr>
            <w:tcW w:w="0" w:type="auto"/>
          </w:tcPr>
          <w:p w14:paraId="5F0FB535" w14:textId="77777777" w:rsidR="003F6AF4" w:rsidRDefault="00000000">
            <w:pPr>
              <w:pStyle w:val="Compact"/>
            </w:pPr>
            <w:r>
              <w:t>CI_Upper</w:t>
            </w:r>
          </w:p>
        </w:tc>
        <w:tc>
          <w:tcPr>
            <w:tcW w:w="0" w:type="auto"/>
          </w:tcPr>
          <w:p w14:paraId="78A7A45E" w14:textId="77777777" w:rsidR="003F6AF4" w:rsidRDefault="00000000">
            <w:pPr>
              <w:pStyle w:val="Compact"/>
            </w:pPr>
            <w:r>
              <w:t>pd</w:t>
            </w:r>
          </w:p>
        </w:tc>
      </w:tr>
      <w:tr w:rsidR="003F6AF4" w14:paraId="57C0EE75" w14:textId="77777777">
        <w:tc>
          <w:tcPr>
            <w:tcW w:w="0" w:type="auto"/>
          </w:tcPr>
          <w:p w14:paraId="52D5484B" w14:textId="77777777" w:rsidR="003F6AF4" w:rsidRDefault="00000000">
            <w:pPr>
              <w:pStyle w:val="Compact"/>
            </w:pPr>
            <w:r>
              <w:t>Intercept[1]</w:t>
            </w:r>
          </w:p>
        </w:tc>
        <w:tc>
          <w:tcPr>
            <w:tcW w:w="0" w:type="auto"/>
          </w:tcPr>
          <w:p w14:paraId="5B4339C4" w14:textId="77777777" w:rsidR="003F6AF4" w:rsidRDefault="00000000">
            <w:pPr>
              <w:pStyle w:val="Compact"/>
            </w:pPr>
            <w:r>
              <w:t>-1.45</w:t>
            </w:r>
          </w:p>
        </w:tc>
        <w:tc>
          <w:tcPr>
            <w:tcW w:w="0" w:type="auto"/>
          </w:tcPr>
          <w:p w14:paraId="3D0BE9D9" w14:textId="77777777" w:rsidR="003F6AF4" w:rsidRDefault="00000000">
            <w:pPr>
              <w:pStyle w:val="Compact"/>
            </w:pPr>
            <w:r>
              <w:t>-2.85</w:t>
            </w:r>
          </w:p>
        </w:tc>
        <w:tc>
          <w:tcPr>
            <w:tcW w:w="0" w:type="auto"/>
          </w:tcPr>
          <w:p w14:paraId="0D16F4EA" w14:textId="77777777" w:rsidR="003F6AF4" w:rsidRDefault="00000000">
            <w:pPr>
              <w:pStyle w:val="Compact"/>
            </w:pPr>
            <w:r>
              <w:t>-0.07</w:t>
            </w:r>
          </w:p>
        </w:tc>
        <w:tc>
          <w:tcPr>
            <w:tcW w:w="0" w:type="auto"/>
          </w:tcPr>
          <w:p w14:paraId="44BE68A2" w14:textId="77777777" w:rsidR="003F6AF4" w:rsidRDefault="00000000">
            <w:pPr>
              <w:pStyle w:val="Compact"/>
            </w:pPr>
            <w:r>
              <w:t>0.98</w:t>
            </w:r>
          </w:p>
        </w:tc>
      </w:tr>
      <w:tr w:rsidR="003F6AF4" w14:paraId="6FEC5D6C" w14:textId="77777777">
        <w:tc>
          <w:tcPr>
            <w:tcW w:w="0" w:type="auto"/>
          </w:tcPr>
          <w:p w14:paraId="1F88F604" w14:textId="77777777" w:rsidR="003F6AF4" w:rsidRDefault="00000000">
            <w:pPr>
              <w:pStyle w:val="Compact"/>
            </w:pPr>
            <w:r>
              <w:t>Intercept[2]</w:t>
            </w:r>
          </w:p>
        </w:tc>
        <w:tc>
          <w:tcPr>
            <w:tcW w:w="0" w:type="auto"/>
          </w:tcPr>
          <w:p w14:paraId="6452C66D" w14:textId="77777777" w:rsidR="003F6AF4" w:rsidRDefault="00000000">
            <w:pPr>
              <w:pStyle w:val="Compact"/>
            </w:pPr>
            <w:r>
              <w:t>1.26</w:t>
            </w:r>
          </w:p>
        </w:tc>
        <w:tc>
          <w:tcPr>
            <w:tcW w:w="0" w:type="auto"/>
          </w:tcPr>
          <w:p w14:paraId="56932EAB" w14:textId="77777777" w:rsidR="003F6AF4" w:rsidRDefault="00000000">
            <w:pPr>
              <w:pStyle w:val="Compact"/>
            </w:pPr>
            <w:r>
              <w:t>-0.09</w:t>
            </w:r>
          </w:p>
        </w:tc>
        <w:tc>
          <w:tcPr>
            <w:tcW w:w="0" w:type="auto"/>
          </w:tcPr>
          <w:p w14:paraId="6772459D" w14:textId="77777777" w:rsidR="003F6AF4" w:rsidRDefault="00000000">
            <w:pPr>
              <w:pStyle w:val="Compact"/>
            </w:pPr>
            <w:r>
              <w:t>2.65</w:t>
            </w:r>
          </w:p>
        </w:tc>
        <w:tc>
          <w:tcPr>
            <w:tcW w:w="0" w:type="auto"/>
          </w:tcPr>
          <w:p w14:paraId="25E57CAA" w14:textId="77777777" w:rsidR="003F6AF4" w:rsidRDefault="00000000">
            <w:pPr>
              <w:pStyle w:val="Compact"/>
            </w:pPr>
            <w:r>
              <w:t>0.97</w:t>
            </w:r>
          </w:p>
        </w:tc>
      </w:tr>
      <w:tr w:rsidR="003F6AF4" w14:paraId="5358C113" w14:textId="77777777">
        <w:tc>
          <w:tcPr>
            <w:tcW w:w="0" w:type="auto"/>
          </w:tcPr>
          <w:p w14:paraId="59C8E601" w14:textId="77777777" w:rsidR="003F6AF4" w:rsidRDefault="00000000">
            <w:pPr>
              <w:pStyle w:val="Compact"/>
            </w:pPr>
            <w:r>
              <w:t>RefClass-Percentage</w:t>
            </w:r>
          </w:p>
        </w:tc>
        <w:tc>
          <w:tcPr>
            <w:tcW w:w="0" w:type="auto"/>
          </w:tcPr>
          <w:p w14:paraId="0B2C9241" w14:textId="77777777" w:rsidR="003F6AF4" w:rsidRDefault="00000000">
            <w:pPr>
              <w:pStyle w:val="Compact"/>
            </w:pPr>
            <w:r>
              <w:t>1.02</w:t>
            </w:r>
          </w:p>
        </w:tc>
        <w:tc>
          <w:tcPr>
            <w:tcW w:w="0" w:type="auto"/>
          </w:tcPr>
          <w:p w14:paraId="47F36B94" w14:textId="77777777" w:rsidR="003F6AF4" w:rsidRDefault="00000000">
            <w:pPr>
              <w:pStyle w:val="Compact"/>
            </w:pPr>
            <w:r>
              <w:t>-0.63</w:t>
            </w:r>
          </w:p>
        </w:tc>
        <w:tc>
          <w:tcPr>
            <w:tcW w:w="0" w:type="auto"/>
          </w:tcPr>
          <w:p w14:paraId="6072EDCC" w14:textId="77777777" w:rsidR="003F6AF4" w:rsidRDefault="00000000">
            <w:pPr>
              <w:pStyle w:val="Compact"/>
            </w:pPr>
            <w:r>
              <w:t>2.71</w:t>
            </w:r>
          </w:p>
        </w:tc>
        <w:tc>
          <w:tcPr>
            <w:tcW w:w="0" w:type="auto"/>
          </w:tcPr>
          <w:p w14:paraId="34198D91" w14:textId="77777777" w:rsidR="003F6AF4" w:rsidRDefault="00000000">
            <w:pPr>
              <w:pStyle w:val="Compact"/>
            </w:pPr>
            <w:r>
              <w:t>0.89</w:t>
            </w:r>
          </w:p>
        </w:tc>
      </w:tr>
      <w:tr w:rsidR="003F6AF4" w14:paraId="1C99C080" w14:textId="77777777">
        <w:tc>
          <w:tcPr>
            <w:tcW w:w="0" w:type="auto"/>
          </w:tcPr>
          <w:p w14:paraId="0EF3E819" w14:textId="77777777" w:rsidR="003F6AF4" w:rsidRDefault="00000000">
            <w:pPr>
              <w:pStyle w:val="Compact"/>
            </w:pPr>
            <w:r>
              <w:t>RefClass-USD</w:t>
            </w:r>
          </w:p>
        </w:tc>
        <w:tc>
          <w:tcPr>
            <w:tcW w:w="0" w:type="auto"/>
          </w:tcPr>
          <w:p w14:paraId="3E1BB3AA" w14:textId="77777777" w:rsidR="003F6AF4" w:rsidRDefault="00000000">
            <w:pPr>
              <w:pStyle w:val="Compact"/>
            </w:pPr>
            <w:r>
              <w:t>2.27</w:t>
            </w:r>
          </w:p>
        </w:tc>
        <w:tc>
          <w:tcPr>
            <w:tcW w:w="0" w:type="auto"/>
          </w:tcPr>
          <w:p w14:paraId="47C85D85" w14:textId="77777777" w:rsidR="003F6AF4" w:rsidRDefault="00000000">
            <w:pPr>
              <w:pStyle w:val="Compact"/>
            </w:pPr>
            <w:r>
              <w:t>0.53</w:t>
            </w:r>
          </w:p>
        </w:tc>
        <w:tc>
          <w:tcPr>
            <w:tcW w:w="0" w:type="auto"/>
          </w:tcPr>
          <w:p w14:paraId="6CB88C35" w14:textId="77777777" w:rsidR="003F6AF4" w:rsidRDefault="00000000">
            <w:pPr>
              <w:pStyle w:val="Compact"/>
            </w:pPr>
            <w:r>
              <w:t>3.98</w:t>
            </w:r>
          </w:p>
        </w:tc>
        <w:tc>
          <w:tcPr>
            <w:tcW w:w="0" w:type="auto"/>
          </w:tcPr>
          <w:p w14:paraId="7EE7C5BC" w14:textId="77777777" w:rsidR="003F6AF4" w:rsidRDefault="00000000">
            <w:pPr>
              <w:pStyle w:val="Compact"/>
            </w:pPr>
            <w:r>
              <w:t>0.99</w:t>
            </w:r>
          </w:p>
        </w:tc>
      </w:tr>
      <w:tr w:rsidR="003F6AF4" w14:paraId="57F2D2D4" w14:textId="77777777">
        <w:tc>
          <w:tcPr>
            <w:tcW w:w="0" w:type="auto"/>
          </w:tcPr>
          <w:p w14:paraId="517AA413" w14:textId="77777777" w:rsidR="003F6AF4" w:rsidRDefault="00000000">
            <w:pPr>
              <w:pStyle w:val="Compact"/>
            </w:pPr>
            <w:r>
              <w:t>calc-NoCalculator</w:t>
            </w:r>
          </w:p>
        </w:tc>
        <w:tc>
          <w:tcPr>
            <w:tcW w:w="0" w:type="auto"/>
          </w:tcPr>
          <w:p w14:paraId="68F541DE" w14:textId="77777777" w:rsidR="003F6AF4" w:rsidRDefault="00000000">
            <w:pPr>
              <w:pStyle w:val="Compact"/>
            </w:pPr>
            <w:r>
              <w:t>4.10</w:t>
            </w:r>
          </w:p>
        </w:tc>
        <w:tc>
          <w:tcPr>
            <w:tcW w:w="0" w:type="auto"/>
          </w:tcPr>
          <w:p w14:paraId="23ECE11A" w14:textId="77777777" w:rsidR="003F6AF4" w:rsidRDefault="00000000">
            <w:pPr>
              <w:pStyle w:val="Compact"/>
            </w:pPr>
            <w:r>
              <w:t>2.20</w:t>
            </w:r>
          </w:p>
        </w:tc>
        <w:tc>
          <w:tcPr>
            <w:tcW w:w="0" w:type="auto"/>
          </w:tcPr>
          <w:p w14:paraId="51847B29" w14:textId="77777777" w:rsidR="003F6AF4" w:rsidRDefault="00000000">
            <w:pPr>
              <w:pStyle w:val="Compact"/>
            </w:pPr>
            <w:r>
              <w:t>6.06</w:t>
            </w:r>
          </w:p>
        </w:tc>
        <w:tc>
          <w:tcPr>
            <w:tcW w:w="0" w:type="auto"/>
          </w:tcPr>
          <w:p w14:paraId="6275B021" w14:textId="77777777" w:rsidR="003F6AF4" w:rsidRDefault="00000000">
            <w:pPr>
              <w:pStyle w:val="Compact"/>
            </w:pPr>
            <w:r>
              <w:t>1.00</w:t>
            </w:r>
          </w:p>
        </w:tc>
      </w:tr>
      <w:tr w:rsidR="003F6AF4" w14:paraId="1A2A0F5F" w14:textId="77777777">
        <w:tc>
          <w:tcPr>
            <w:tcW w:w="0" w:type="auto"/>
          </w:tcPr>
          <w:p w14:paraId="198EFDFD" w14:textId="77777777" w:rsidR="003F6AF4" w:rsidRDefault="00000000">
            <w:pPr>
              <w:pStyle w:val="Compact"/>
            </w:pPr>
            <w:r>
              <w:t>pct_goal15%</w:t>
            </w:r>
          </w:p>
        </w:tc>
        <w:tc>
          <w:tcPr>
            <w:tcW w:w="0" w:type="auto"/>
          </w:tcPr>
          <w:p w14:paraId="1DB286C3" w14:textId="77777777" w:rsidR="003F6AF4" w:rsidRDefault="00000000">
            <w:pPr>
              <w:pStyle w:val="Compact"/>
            </w:pPr>
            <w:r>
              <w:t>-0.39</w:t>
            </w:r>
          </w:p>
        </w:tc>
        <w:tc>
          <w:tcPr>
            <w:tcW w:w="0" w:type="auto"/>
          </w:tcPr>
          <w:p w14:paraId="64E8B4FD" w14:textId="77777777" w:rsidR="003F6AF4" w:rsidRDefault="00000000">
            <w:pPr>
              <w:pStyle w:val="Compact"/>
            </w:pPr>
            <w:r>
              <w:t>-0.81</w:t>
            </w:r>
          </w:p>
        </w:tc>
        <w:tc>
          <w:tcPr>
            <w:tcW w:w="0" w:type="auto"/>
          </w:tcPr>
          <w:p w14:paraId="4E74390F" w14:textId="77777777" w:rsidR="003F6AF4" w:rsidRDefault="00000000">
            <w:pPr>
              <w:pStyle w:val="Compact"/>
            </w:pPr>
            <w:r>
              <w:t>0.04</w:t>
            </w:r>
          </w:p>
        </w:tc>
        <w:tc>
          <w:tcPr>
            <w:tcW w:w="0" w:type="auto"/>
          </w:tcPr>
          <w:p w14:paraId="5BBDC48C" w14:textId="77777777" w:rsidR="003F6AF4" w:rsidRDefault="00000000">
            <w:pPr>
              <w:pStyle w:val="Compact"/>
            </w:pPr>
            <w:r>
              <w:t>0.96</w:t>
            </w:r>
          </w:p>
        </w:tc>
      </w:tr>
      <w:tr w:rsidR="003F6AF4" w14:paraId="54351F8C" w14:textId="77777777">
        <w:tc>
          <w:tcPr>
            <w:tcW w:w="0" w:type="auto"/>
          </w:tcPr>
          <w:p w14:paraId="5A9C6130" w14:textId="77777777" w:rsidR="003F6AF4" w:rsidRDefault="00000000">
            <w:pPr>
              <w:pStyle w:val="Compact"/>
            </w:pPr>
            <w:r>
              <w:t>rounded-Rounded</w:t>
            </w:r>
          </w:p>
        </w:tc>
        <w:tc>
          <w:tcPr>
            <w:tcW w:w="0" w:type="auto"/>
          </w:tcPr>
          <w:p w14:paraId="3C4958B0" w14:textId="77777777" w:rsidR="003F6AF4" w:rsidRDefault="00000000">
            <w:pPr>
              <w:pStyle w:val="Compact"/>
            </w:pPr>
            <w:r>
              <w:t>-0.53</w:t>
            </w:r>
          </w:p>
        </w:tc>
        <w:tc>
          <w:tcPr>
            <w:tcW w:w="0" w:type="auto"/>
          </w:tcPr>
          <w:p w14:paraId="64DC2124" w14:textId="77777777" w:rsidR="003F6AF4" w:rsidRDefault="00000000">
            <w:pPr>
              <w:pStyle w:val="Compact"/>
            </w:pPr>
            <w:r>
              <w:t>-0.96</w:t>
            </w:r>
          </w:p>
        </w:tc>
        <w:tc>
          <w:tcPr>
            <w:tcW w:w="0" w:type="auto"/>
          </w:tcPr>
          <w:p w14:paraId="6BF04DAC" w14:textId="77777777" w:rsidR="003F6AF4" w:rsidRDefault="00000000">
            <w:pPr>
              <w:pStyle w:val="Compact"/>
            </w:pPr>
            <w:r>
              <w:t>-0.11</w:t>
            </w:r>
          </w:p>
        </w:tc>
        <w:tc>
          <w:tcPr>
            <w:tcW w:w="0" w:type="auto"/>
          </w:tcPr>
          <w:p w14:paraId="7CE0B964" w14:textId="77777777" w:rsidR="003F6AF4" w:rsidRDefault="00000000">
            <w:pPr>
              <w:pStyle w:val="Compact"/>
            </w:pPr>
            <w:r>
              <w:t>0.99</w:t>
            </w:r>
          </w:p>
        </w:tc>
      </w:tr>
    </w:tbl>
    <w:bookmarkEnd w:id="54"/>
    <w:p w14:paraId="15081F32" w14:textId="77777777" w:rsidR="003F6AF4" w:rsidRDefault="00000000">
      <w:pPr>
        <w:pStyle w:val="FigureNote"/>
      </w:pPr>
      <w:r>
        <w:rPr>
          <w:i/>
          <w:iCs/>
        </w:rPr>
        <w:t>Note</w:t>
      </w:r>
      <w:r>
        <w:t>. Ordinal regression results. Positive coefficients for the reference class predictors indicate that those conditions are associated with higher error categories relative to the kWh baseline. Coefficients for calc are in reference to the ‘Used Calculator’ group, coefficient for the pct_goal is in reference to the 10% goal, and coefficient for rounded is in reference to the ‘Not Rounded’ group.</w:t>
      </w:r>
    </w:p>
    <w:p w14:paraId="73A172C4" w14:textId="77777777" w:rsidR="003F6AF4" w:rsidRDefault="00000000">
      <w:r>
        <w:br w:type="page"/>
      </w:r>
    </w:p>
    <w:p w14:paraId="13BCAC7C" w14:textId="77777777" w:rsidR="003F6AF4" w:rsidRDefault="00000000">
      <w:pPr>
        <w:pStyle w:val="FigureTitle"/>
      </w:pPr>
      <w:bookmarkStart w:id="55" w:name="tbl-s2-ord"/>
      <w:r>
        <w:lastRenderedPageBreak/>
        <w:t>Table 7</w:t>
      </w:r>
    </w:p>
    <w:p w14:paraId="4831DE73" w14:textId="77777777" w:rsidR="003F6AF4" w:rsidRDefault="00000000">
      <w:pPr>
        <w:pStyle w:val="Caption"/>
      </w:pPr>
      <w:r>
        <w:rPr>
          <w:b/>
          <w:bCs/>
        </w:rPr>
        <w:t>Experiment 2.</w:t>
      </w:r>
      <w:r>
        <w:t xml:space="preserve"> Odds ratios for group comparisons</w:t>
      </w:r>
    </w:p>
    <w:tbl>
      <w:tblPr>
        <w:tblStyle w:val="Table"/>
        <w:tblW w:w="0" w:type="auto"/>
        <w:tblLook w:val="0020" w:firstRow="1" w:lastRow="0" w:firstColumn="0" w:lastColumn="0" w:noHBand="0" w:noVBand="0"/>
      </w:tblPr>
      <w:tblGrid>
        <w:gridCol w:w="2383"/>
        <w:gridCol w:w="1130"/>
        <w:gridCol w:w="956"/>
        <w:gridCol w:w="956"/>
      </w:tblGrid>
      <w:tr w:rsidR="003F6AF4" w14:paraId="330BBAB0" w14:textId="77777777" w:rsidTr="003F6AF4">
        <w:trPr>
          <w:cnfStyle w:val="100000000000" w:firstRow="1" w:lastRow="0" w:firstColumn="0" w:lastColumn="0" w:oddVBand="0" w:evenVBand="0" w:oddHBand="0" w:evenHBand="0" w:firstRowFirstColumn="0" w:firstRowLastColumn="0" w:lastRowFirstColumn="0" w:lastRowLastColumn="0"/>
          <w:tblHeader/>
        </w:trPr>
        <w:tc>
          <w:tcPr>
            <w:tcW w:w="0" w:type="auto"/>
          </w:tcPr>
          <w:p w14:paraId="3C2FAD9B" w14:textId="77777777" w:rsidR="003F6AF4" w:rsidRDefault="00000000">
            <w:pPr>
              <w:pStyle w:val="Compact"/>
            </w:pPr>
            <w:r>
              <w:t>comparison</w:t>
            </w:r>
          </w:p>
        </w:tc>
        <w:tc>
          <w:tcPr>
            <w:tcW w:w="0" w:type="auto"/>
          </w:tcPr>
          <w:p w14:paraId="0C23E642" w14:textId="77777777" w:rsidR="003F6AF4" w:rsidRDefault="00000000">
            <w:pPr>
              <w:pStyle w:val="Compact"/>
            </w:pPr>
            <w:r>
              <w:t>odds_ratio</w:t>
            </w:r>
          </w:p>
        </w:tc>
        <w:tc>
          <w:tcPr>
            <w:tcW w:w="0" w:type="auto"/>
          </w:tcPr>
          <w:p w14:paraId="58452860" w14:textId="77777777" w:rsidR="003F6AF4" w:rsidRDefault="00000000">
            <w:pPr>
              <w:pStyle w:val="Compact"/>
            </w:pPr>
            <w:r>
              <w:t>ci_lower</w:t>
            </w:r>
          </w:p>
        </w:tc>
        <w:tc>
          <w:tcPr>
            <w:tcW w:w="0" w:type="auto"/>
          </w:tcPr>
          <w:p w14:paraId="702ABFC4" w14:textId="77777777" w:rsidR="003F6AF4" w:rsidRDefault="00000000">
            <w:pPr>
              <w:pStyle w:val="Compact"/>
            </w:pPr>
            <w:r>
              <w:t>ci_upper</w:t>
            </w:r>
          </w:p>
        </w:tc>
      </w:tr>
      <w:tr w:rsidR="003F6AF4" w14:paraId="2B8E63ED" w14:textId="77777777">
        <w:tc>
          <w:tcPr>
            <w:tcW w:w="0" w:type="auto"/>
          </w:tcPr>
          <w:p w14:paraId="6405CEC6" w14:textId="77777777" w:rsidR="003F6AF4" w:rsidRDefault="00000000">
            <w:pPr>
              <w:pStyle w:val="Compact"/>
            </w:pPr>
            <w:r>
              <w:t>Percentage vs kWh</w:t>
            </w:r>
          </w:p>
        </w:tc>
        <w:tc>
          <w:tcPr>
            <w:tcW w:w="0" w:type="auto"/>
          </w:tcPr>
          <w:p w14:paraId="4DDA5DCB" w14:textId="77777777" w:rsidR="003F6AF4" w:rsidRDefault="00000000">
            <w:pPr>
              <w:pStyle w:val="Compact"/>
            </w:pPr>
            <w:r>
              <w:t>2.78</w:t>
            </w:r>
          </w:p>
        </w:tc>
        <w:tc>
          <w:tcPr>
            <w:tcW w:w="0" w:type="auto"/>
          </w:tcPr>
          <w:p w14:paraId="4D4D02BF" w14:textId="77777777" w:rsidR="003F6AF4" w:rsidRDefault="00000000">
            <w:pPr>
              <w:pStyle w:val="Compact"/>
            </w:pPr>
            <w:r>
              <w:t>0.53</w:t>
            </w:r>
          </w:p>
        </w:tc>
        <w:tc>
          <w:tcPr>
            <w:tcW w:w="0" w:type="auto"/>
          </w:tcPr>
          <w:p w14:paraId="1E6F369A" w14:textId="77777777" w:rsidR="003F6AF4" w:rsidRDefault="00000000">
            <w:pPr>
              <w:pStyle w:val="Compact"/>
            </w:pPr>
            <w:r>
              <w:t>15.0</w:t>
            </w:r>
          </w:p>
        </w:tc>
      </w:tr>
      <w:tr w:rsidR="003F6AF4" w14:paraId="7615EFDB" w14:textId="77777777">
        <w:tc>
          <w:tcPr>
            <w:tcW w:w="0" w:type="auto"/>
          </w:tcPr>
          <w:p w14:paraId="109C347F" w14:textId="77777777" w:rsidR="003F6AF4" w:rsidRDefault="00000000">
            <w:pPr>
              <w:pStyle w:val="Compact"/>
            </w:pPr>
            <w:r>
              <w:t>USD vs kWh</w:t>
            </w:r>
          </w:p>
        </w:tc>
        <w:tc>
          <w:tcPr>
            <w:tcW w:w="0" w:type="auto"/>
          </w:tcPr>
          <w:p w14:paraId="5396A4DB" w14:textId="77777777" w:rsidR="003F6AF4" w:rsidRDefault="00000000">
            <w:pPr>
              <w:pStyle w:val="Compact"/>
            </w:pPr>
            <w:r>
              <w:t>9.68</w:t>
            </w:r>
          </w:p>
        </w:tc>
        <w:tc>
          <w:tcPr>
            <w:tcW w:w="0" w:type="auto"/>
          </w:tcPr>
          <w:p w14:paraId="553F52A7" w14:textId="77777777" w:rsidR="003F6AF4" w:rsidRDefault="00000000">
            <w:pPr>
              <w:pStyle w:val="Compact"/>
            </w:pPr>
            <w:r>
              <w:t>1.69</w:t>
            </w:r>
          </w:p>
        </w:tc>
        <w:tc>
          <w:tcPr>
            <w:tcW w:w="0" w:type="auto"/>
          </w:tcPr>
          <w:p w14:paraId="7952BC7D" w14:textId="77777777" w:rsidR="003F6AF4" w:rsidRDefault="00000000">
            <w:pPr>
              <w:pStyle w:val="Compact"/>
            </w:pPr>
            <w:r>
              <w:t>53.4</w:t>
            </w:r>
          </w:p>
        </w:tc>
      </w:tr>
      <w:tr w:rsidR="003F6AF4" w14:paraId="43B9DB37" w14:textId="77777777">
        <w:tc>
          <w:tcPr>
            <w:tcW w:w="0" w:type="auto"/>
          </w:tcPr>
          <w:p w14:paraId="429FACB4" w14:textId="77777777" w:rsidR="003F6AF4" w:rsidRDefault="00000000">
            <w:pPr>
              <w:pStyle w:val="Compact"/>
            </w:pPr>
            <w:r>
              <w:t>calc-NoCalculator</w:t>
            </w:r>
          </w:p>
        </w:tc>
        <w:tc>
          <w:tcPr>
            <w:tcW w:w="0" w:type="auto"/>
          </w:tcPr>
          <w:p w14:paraId="02B150E2" w14:textId="77777777" w:rsidR="003F6AF4" w:rsidRDefault="00000000">
            <w:pPr>
              <w:pStyle w:val="Compact"/>
            </w:pPr>
            <w:r>
              <w:t>60.37</w:t>
            </w:r>
          </w:p>
        </w:tc>
        <w:tc>
          <w:tcPr>
            <w:tcW w:w="0" w:type="auto"/>
          </w:tcPr>
          <w:p w14:paraId="67789942" w14:textId="77777777" w:rsidR="003F6AF4" w:rsidRDefault="00000000">
            <w:pPr>
              <w:pStyle w:val="Compact"/>
            </w:pPr>
            <w:r>
              <w:t>9.02</w:t>
            </w:r>
          </w:p>
        </w:tc>
        <w:tc>
          <w:tcPr>
            <w:tcW w:w="0" w:type="auto"/>
          </w:tcPr>
          <w:p w14:paraId="189C6ACC" w14:textId="77777777" w:rsidR="003F6AF4" w:rsidRDefault="00000000">
            <w:pPr>
              <w:pStyle w:val="Compact"/>
            </w:pPr>
            <w:r>
              <w:t>426.4</w:t>
            </w:r>
          </w:p>
        </w:tc>
      </w:tr>
      <w:tr w:rsidR="003F6AF4" w14:paraId="55885C5C" w14:textId="77777777">
        <w:tc>
          <w:tcPr>
            <w:tcW w:w="0" w:type="auto"/>
          </w:tcPr>
          <w:p w14:paraId="4C1BB548" w14:textId="77777777" w:rsidR="003F6AF4" w:rsidRDefault="00000000">
            <w:pPr>
              <w:pStyle w:val="Compact"/>
            </w:pPr>
            <w:r>
              <w:t>15% Goal vs 10% Goal</w:t>
            </w:r>
          </w:p>
        </w:tc>
        <w:tc>
          <w:tcPr>
            <w:tcW w:w="0" w:type="auto"/>
          </w:tcPr>
          <w:p w14:paraId="5E065F00" w14:textId="77777777" w:rsidR="003F6AF4" w:rsidRDefault="00000000">
            <w:pPr>
              <w:pStyle w:val="Compact"/>
            </w:pPr>
            <w:r>
              <w:t>0.68</w:t>
            </w:r>
          </w:p>
        </w:tc>
        <w:tc>
          <w:tcPr>
            <w:tcW w:w="0" w:type="auto"/>
          </w:tcPr>
          <w:p w14:paraId="357766A8" w14:textId="77777777" w:rsidR="003F6AF4" w:rsidRDefault="00000000">
            <w:pPr>
              <w:pStyle w:val="Compact"/>
            </w:pPr>
            <w:r>
              <w:t>0.44</w:t>
            </w:r>
          </w:p>
        </w:tc>
        <w:tc>
          <w:tcPr>
            <w:tcW w:w="0" w:type="auto"/>
          </w:tcPr>
          <w:p w14:paraId="40AA04D6" w14:textId="77777777" w:rsidR="003F6AF4" w:rsidRDefault="00000000">
            <w:pPr>
              <w:pStyle w:val="Compact"/>
            </w:pPr>
            <w:r>
              <w:t>1.0</w:t>
            </w:r>
          </w:p>
        </w:tc>
      </w:tr>
      <w:tr w:rsidR="003F6AF4" w14:paraId="55E6A0F8" w14:textId="77777777">
        <w:tc>
          <w:tcPr>
            <w:tcW w:w="0" w:type="auto"/>
          </w:tcPr>
          <w:p w14:paraId="6B4C0E5C" w14:textId="77777777" w:rsidR="003F6AF4" w:rsidRDefault="00000000">
            <w:pPr>
              <w:pStyle w:val="Compact"/>
            </w:pPr>
            <w:r>
              <w:t>Rounded vs Not</w:t>
            </w:r>
          </w:p>
        </w:tc>
        <w:tc>
          <w:tcPr>
            <w:tcW w:w="0" w:type="auto"/>
          </w:tcPr>
          <w:p w14:paraId="5FCFD090" w14:textId="77777777" w:rsidR="003F6AF4" w:rsidRDefault="00000000">
            <w:pPr>
              <w:pStyle w:val="Compact"/>
            </w:pPr>
            <w:r>
              <w:t>0.59</w:t>
            </w:r>
          </w:p>
        </w:tc>
        <w:tc>
          <w:tcPr>
            <w:tcW w:w="0" w:type="auto"/>
          </w:tcPr>
          <w:p w14:paraId="428108CB" w14:textId="77777777" w:rsidR="003F6AF4" w:rsidRDefault="00000000">
            <w:pPr>
              <w:pStyle w:val="Compact"/>
            </w:pPr>
            <w:r>
              <w:t>0.38</w:t>
            </w:r>
          </w:p>
        </w:tc>
        <w:tc>
          <w:tcPr>
            <w:tcW w:w="0" w:type="auto"/>
          </w:tcPr>
          <w:p w14:paraId="6B3B1D79" w14:textId="77777777" w:rsidR="003F6AF4" w:rsidRDefault="00000000">
            <w:pPr>
              <w:pStyle w:val="Compact"/>
            </w:pPr>
            <w:r>
              <w:t>0.9</w:t>
            </w:r>
          </w:p>
        </w:tc>
      </w:tr>
    </w:tbl>
    <w:bookmarkEnd w:id="55"/>
    <w:p w14:paraId="0BBA273C" w14:textId="77777777" w:rsidR="003F6AF4" w:rsidRDefault="00000000">
      <w:pPr>
        <w:pStyle w:val="FigureNote"/>
      </w:pPr>
      <w:r>
        <w:rPr>
          <w:i/>
          <w:iCs/>
        </w:rPr>
        <w:t>Note</w:t>
      </w:r>
      <w:r>
        <w:t>. Odds ratios greater than 1 indicate increased odds of falling into a worse accuracy category compared to the kWh condition</w:t>
      </w:r>
    </w:p>
    <w:p w14:paraId="7F7FD3CD" w14:textId="77777777" w:rsidR="003F6AF4" w:rsidRDefault="00000000">
      <w:r>
        <w:br w:type="page"/>
      </w:r>
    </w:p>
    <w:p w14:paraId="65ED69B7" w14:textId="77777777" w:rsidR="003F6AF4" w:rsidRDefault="00000000">
      <w:pPr>
        <w:pStyle w:val="FigureTitle"/>
      </w:pPr>
      <w:bookmarkStart w:id="56" w:name="fig-task"/>
      <w:r>
        <w:lastRenderedPageBreak/>
        <w:t>Figure 1</w:t>
      </w:r>
    </w:p>
    <w:p w14:paraId="5FFD7043" w14:textId="77777777" w:rsidR="003F6AF4" w:rsidRDefault="00000000">
      <w:pPr>
        <w:pStyle w:val="Caption"/>
      </w:pPr>
      <w:r>
        <w:t>Example energy planning task trial</w:t>
      </w:r>
    </w:p>
    <w:p w14:paraId="18C8B1EE" w14:textId="77777777" w:rsidR="003F6AF4" w:rsidRDefault="00000000">
      <w:pPr>
        <w:pStyle w:val="FigureWithNote"/>
      </w:pPr>
      <w:r>
        <w:rPr>
          <w:noProof/>
        </w:rPr>
        <w:drawing>
          <wp:inline distT="0" distB="0" distL="0" distR="0" wp14:anchorId="795091C5" wp14:editId="22F52788">
            <wp:extent cx="4754880" cy="54360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ssets/images/wells10e_pub.png"/>
                    <pic:cNvPicPr>
                      <a:picLocks noChangeAspect="1" noChangeArrowheads="1"/>
                    </pic:cNvPicPr>
                  </pic:nvPicPr>
                  <pic:blipFill>
                    <a:blip r:embed="rId30"/>
                    <a:stretch>
                      <a:fillRect/>
                    </a:stretch>
                  </pic:blipFill>
                  <pic:spPr bwMode="auto">
                    <a:xfrm>
                      <a:off x="0" y="0"/>
                      <a:ext cx="4754880" cy="5436001"/>
                    </a:xfrm>
                    <a:prstGeom prst="rect">
                      <a:avLst/>
                    </a:prstGeom>
                    <a:noFill/>
                    <a:ln w="9525">
                      <a:noFill/>
                      <a:headEnd/>
                      <a:tailEnd/>
                    </a:ln>
                  </pic:spPr>
                </pic:pic>
              </a:graphicData>
            </a:graphic>
          </wp:inline>
        </w:drawing>
      </w:r>
    </w:p>
    <w:bookmarkEnd w:id="56"/>
    <w:p w14:paraId="665EA70A" w14:textId="77777777" w:rsidR="003F6AF4" w:rsidRDefault="00000000">
      <w:pPr>
        <w:pStyle w:val="FigureNote"/>
      </w:pPr>
      <w:r>
        <w:rPr>
          <w:i/>
          <w:iCs/>
        </w:rPr>
        <w:t>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w:t>
      </w:r>
      <w:r>
        <w:lastRenderedPageBreak/>
        <w:t>conversion rate between kWh and USD. All participants completed two scenarios, and for each scenario, they proposed two distinct action plans</w:t>
      </w:r>
    </w:p>
    <w:p w14:paraId="583B1195" w14:textId="77777777" w:rsidR="003F6AF4" w:rsidRDefault="00000000">
      <w:r>
        <w:br w:type="page"/>
      </w:r>
    </w:p>
    <w:p w14:paraId="6D1E70FF" w14:textId="77777777" w:rsidR="003F6AF4" w:rsidRDefault="00000000">
      <w:pPr>
        <w:pStyle w:val="FigureTitle"/>
      </w:pPr>
      <w:bookmarkStart w:id="57" w:name="fig-s1-log-dist"/>
      <w:r>
        <w:lastRenderedPageBreak/>
        <w:t>Figure 2</w:t>
      </w:r>
    </w:p>
    <w:p w14:paraId="43E1C7BE" w14:textId="77777777" w:rsidR="003F6AF4" w:rsidRDefault="00000000">
      <w:pPr>
        <w:pStyle w:val="Caption"/>
      </w:pPr>
      <w:r>
        <w:t>Experiment 1: Planning Error Distributions</w:t>
      </w:r>
    </w:p>
    <w:p w14:paraId="47B8AD73" w14:textId="77777777" w:rsidR="003F6AF4" w:rsidRDefault="00000000">
      <w:pPr>
        <w:pStyle w:val="FigureWithNote"/>
      </w:pPr>
      <w:r>
        <w:rPr>
          <w:noProof/>
        </w:rPr>
        <w:drawing>
          <wp:inline distT="0" distB="0" distL="0" distR="0" wp14:anchorId="31FA54B7" wp14:editId="6B90AED2">
            <wp:extent cx="5943600" cy="4322618"/>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manuscript_files/figure-docx/fig-s1-log-dist-1.png"/>
                    <pic:cNvPicPr>
                      <a:picLocks noChangeAspect="1" noChangeArrowheads="1"/>
                    </pic:cNvPicPr>
                  </pic:nvPicPr>
                  <pic:blipFill>
                    <a:blip r:embed="rId31"/>
                    <a:stretch>
                      <a:fillRect/>
                    </a:stretch>
                  </pic:blipFill>
                  <pic:spPr bwMode="auto">
                    <a:xfrm>
                      <a:off x="0" y="0"/>
                      <a:ext cx="5943600" cy="4322618"/>
                    </a:xfrm>
                    <a:prstGeom prst="rect">
                      <a:avLst/>
                    </a:prstGeom>
                    <a:noFill/>
                    <a:ln w="9525">
                      <a:noFill/>
                      <a:headEnd/>
                      <a:tailEnd/>
                    </a:ln>
                  </pic:spPr>
                </pic:pic>
              </a:graphicData>
            </a:graphic>
          </wp:inline>
        </w:drawing>
      </w:r>
    </w:p>
    <w:bookmarkEnd w:id="57"/>
    <w:p w14:paraId="12E2DE0F" w14:textId="77777777" w:rsidR="003F6AF4"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246DB1A7" w14:textId="77777777" w:rsidR="003F6AF4" w:rsidRDefault="00000000">
      <w:r>
        <w:br w:type="page"/>
      </w:r>
    </w:p>
    <w:p w14:paraId="1F452318" w14:textId="77777777" w:rsidR="003F6AF4" w:rsidRDefault="00000000">
      <w:pPr>
        <w:pStyle w:val="FigureTitle"/>
      </w:pPr>
      <w:bookmarkStart w:id="58" w:name="fig-s1-ppd"/>
      <w:r>
        <w:lastRenderedPageBreak/>
        <w:t>Figure 3</w:t>
      </w:r>
    </w:p>
    <w:p w14:paraId="3A6017E0" w14:textId="77777777" w:rsidR="003F6AF4" w:rsidRDefault="00000000">
      <w:pPr>
        <w:pStyle w:val="Caption"/>
      </w:pPr>
      <w:r>
        <w:t>Experiment 1: Posterior Predictive Check</w:t>
      </w:r>
    </w:p>
    <w:p w14:paraId="1380C325" w14:textId="77777777" w:rsidR="003F6AF4" w:rsidRDefault="00000000">
      <w:pPr>
        <w:pStyle w:val="FigureWithNote"/>
      </w:pPr>
      <w:r>
        <w:rPr>
          <w:noProof/>
        </w:rPr>
        <w:drawing>
          <wp:inline distT="0" distB="0" distL="0" distR="0" wp14:anchorId="288F8CED" wp14:editId="261E2376">
            <wp:extent cx="5943600" cy="59436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manuscript_files/figure-docx/fig-s1-ppd-1.png"/>
                    <pic:cNvPicPr>
                      <a:picLocks noChangeAspect="1" noChangeArrowheads="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p>
    <w:bookmarkEnd w:id="58"/>
    <w:p w14:paraId="4DCB22F4" w14:textId="77777777" w:rsidR="003F6AF4"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0508D38B" w14:textId="77777777" w:rsidR="003F6AF4" w:rsidRDefault="00000000">
      <w:r>
        <w:lastRenderedPageBreak/>
        <w:br w:type="page"/>
      </w:r>
    </w:p>
    <w:p w14:paraId="3EA83A5D" w14:textId="77777777" w:rsidR="003F6AF4" w:rsidRDefault="00000000">
      <w:pPr>
        <w:pStyle w:val="FigureTitle"/>
      </w:pPr>
      <w:bookmarkStart w:id="59" w:name="fig-s1-els"/>
      <w:r>
        <w:lastRenderedPageBreak/>
        <w:t>Figure 4</w:t>
      </w:r>
    </w:p>
    <w:p w14:paraId="56D3C478" w14:textId="77777777" w:rsidR="003F6AF4" w:rsidRDefault="00000000">
      <w:pPr>
        <w:pStyle w:val="Caption"/>
      </w:pPr>
      <w:r>
        <w:t>Experiment 1. Conditional effect of energy literacy on log absolute error</w:t>
      </w:r>
    </w:p>
    <w:p w14:paraId="152522C3" w14:textId="77777777" w:rsidR="003F6AF4" w:rsidRDefault="00000000">
      <w:pPr>
        <w:pStyle w:val="FigureWithNote"/>
      </w:pPr>
      <w:r>
        <w:rPr>
          <w:noProof/>
        </w:rPr>
        <w:drawing>
          <wp:inline distT="0" distB="0" distL="0" distR="0" wp14:anchorId="6D4324A8" wp14:editId="43E2231D">
            <wp:extent cx="5943600" cy="59436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manuscript_files/figure-docx/fig-s1-els-1.png"/>
                    <pic:cNvPicPr>
                      <a:picLocks noChangeAspect="1" noChangeArrowheads="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bookmarkEnd w:id="59"/>
    <w:p w14:paraId="4CB34D49" w14:textId="77777777" w:rsidR="003F6AF4"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15A8B713" w14:textId="77777777" w:rsidR="003F6AF4" w:rsidRDefault="00000000">
      <w:r>
        <w:lastRenderedPageBreak/>
        <w:br w:type="page"/>
      </w:r>
    </w:p>
    <w:p w14:paraId="0484074F" w14:textId="77777777" w:rsidR="003F6AF4" w:rsidRDefault="00000000">
      <w:pPr>
        <w:pStyle w:val="FigureTitle"/>
      </w:pPr>
      <w:bookmarkStart w:id="60" w:name="fig-s2-log-dist"/>
      <w:r>
        <w:lastRenderedPageBreak/>
        <w:t>Figure 5</w:t>
      </w:r>
    </w:p>
    <w:p w14:paraId="5819060A" w14:textId="77777777" w:rsidR="003F6AF4" w:rsidRDefault="00000000">
      <w:pPr>
        <w:pStyle w:val="Caption"/>
      </w:pPr>
      <w:r>
        <w:t>Experiment 2: Planning Error Distributions</w:t>
      </w:r>
    </w:p>
    <w:p w14:paraId="53098B24" w14:textId="77777777" w:rsidR="003F6AF4" w:rsidRDefault="00000000">
      <w:pPr>
        <w:pStyle w:val="FigureWithNote"/>
      </w:pPr>
      <w:r>
        <w:rPr>
          <w:noProof/>
        </w:rPr>
        <w:drawing>
          <wp:inline distT="0" distB="0" distL="0" distR="0" wp14:anchorId="5569E088" wp14:editId="59D7A8CE">
            <wp:extent cx="5943600" cy="4322618"/>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manuscript_files/figure-docx/fig-s2-log-dist-1.png"/>
                    <pic:cNvPicPr>
                      <a:picLocks noChangeAspect="1" noChangeArrowheads="1"/>
                    </pic:cNvPicPr>
                  </pic:nvPicPr>
                  <pic:blipFill>
                    <a:blip r:embed="rId34"/>
                    <a:stretch>
                      <a:fillRect/>
                    </a:stretch>
                  </pic:blipFill>
                  <pic:spPr bwMode="auto">
                    <a:xfrm>
                      <a:off x="0" y="0"/>
                      <a:ext cx="5943600" cy="4322618"/>
                    </a:xfrm>
                    <a:prstGeom prst="rect">
                      <a:avLst/>
                    </a:prstGeom>
                    <a:noFill/>
                    <a:ln w="9525">
                      <a:noFill/>
                      <a:headEnd/>
                      <a:tailEnd/>
                    </a:ln>
                  </pic:spPr>
                </pic:pic>
              </a:graphicData>
            </a:graphic>
          </wp:inline>
        </w:drawing>
      </w:r>
    </w:p>
    <w:bookmarkEnd w:id="60"/>
    <w:p w14:paraId="302BD84B" w14:textId="77777777" w:rsidR="003F6AF4" w:rsidRDefault="00000000">
      <w:pPr>
        <w:pStyle w:val="FigureNote"/>
      </w:pPr>
      <w:r>
        <w:rPr>
          <w:i/>
          <w:iCs/>
        </w:rPr>
        <w:t>Note</w:t>
      </w:r>
      <w:r>
        <w:t>.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14:paraId="1D158486" w14:textId="77777777" w:rsidR="003F6AF4" w:rsidRDefault="00000000">
      <w:r>
        <w:br w:type="page"/>
      </w:r>
    </w:p>
    <w:p w14:paraId="5D89C2E6" w14:textId="77777777" w:rsidR="003F6AF4" w:rsidRDefault="00000000">
      <w:pPr>
        <w:pStyle w:val="FigureTitle"/>
      </w:pPr>
      <w:bookmarkStart w:id="61" w:name="fig-s2-ame"/>
      <w:r>
        <w:lastRenderedPageBreak/>
        <w:t>Figure 6</w:t>
      </w:r>
    </w:p>
    <w:p w14:paraId="0906D091" w14:textId="77777777" w:rsidR="003F6AF4" w:rsidRDefault="00000000">
      <w:pPr>
        <w:pStyle w:val="Caption"/>
      </w:pPr>
      <w:r>
        <w:t>Experiment 2. Average marginal effects of reference class on accuracy levels</w:t>
      </w:r>
    </w:p>
    <w:p w14:paraId="657C0A70" w14:textId="77777777" w:rsidR="003F6AF4" w:rsidRDefault="00000000">
      <w:pPr>
        <w:pStyle w:val="FigureWithNote"/>
      </w:pPr>
      <w:r>
        <w:rPr>
          <w:noProof/>
        </w:rPr>
        <w:drawing>
          <wp:inline distT="0" distB="0" distL="0" distR="0" wp14:anchorId="4173DA27" wp14:editId="1484D28D">
            <wp:extent cx="5943600" cy="4322618"/>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manuscript_files/figure-docx/fig-s2-ame-1.png"/>
                    <pic:cNvPicPr>
                      <a:picLocks noChangeAspect="1" noChangeArrowheads="1"/>
                    </pic:cNvPicPr>
                  </pic:nvPicPr>
                  <pic:blipFill>
                    <a:blip r:embed="rId35"/>
                    <a:stretch>
                      <a:fillRect/>
                    </a:stretch>
                  </pic:blipFill>
                  <pic:spPr bwMode="auto">
                    <a:xfrm>
                      <a:off x="0" y="0"/>
                      <a:ext cx="5943600" cy="4322618"/>
                    </a:xfrm>
                    <a:prstGeom prst="rect">
                      <a:avLst/>
                    </a:prstGeom>
                    <a:noFill/>
                    <a:ln w="9525">
                      <a:noFill/>
                      <a:headEnd/>
                      <a:tailEnd/>
                    </a:ln>
                  </pic:spPr>
                </pic:pic>
              </a:graphicData>
            </a:graphic>
          </wp:inline>
        </w:drawing>
      </w:r>
    </w:p>
    <w:bookmarkEnd w:id="61"/>
    <w:p w14:paraId="62A95AA1" w14:textId="77777777" w:rsidR="003F6AF4" w:rsidRDefault="00000000">
      <w:pPr>
        <w:pStyle w:val="FigureNote"/>
      </w:pPr>
      <w:r>
        <w:rPr>
          <w:i/>
          <w:iCs/>
        </w:rPr>
        <w:t>Note</w:t>
      </w:r>
      <w:r>
        <w:t>.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p w14:paraId="1606BA91" w14:textId="77777777" w:rsidR="003F6AF4" w:rsidRDefault="00000000">
      <w:r>
        <w:br w:type="page"/>
      </w:r>
    </w:p>
    <w:p w14:paraId="1B300B9E" w14:textId="77777777" w:rsidR="003F6AF4" w:rsidRDefault="00000000">
      <w:pPr>
        <w:pStyle w:val="FigureTitle"/>
      </w:pPr>
      <w:bookmarkStart w:id="62" w:name="fig-s2-ppd"/>
      <w:r>
        <w:lastRenderedPageBreak/>
        <w:t>Figure 7</w:t>
      </w:r>
    </w:p>
    <w:p w14:paraId="1D3A760E" w14:textId="77777777" w:rsidR="003F6AF4" w:rsidRDefault="00000000">
      <w:pPr>
        <w:pStyle w:val="Caption"/>
      </w:pPr>
      <w:r>
        <w:t>Experiment 2. Posterior predictive check of the bayesian regression model</w:t>
      </w:r>
    </w:p>
    <w:p w14:paraId="66CFBFC4" w14:textId="77777777" w:rsidR="003F6AF4" w:rsidRDefault="00000000">
      <w:pPr>
        <w:pStyle w:val="FigureWithNote"/>
      </w:pPr>
      <w:r>
        <w:rPr>
          <w:noProof/>
        </w:rPr>
        <w:drawing>
          <wp:inline distT="0" distB="0" distL="0" distR="0" wp14:anchorId="468E3088" wp14:editId="57E8ABEB">
            <wp:extent cx="5943600" cy="59436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manuscript_files/figure-docx/fig-s2-ppd-1.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bookmarkEnd w:id="62"/>
    <w:p w14:paraId="4AFCA363" w14:textId="77777777" w:rsidR="003F6AF4" w:rsidRDefault="00000000">
      <w:pPr>
        <w:pStyle w:val="FigureNote"/>
      </w:pPr>
      <w:r>
        <w:rPr>
          <w:i/>
          <w:iCs/>
        </w:rPr>
        <w:t>Note</w:t>
      </w:r>
      <w:r>
        <w:t>.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14:paraId="5914D6FE" w14:textId="77777777" w:rsidR="003F6AF4" w:rsidRDefault="00000000">
      <w:r>
        <w:lastRenderedPageBreak/>
        <w:br w:type="page"/>
      </w:r>
    </w:p>
    <w:p w14:paraId="0F88B9CC" w14:textId="77777777" w:rsidR="003F6AF4" w:rsidRDefault="00000000">
      <w:pPr>
        <w:pStyle w:val="FigureTitle"/>
      </w:pPr>
      <w:bookmarkStart w:id="63" w:name="fig-s2-els"/>
      <w:r>
        <w:lastRenderedPageBreak/>
        <w:t>Figure 8</w:t>
      </w:r>
    </w:p>
    <w:p w14:paraId="0B4C93B1" w14:textId="77777777" w:rsidR="003F6AF4" w:rsidRDefault="00000000">
      <w:pPr>
        <w:pStyle w:val="Caption"/>
      </w:pPr>
      <w:r>
        <w:t>Experiment 2. Conditional effect of energy literacy on log absolute error</w:t>
      </w:r>
    </w:p>
    <w:p w14:paraId="13CA92D8" w14:textId="77777777" w:rsidR="003F6AF4" w:rsidRDefault="00000000">
      <w:pPr>
        <w:pStyle w:val="FigureWithNote"/>
      </w:pPr>
      <w:r>
        <w:rPr>
          <w:noProof/>
        </w:rPr>
        <w:drawing>
          <wp:inline distT="0" distB="0" distL="0" distR="0" wp14:anchorId="14184066" wp14:editId="016B3D5C">
            <wp:extent cx="5943600" cy="59436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manuscript_files/figure-docx/fig-s2-els-1.png"/>
                    <pic:cNvPicPr>
                      <a:picLocks noChangeAspect="1" noChangeArrowheads="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bookmarkEnd w:id="63"/>
    <w:p w14:paraId="5D701C05" w14:textId="77777777" w:rsidR="003F6AF4" w:rsidRDefault="00000000">
      <w:pPr>
        <w:pStyle w:val="FigureNote"/>
      </w:pPr>
      <w:r>
        <w:rPr>
          <w:i/>
          <w:iCs/>
        </w:rPr>
        <w:t>Note</w:t>
      </w:r>
      <w:r>
        <w:t>.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14:paraId="30EFC475" w14:textId="77777777" w:rsidR="003F6AF4" w:rsidRDefault="00000000">
      <w:r>
        <w:br w:type="page"/>
      </w:r>
      <w:bookmarkEnd w:id="22"/>
    </w:p>
    <w:sectPr w:rsidR="003F6AF4">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C4D04" w14:textId="77777777" w:rsidR="00660F08" w:rsidRDefault="00660F08">
      <w:pPr>
        <w:spacing w:line="240" w:lineRule="auto"/>
      </w:pPr>
      <w:r>
        <w:separator/>
      </w:r>
    </w:p>
  </w:endnote>
  <w:endnote w:type="continuationSeparator" w:id="0">
    <w:p w14:paraId="2BB02BE2" w14:textId="77777777" w:rsidR="00660F08" w:rsidRDefault="00660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80E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11042"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53888"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496EE" w14:textId="77777777" w:rsidR="00660F08" w:rsidRDefault="00660F08">
      <w:pPr>
        <w:spacing w:line="240" w:lineRule="auto"/>
      </w:pPr>
      <w:r>
        <w:separator/>
      </w:r>
    </w:p>
  </w:footnote>
  <w:footnote w:type="continuationSeparator" w:id="0">
    <w:p w14:paraId="592E4673" w14:textId="77777777" w:rsidR="00660F08" w:rsidRDefault="00660F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A524"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BD382"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3F00DE">
          <w:t>HOW INFORMATION FORMAT AFFECTS ACCURACY</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7C3DF82A"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8BE14"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9E6F1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548057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31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2F34D3"/>
    <w:rsid w:val="0030567B"/>
    <w:rsid w:val="003141C0"/>
    <w:rsid w:val="003340D6"/>
    <w:rsid w:val="00340B9E"/>
    <w:rsid w:val="00387689"/>
    <w:rsid w:val="003B7C65"/>
    <w:rsid w:val="003D2E3A"/>
    <w:rsid w:val="003D73FF"/>
    <w:rsid w:val="003F00DE"/>
    <w:rsid w:val="003F6AF4"/>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0F08"/>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FCF68"/>
  <w15:docId w15:val="{2C1CF5DC-BEAD-9B45-B51F-7ACD278B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FollowedHyperlink">
    <w:name w:val="FollowedHyperlink"/>
    <w:basedOn w:val="DefaultParagraphFont"/>
    <w:semiHidden/>
    <w:unhideWhenUsed/>
    <w:rsid w:val="003F00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515245918823199" TargetMode="External"/><Relationship Id="rId18" Type="http://schemas.openxmlformats.org/officeDocument/2006/relationships/hyperlink" Target="https://doi.org/10.1093/jcr/ucac006" TargetMode="External"/><Relationship Id="rId26" Type="http://schemas.openxmlformats.org/officeDocument/2006/relationships/hyperlink" Target="https://doi.org/10.1016/j.jdeveco.2023.103202" TargetMode="External"/><Relationship Id="rId39" Type="http://schemas.openxmlformats.org/officeDocument/2006/relationships/header" Target="header2.xml"/><Relationship Id="rId21" Type="http://schemas.openxmlformats.org/officeDocument/2006/relationships/hyperlink" Target="https://doi.org/10.1017/S1930297500008172" TargetMode="External"/><Relationship Id="rId34" Type="http://schemas.openxmlformats.org/officeDocument/2006/relationships/image" Target="media/image5.png"/><Relationship Id="rId42" Type="http://schemas.openxmlformats.org/officeDocument/2006/relationships/header" Target="header3.xml"/><Relationship Id="rId7" Type="http://schemas.openxmlformats.org/officeDocument/2006/relationships/hyperlink" Target="https://doi.org/10.1016/j.jenvp.2005.08.002" TargetMode="External"/><Relationship Id="rId2" Type="http://schemas.openxmlformats.org/officeDocument/2006/relationships/styles" Target="styles.xml"/><Relationship Id="rId16" Type="http://schemas.openxmlformats.org/officeDocument/2006/relationships/hyperlink" Target="https://doi.org/10.1007/s10311-023-01591-5"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eseneeco.2017.06.001" TargetMode="External"/><Relationship Id="rId24" Type="http://schemas.openxmlformats.org/officeDocument/2006/relationships/hyperlink" Target="https://doi.org/10.1038/s41560-020-00763-9"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enpol.2010.12.049" TargetMode="External"/><Relationship Id="rId23" Type="http://schemas.openxmlformats.org/officeDocument/2006/relationships/hyperlink" Target="https://doi.org/10.1016/B978-0-12-405888-0.09999-2" TargetMode="External"/><Relationship Id="rId28" Type="http://schemas.openxmlformats.org/officeDocument/2006/relationships/hyperlink" Target="https://doi.org/10.3389/fpsyg.2018.01833" TargetMode="External"/><Relationship Id="rId36" Type="http://schemas.openxmlformats.org/officeDocument/2006/relationships/image" Target="media/image7.png"/><Relationship Id="rId10" Type="http://schemas.openxmlformats.org/officeDocument/2006/relationships/hyperlink" Target="https://doi.org/10.1038/s41560-020-0582-0" TargetMode="External"/><Relationship Id="rId19" Type="http://schemas.openxmlformats.org/officeDocument/2006/relationships/hyperlink" Target="https://doi.org/10.1136/bmj.327.7417.741" TargetMode="External"/><Relationship Id="rId31" Type="http://schemas.openxmlformats.org/officeDocument/2006/relationships/image" Target="media/image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73/pnas.1001509107" TargetMode="External"/><Relationship Id="rId14" Type="http://schemas.openxmlformats.org/officeDocument/2006/relationships/hyperlink" Target="https://doi.org/10.1080/13669877.2015.1121909" TargetMode="External"/><Relationship Id="rId22" Type="http://schemas.openxmlformats.org/officeDocument/2006/relationships/hyperlink" Target="https://doi.org/10.1016/j.enbuild.2010.10.010" TargetMode="External"/><Relationship Id="rId27" Type="http://schemas.openxmlformats.org/officeDocument/2006/relationships/hyperlink" Target="https://doi.org/10.1016/j.jenvp.2019.02.008"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footer" Target="footer3.xml"/><Relationship Id="rId8" Type="http://schemas.openxmlformats.org/officeDocument/2006/relationships/hyperlink" Target="https://doi.org/10.1016/j.jenvp.2007.08.002" TargetMode="External"/><Relationship Id="rId3" Type="http://schemas.openxmlformats.org/officeDocument/2006/relationships/settings" Target="settings.xml"/><Relationship Id="rId12" Type="http://schemas.openxmlformats.org/officeDocument/2006/relationships/hyperlink" Target="https://doi.org/10.18637/jss.v080.i01" TargetMode="External"/><Relationship Id="rId17" Type="http://schemas.openxmlformats.org/officeDocument/2006/relationships/hyperlink" Target="https://doi.org/10.1007/s12053-008-9009-7" TargetMode="External"/><Relationship Id="rId25" Type="http://schemas.openxmlformats.org/officeDocument/2006/relationships/hyperlink" Target="https://doi.org/10.1016/j.reseneeco.2020.101201" TargetMode="External"/><Relationship Id="rId33" Type="http://schemas.openxmlformats.org/officeDocument/2006/relationships/image" Target="media/image4.png"/><Relationship Id="rId38" Type="http://schemas.openxmlformats.org/officeDocument/2006/relationships/header" Target="header1.xml"/><Relationship Id="rId20" Type="http://schemas.openxmlformats.org/officeDocument/2006/relationships/hyperlink" Target="https://doi.org/10.1002/cb.2051"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41</Pages>
  <Words>7241</Words>
  <Characters>41279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48424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energy literacy, information format, planning accuracy, decision making</cp:keywords>
  <dc:description>HOW INFORMATION FORMAT AFFECTS ACCURACY</dc:description>
  <cp:lastModifiedBy>Thomas Eagan Gorman</cp:lastModifiedBy>
  <cp:revision>3</cp:revision>
  <dcterms:created xsi:type="dcterms:W3CDTF">2025-04-01T00:05:00Z</dcterms:created>
  <dcterms:modified xsi:type="dcterms:W3CDTF">2025-04-01T00:06:00Z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False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True</vt:lpwstr>
  </property>
  <property fmtid="{D5CDD505-2E9C-101B-9397-08002B2CF9AE}" pid="29" name="no-ampersand-parenthetical">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HOW INFORMATION FORMAT AFFECTS ACCURACY</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y fmtid="{D5CDD505-2E9C-101B-9397-08002B2CF9AE}" pid="61" name="MSIP_Label_f7606f69-b0ae-4874-be30-7d43a3c7be10_Enabled">
    <vt:lpwstr>true</vt:lpwstr>
  </property>
  <property fmtid="{D5CDD505-2E9C-101B-9397-08002B2CF9AE}" pid="62" name="MSIP_Label_f7606f69-b0ae-4874-be30-7d43a3c7be10_SetDate">
    <vt:lpwstr>2025-04-01T00:05:58Z</vt:lpwstr>
  </property>
  <property fmtid="{D5CDD505-2E9C-101B-9397-08002B2CF9AE}" pid="63" name="MSIP_Label_f7606f69-b0ae-4874-be30-7d43a3c7be10_Method">
    <vt:lpwstr>Standard</vt:lpwstr>
  </property>
  <property fmtid="{D5CDD505-2E9C-101B-9397-08002B2CF9AE}" pid="64" name="MSIP_Label_f7606f69-b0ae-4874-be30-7d43a3c7be10_Name">
    <vt:lpwstr>defa4170-0d19-0005-0001-bc88714345d2</vt:lpwstr>
  </property>
  <property fmtid="{D5CDD505-2E9C-101B-9397-08002B2CF9AE}" pid="65" name="MSIP_Label_f7606f69-b0ae-4874-be30-7d43a3c7be10_SiteId">
    <vt:lpwstr>4130bd39-7c53-419c-b1e5-8758d6d63f21</vt:lpwstr>
  </property>
  <property fmtid="{D5CDD505-2E9C-101B-9397-08002B2CF9AE}" pid="66" name="MSIP_Label_f7606f69-b0ae-4874-be30-7d43a3c7be10_ActionId">
    <vt:lpwstr>59e013e8-8d9c-4544-baf3-af15a4916b98</vt:lpwstr>
  </property>
  <property fmtid="{D5CDD505-2E9C-101B-9397-08002B2CF9AE}" pid="67" name="MSIP_Label_f7606f69-b0ae-4874-be30-7d43a3c7be10_ContentBits">
    <vt:lpwstr>0</vt:lpwstr>
  </property>
  <property fmtid="{D5CDD505-2E9C-101B-9397-08002B2CF9AE}" pid="68" name="MSIP_Label_f7606f69-b0ae-4874-be30-7d43a3c7be10_Tag">
    <vt:lpwstr>50, 3, 0, 1</vt:lpwstr>
  </property>
</Properties>
</file>