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21.svg" ContentType="image/svg+xml"/>
  <Override PartName="/word/media/rId65.png" ContentType="image/png"/>
  <Override PartName="/word/media/rId54.png" ContentType="image/png"/>
  <Override PartName="/word/media/rId61.png" ContentType="image/png"/>
  <Override PartName="/word/media/rId80.png" ContentType="image/png"/>
  <Override PartName="/word/media/rId88.png" ContentType="image/png"/>
  <Override PartName="/word/media/rId74.png" ContentType="image/png"/>
  <Override PartName="/word/media/rId84.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Author"/>
      </w:pPr>
      <w:r>
        <w:t xml:space="preserve"> </w:t>
      </w:r>
    </w:p>
    <w:p>
      <w:pPr>
        <w:pStyle w:val="Author"/>
      </w:pPr>
      <w:r>
        <w:t xml:space="preserve">Thomas E. Gorman</w:t>
      </w:r>
      <w:r>
        <w:rPr>
          <w:vertAlign w:val="superscript"/>
        </w:rPr>
        <w:t xml:space="preserve">1,2</w:t>
      </w:r>
      <w:r>
        <w:t xml:space="preserve">, Torsten Reimer</w:t>
      </w:r>
      <w:r>
        <w:rPr>
          <w:vertAlign w:val="superscript"/>
        </w:rPr>
        <w:t xml:space="preserve">1,2</w:t>
      </w:r>
      <w:r>
        <w:t xml:space="preserve">, Juan Pablo Loaiza Ramirez</w:t>
      </w:r>
      <w:r>
        <w:rPr>
          <w:vertAlign w:val="superscript"/>
        </w:rPr>
        <w:t xml:space="preserve">1,2</w:t>
      </w:r>
      <w:r>
        <w:t xml:space="preserve">, and Hayden Barber</w:t>
      </w:r>
      <w:r>
        <w:rPr>
          <w:vertAlign w:val="superscript"/>
        </w:rPr>
        <w:t xml:space="preserve">3</w:t>
      </w:r>
    </w:p>
    <w:p>
      <w:pPr>
        <w:pStyle w:val="Author"/>
      </w:pPr>
      <w:r>
        <w:rPr>
          <w:vertAlign w:val="superscript"/>
        </w:rPr>
        <w:t xml:space="preserve">1</w:t>
      </w:r>
      <w:r>
        <w:t xml:space="preserve">Communication and Cognition Lab, Purdue University</w:t>
      </w:r>
    </w:p>
    <w:p>
      <w:pPr>
        <w:pStyle w:val="Author"/>
      </w:pPr>
      <w:r>
        <w:rPr>
          <w:vertAlign w:val="superscript"/>
        </w:rPr>
        <w:t xml:space="preserve">2</w:t>
      </w:r>
      <w:r>
        <w:t xml:space="preserve">Purdue University, College of Liberal Arts Research Academy</w:t>
      </w:r>
    </w:p>
    <w:p>
      <w:pPr>
        <w:pStyle w:val="Author"/>
      </w:pPr>
      <w:r>
        <w:rPr>
          <w:vertAlign w:val="superscript"/>
        </w:rPr>
        <w:t xml:space="preserve">3</w:t>
      </w:r>
      <w:r>
        <w:t xml:space="preserve">School of Communication &amp; Journalism, South Dakota State University</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Thomas E. Gorman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http://orcid.org/0000-0001-5366-5442</w:t>
      </w:r>
    </w:p>
    <w:p>
      <w:pPr>
        <w:pStyle w:val="BodyText"/>
      </w:pPr>
      <w:r>
        <w:t xml:space="preserve">Torsten Reimer</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http://orcid.org/0000-0002-7419-0076</w:t>
      </w:r>
    </w:p>
    <w:p>
      <w:pPr>
        <w:pStyle w:val="BodyText"/>
      </w:pPr>
      <w:r>
        <w:t xml:space="preserve">Juan Pablo Loaiza Ramirez</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http://orcid.org/0000-0001-9663-0522</w:t>
      </w:r>
    </w:p>
    <w:p>
      <w:pPr>
        <w:pStyle w:val="BodyText"/>
      </w:pPr>
      <w:r>
        <w:t xml:space="preserve">Hayden Barber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http://orcid.org/0000-0002-3465-8615</w:t>
      </w:r>
    </w:p>
    <w:p>
      <w:pPr>
        <w:pStyle w:val="BodyText"/>
      </w:pPr>
      <w:r>
        <w:t xml:space="preserve">Correspondence concerning this article should be addressed to Thomas E. Gorman, Communication and Cognition Lab, Purdue University, West Lafayette, IN 47907, USA</w:t>
      </w:r>
    </w:p>
    <w:p>
      <w:r>
        <w:br w:type="page"/>
      </w:r>
    </w:p>
    <w:bookmarkEnd w:id="38"/>
    <w:bookmarkStart w:id="39"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Information format, Energy literacy, Decision-making, Planning</w:t>
      </w:r>
    </w:p>
    <w:p>
      <w:r>
        <w:br w:type="page"/>
      </w:r>
    </w:p>
    <w:bookmarkEnd w:id="39"/>
    <w:bookmarkStart w:id="40" w:name="firstheader"/>
    <w:p>
      <w:pPr>
        <w:pStyle w:val="Heading1"/>
      </w:pPr>
      <w:r>
        <w:t xml:space="preserve">Planning to Save Energy: How Information Format Affects Accuracy</w:t>
      </w:r>
    </w:p>
    <w:bookmarkEnd w:id="40"/>
    <w:bookmarkStart w:id="43"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For example,</w:t>
      </w:r>
      <w:r>
        <w:t xml:space="preserve"> </w:t>
      </w:r>
      <w:r>
        <w:t xml:space="preserve">Abrahamse et al. (</w:t>
      </w:r>
      <w:hyperlink w:anchor="Xc77c1353231159de2b8cfbcbe6900637f731154">
        <w:r>
          <w:rPr>
            <w:rStyle w:val="Hyperlink"/>
          </w:rPr>
          <w:t xml:space="preserve">2007</w:t>
        </w:r>
      </w:hyperlink>
      <w:r>
        <w:t xml:space="preserve">)</w:t>
      </w:r>
      <w:r>
        <w:t xml:space="preserve"> </w:t>
      </w:r>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bookmarkStart w:id="41" w:name="representation-formats"/>
    <w:p>
      <w:pPr>
        <w:pStyle w:val="Heading3"/>
      </w:pPr>
      <w:r>
        <w:t xml:space="preserve">Representation Formats</w:t>
      </w:r>
    </w:p>
    <w:p>
      <w:pPr>
        <w:pStyle w:val="FirstParagraph"/>
      </w:pPr>
      <w:r>
        <w:t xml:space="preserve">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demonstrated that easy-to-implement communication strategies in energy bills can lead to energy-saving behaviors.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41"/>
    <w:bookmarkStart w:id="42" w:name="overview-of-current-research"/>
    <w:p>
      <w:pPr>
        <w:pStyle w:val="Heading3"/>
      </w:pPr>
      <w:r>
        <w:t xml:space="preserve">Overview of Current Research</w:t>
      </w:r>
    </w:p>
    <w:p>
      <w:pPr>
        <w:pStyle w:val="FirstParagraph"/>
      </w:pPr>
      <w:r>
        <w:t xml:space="preserve">Building on the study of Canfield et al. (2017), we aimed to test xxx.</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42"/>
    <w:bookmarkEnd w:id="43"/>
    <w:bookmarkStart w:id="71"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51" w:name="methods"/>
    <w:p>
      <w:pPr>
        <w:pStyle w:val="Heading2"/>
      </w:pPr>
      <w:r>
        <w:t xml:space="preserve">Methods</w:t>
      </w:r>
    </w:p>
    <w:bookmarkStart w:id="44"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44"/>
    <w:bookmarkStart w:id="45"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their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45"/>
    <w:bookmarkStart w:id="50"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 .</w:t>
      </w:r>
    </w:p>
    <w:bookmarkStart w:id="49" w:name="fig-task"/>
    <w:p>
      <w:pPr>
        <w:pStyle w:val="FigureTitle"/>
      </w:pPr>
      <w:r>
        <w:t xml:space="preserve">Figure 1</w:t>
      </w:r>
    </w:p>
    <w:p>
      <w:pPr>
        <w:pStyle w:val="Caption"/>
      </w:pPr>
      <w:r>
        <w:t xml:space="preserve">Example energy planning task trial</w:t>
      </w:r>
    </w:p>
    <w:p>
      <w:pPr>
        <w:pStyle w:val="FigureWithNote"/>
      </w:pPr>
      <w:r>
        <w:drawing>
          <wp:inline>
            <wp:extent cx="5943600" cy="6795002"/>
            <wp:effectExtent b="0" l="0" r="0" t="0"/>
            <wp:docPr descr="" title="" id="47" name="Picture"/>
            <a:graphic>
              <a:graphicData uri="http://schemas.openxmlformats.org/drawingml/2006/picture">
                <pic:pic>
                  <pic:nvPicPr>
                    <pic:cNvPr descr="./assets/images/wells10e_pub.png" id="48" name="Picture"/>
                    <pic:cNvPicPr>
                      <a:picLocks noChangeArrowheads="1" noChangeAspect="1"/>
                    </pic:cNvPicPr>
                  </pic:nvPicPr>
                  <pic:blipFill>
                    <a:blip r:embed="rId46"/>
                    <a:stretch>
                      <a:fillRect/>
                    </a:stretch>
                  </pic:blipFill>
                  <pic:spPr bwMode="auto">
                    <a:xfrm>
                      <a:off x="0" y="0"/>
                      <a:ext cx="5943600" cy="6795002"/>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50"/>
    <w:bookmarkEnd w:id="51"/>
    <w:bookmarkStart w:id="52" w:name="measures"/>
    <w:p>
      <w:pPr>
        <w:pStyle w:val="Heading2"/>
      </w:pPr>
      <w:r>
        <w:t xml:space="preserve">Measures</w:t>
      </w:r>
    </w:p>
    <w:bookmarkEnd w:id="52"/>
    <w:bookmarkStart w:id="69" w:name="results"/>
    <w:p>
      <w:pPr>
        <w:pStyle w:val="Heading2"/>
      </w:pPr>
      <w:r>
        <w:t xml:space="preserve">Results</w:t>
      </w:r>
    </w:p>
    <w:p>
      <w:pPr>
        <w:pStyle w:val="FirstParagraph"/>
      </w:pPr>
      <w:r>
        <w:t xml:space="preserve">All preprocessing and analyses were carried out in R</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 brms 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(states) set as random effects.</w:t>
      </w:r>
    </w:p>
    <w:bookmarkStart w:id="53" w:name="tbl-s1-agg"/>
    <w:p>
      <w:pPr>
        <w:pStyle w:val="FigureTitle"/>
      </w:pPr>
      <w:r>
        <w:t xml:space="preserve">Table 1</w:t>
      </w:r>
    </w:p>
    <w:p>
      <w:pPr>
        <w:pStyle w:val="Caption"/>
      </w:pPr>
      <w:r>
        <w:t xml:space="preserve">Study 1: Summary of planning accuracy by reference class</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pPr>
            <w:r>
              <w:t xml:space="preserve">Reference Class</w:t>
            </w:r>
          </w:p>
        </w:tc>
        <w:tc>
          <w:tcPr/>
          <w:p>
            <w:pPr>
              <w:pStyle w:val="Compact"/>
              <w:jc w:val="left"/>
            </w:pPr>
            <w:r>
              <w:t xml:space="preserve">Avg. % Change</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0.22</w:t>
            </w:r>
          </w:p>
        </w:tc>
        <w:tc>
          <w:tcPr/>
          <w:p>
            <w:pPr>
              <w:pStyle w:val="Compact"/>
              <w:jc w:val="left"/>
            </w:pPr>
            <w:r>
              <w:t xml:space="preserve">0.38</w:t>
            </w:r>
          </w:p>
        </w:tc>
        <w:tc>
          <w:tcPr/>
          <w:p>
            <w:pPr>
              <w:pStyle w:val="Compact"/>
              <w:jc w:val="left"/>
            </w:pPr>
            <w:r>
              <w:t xml:space="preserve">0.54</w:t>
            </w:r>
          </w:p>
        </w:tc>
        <w:tc>
          <w:tcPr/>
          <w:p>
            <w:pPr>
              <w:pStyle w:val="Compact"/>
              <w:jc w:val="left"/>
            </w:pPr>
            <w:r>
              <w:t xml:space="preserve">0.03</w:t>
            </w:r>
          </w:p>
        </w:tc>
        <w:tc>
          <w:tcPr/>
          <w:p>
            <w:pPr>
              <w:pStyle w:val="Compact"/>
              <w:jc w:val="left"/>
            </w:pPr>
            <w:r>
              <w:t xml:space="preserve">-3.7</w:t>
            </w:r>
          </w:p>
        </w:tc>
      </w:tr>
      <w:tr>
        <w:tc>
          <w:tcPr/>
          <w:p>
            <w:pPr>
              <w:pStyle w:val="Compact"/>
              <w:jc w:val="left"/>
            </w:pPr>
            <w:r>
              <w:t xml:space="preserve">Percentage</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0.06</w:t>
            </w:r>
          </w:p>
        </w:tc>
        <w:tc>
          <w:tcPr/>
          <w:p>
            <w:pPr>
              <w:pStyle w:val="Compact"/>
              <w:jc w:val="left"/>
            </w:pPr>
            <w:r>
              <w:t xml:space="preserve">-3.1</w:t>
            </w:r>
          </w:p>
        </w:tc>
      </w:tr>
      <w:tr>
        <w:tc>
          <w:tcPr/>
          <w:p>
            <w:pPr>
              <w:pStyle w:val="Compact"/>
              <w:jc w:val="left"/>
            </w:pPr>
            <w:r>
              <w:t xml:space="preserve">USD</w:t>
            </w:r>
          </w:p>
        </w:tc>
        <w:tc>
          <w:tcPr/>
          <w:p>
            <w:pPr>
              <w:pStyle w:val="Compact"/>
              <w:jc w:val="left"/>
            </w:pPr>
            <w:r>
              <w:t xml:space="preserve">0.23</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0.10</w:t>
            </w:r>
          </w:p>
        </w:tc>
        <w:tc>
          <w:tcPr/>
          <w:p>
            <w:pPr>
              <w:pStyle w:val="Compact"/>
              <w:jc w:val="left"/>
            </w:pPr>
            <w:r>
              <w:t xml:space="preserve">-2.4</w:t>
            </w:r>
          </w:p>
        </w:tc>
      </w:tr>
    </w:tbl>
    <w:bookmarkEnd w:id="53"/>
    <w:p>
      <w:pPr>
        <w:pStyle w:val="FigureNote"/>
      </w:pPr>
      <w:r>
        <w:rPr>
          <w:i/>
          <w:iCs/>
        </w:rPr>
        <w:t xml:space="preserve">Note</w:t>
      </w:r>
      <w:r>
        <w:t xml:space="preserve">. The table shows performance as both the % of trials where participants matched the goal, and the mean absolute error from the target reduction goal. Percentage meeting goal refers to … ETC</w:t>
      </w:r>
    </w:p>
    <w:p>
      <w:pPr>
        <w:pStyle w:val="BodyText"/>
      </w:pPr>
      <w:hyperlink w:anchor="tbl-s1-agg">
        <w:r>
          <w:rPr>
            <w:rStyle w:val="Hyperlink"/>
          </w:rPr>
          <w:t xml:space="preserve">Table 1</w:t>
        </w:r>
      </w:hyperlink>
      <w:r>
        <w:t xml:space="preserve"> </w:t>
      </w:r>
      <w:r>
        <w:t xml:space="preserve">shows the average x,y,z, separately for the conditions of … . As can be seen in Table 1,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the goal was framed in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bookmarkStart w:id="57" w:name="fig-s1-log-dist"/>
    <w:p>
      <w:pPr>
        <w:pStyle w:val="FigureTitle"/>
      </w:pPr>
      <w:r>
        <w:t xml:space="preserve">Figure 2</w:t>
      </w:r>
    </w:p>
    <w:p>
      <w:pPr>
        <w:pStyle w:val="Caption"/>
      </w:pPr>
      <w:r>
        <w:t xml:space="preserve">Experiment 1: Planning Error Distributions</w:t>
      </w:r>
    </w:p>
    <w:p>
      <w:pPr>
        <w:pStyle w:val="FigureWithNote"/>
      </w:pPr>
      <w:r>
        <w:drawing>
          <wp:inline>
            <wp:extent cx="5943600" cy="4322618"/>
            <wp:effectExtent b="0" l="0" r="0" t="0"/>
            <wp:docPr descr="" title="" id="55" name="Picture"/>
            <a:graphic>
              <a:graphicData uri="http://schemas.openxmlformats.org/drawingml/2006/picture">
                <pic:pic>
                  <pic:nvPicPr>
                    <pic:cNvPr descr="manuscript_files/figure-docx/fig-s1-log-dist-1.png" id="56" name="Picture"/>
                    <pic:cNvPicPr>
                      <a:picLocks noChangeArrowheads="1" noChangeAspect="1"/>
                    </pic:cNvPicPr>
                  </pic:nvPicPr>
                  <pic:blipFill>
                    <a:blip r:embed="rId54"/>
                    <a:stretch>
                      <a:fillRect/>
                    </a:stretch>
                  </pic:blipFill>
                  <pic:spPr bwMode="auto">
                    <a:xfrm>
                      <a:off x="0" y="0"/>
                      <a:ext cx="5943600" cy="4322618"/>
                    </a:xfrm>
                    <a:prstGeom prst="rect">
                      <a:avLst/>
                    </a:prstGeom>
                    <a:noFill/>
                    <a:ln w="9525">
                      <a:noFill/>
                      <a:headEnd/>
                      <a:tailEnd/>
                    </a:ln>
                  </pic:spPr>
                </pic:pic>
              </a:graphicData>
            </a:graphic>
          </wp:inline>
        </w:drawing>
      </w:r>
    </w:p>
    <w:bookmarkEnd w:id="5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bookmarkStart w:id="58" w:name="tbl-s1-prop"/>
    <w:p>
      <w:pPr>
        <w:pStyle w:val="FigureTitle"/>
      </w:pPr>
      <w:r>
        <w:t xml:space="preserve">Table 2</w:t>
      </w:r>
    </w:p>
    <w:p>
      <w:pPr>
        <w:pStyle w:val="Caption"/>
      </w:pPr>
      <w:r>
        <w:t xml:space="preserve">Experiment 1 1: Categorization of Participants according to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c>
          <w:tcPr/>
          <w:p>
            <w:pPr>
              <w:pStyle w:val="Compact"/>
              <w:jc w:val="left"/>
            </w:pPr>
            <w:r>
              <w:t xml:space="preserve">Combined Groups %</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c>
          <w:tcPr/>
          <w:p>
            <w:pPr>
              <w:pStyle w:val="Compact"/>
              <w:jc w:val="left"/>
            </w:pPr>
            <w:r>
              <w:t xml:space="preserve">23.1%</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c>
          <w:tcPr/>
          <w:p>
            <w:pPr>
              <w:pStyle w:val="Compact"/>
              <w:jc w:val="left"/>
            </w:pPr>
            <w:r>
              <w:t xml:space="preserve">25.5%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c>
          <w:tcPr/>
          <w:p>
            <w:pPr>
              <w:pStyle w:val="Compact"/>
              <w:jc w:val="left"/>
            </w:pPr>
            <w:r>
              <w:t xml:space="preserve">51.3%</w:t>
            </w:r>
          </w:p>
        </w:tc>
      </w:tr>
    </w:tbl>
    <w:bookmarkEnd w:id="58"/>
    <w:p>
      <w:pPr>
        <w:pStyle w:val="FigureNote"/>
      </w:pPr>
      <w:r>
        <w:rPr>
          <w:i/>
          <w:iCs/>
        </w:rPr>
        <w:t xml:space="preserve">Note</w:t>
      </w:r>
      <w:r>
        <w:t xml:space="preserve">.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accuracy category.</w:t>
      </w:r>
    </w:p>
    <w:bookmarkStart w:id="59" w:name="tbl-s1-reg"/>
    <w:p>
      <w:pPr>
        <w:pStyle w:val="FigureTitle"/>
      </w:pPr>
      <w:r>
        <w:t xml:space="preserve">Table 3</w:t>
      </w:r>
    </w:p>
    <w:p>
      <w:pPr>
        <w:pStyle w:val="Caption"/>
      </w:pPr>
      <w:r>
        <w:rPr>
          <w:b/>
          <w:bCs/>
        </w:rPr>
        <w:t xml:space="preserve">Experiment 1</w:t>
      </w:r>
      <w:r>
        <w:t xml:space="preserve">: Ordinal Regression Results of a Test of Differences between conditions in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59"/>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w:t>
      </w:r>
    </w:p>
    <w:p>
      <w:pPr>
        <w:pStyle w:val="BodyText"/>
      </w:pPr>
      <w:r>
        <w:t xml:space="preserve"> </w:t>
      </w:r>
    </w:p>
    <w:bookmarkStart w:id="60" w:name="tbl-s1-ord"/>
    <w:p>
      <w:pPr>
        <w:pStyle w:val="FigureTitle"/>
      </w:pPr>
      <w:r>
        <w:t xml:space="preserve">Table 4</w:t>
      </w:r>
    </w:p>
    <w:p>
      <w:pPr>
        <w:pStyle w:val="Caption"/>
      </w:pP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60"/>
    <w:p>
      <w:pPr>
        <w:pStyle w:val="FigureNote"/>
      </w:pPr>
      <w:r>
        <w:rPr>
          <w:i/>
          <w:iCs/>
        </w:rPr>
        <w:t xml:space="preserve">Note</w:t>
      </w:r>
      <w:r>
        <w:t xml:space="preserve">. Odds ratios greater than 1 indicate increased odds of falling into a worse accuracy category compared to the kWh condition</w:t>
      </w:r>
    </w:p>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bookmarkStart w:id="64" w:name="fig-s1-ppd"/>
    <w:p>
      <w:pPr>
        <w:pStyle w:val="FigureTitle"/>
      </w:pPr>
      <w:r>
        <w:t xml:space="preserve">Figure 3</w:t>
      </w:r>
    </w:p>
    <w:p>
      <w:pPr>
        <w:pStyle w:val="Caption"/>
      </w:pPr>
      <w:r>
        <w:t xml:space="preserve">Experiment 1: Posterior Predictive Check</w:t>
      </w:r>
    </w:p>
    <w:p>
      <w:pPr>
        <w:pStyle w:val="FigureWithNote"/>
      </w:pPr>
      <w:r>
        <w:drawing>
          <wp:inline>
            <wp:extent cx="5943600" cy="5943600"/>
            <wp:effectExtent b="0" l="0" r="0" t="0"/>
            <wp:docPr descr="" title="" id="62" name="Picture"/>
            <a:graphic>
              <a:graphicData uri="http://schemas.openxmlformats.org/drawingml/2006/picture">
                <pic:pic>
                  <pic:nvPicPr>
                    <pic:cNvPr descr="manuscript_files/figure-docx/fig-s1-ppd-1.png" id="63"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Start w:id="68" w:name="fig-s1-els"/>
    <w:p>
      <w:pPr>
        <w:pStyle w:val="FigureTitle"/>
      </w:pPr>
      <w:r>
        <w:t xml:space="preserve">Figure 4</w:t>
      </w:r>
    </w:p>
    <w:p>
      <w:pPr>
        <w:pStyle w:val="Caption"/>
      </w:pPr>
      <w:r>
        <w:t xml:space="preserve">Experiment 1. Conditional effect of energy literacy on log absolute error</w:t>
      </w:r>
    </w:p>
    <w:p>
      <w:pPr>
        <w:pStyle w:val="FigureWithNote"/>
      </w:pPr>
      <w:r>
        <w:drawing>
          <wp:inline>
            <wp:extent cx="5943600" cy="5943600"/>
            <wp:effectExtent b="0" l="0" r="0" t="0"/>
            <wp:docPr descr="" title="" id="66" name="Picture"/>
            <a:graphic>
              <a:graphicData uri="http://schemas.openxmlformats.org/drawingml/2006/picture">
                <pic:pic>
                  <pic:nvPicPr>
                    <pic:cNvPr descr="manuscript_files/figure-docx/fig-s1-els-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w:t>
      </w:r>
      <w:hyperlink w:anchor="ref-dewatersEnergyLiteracySecondary2011">
        <w:r>
          <w:rPr>
            <w:rStyle w:val="Hyperlink"/>
          </w:rPr>
          <w:t xml:space="preserve">DeWaters &amp; Powers, 2011</w:t>
        </w:r>
      </w:hyperlink>
      <w:r>
        <w:t xml:space="preserve">)</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69"/>
    <w:bookmarkStart w:id="70"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70"/>
    <w:bookmarkEnd w:id="71"/>
    <w:bookmarkStart w:id="94" w:name="experiment-2"/>
    <w:p>
      <w:pPr>
        <w:pStyle w:val="Heading1"/>
      </w:pPr>
      <w:r>
        <w:t xml:space="preserve">Experiment 2</w:t>
      </w:r>
    </w:p>
    <w:bookmarkStart w:id="72"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72"/>
    <w:bookmarkStart w:id="92" w:name="results-1"/>
    <w:p>
      <w:pPr>
        <w:pStyle w:val="Heading2"/>
      </w:pPr>
      <w:r>
        <w:t xml:space="preserve">Results</w:t>
      </w:r>
    </w:p>
    <w:bookmarkStart w:id="73" w:name="tbl-s2-agg"/>
    <w:p>
      <w:pPr>
        <w:pStyle w:val="FigureTitle"/>
      </w:pPr>
      <w:r>
        <w:t xml:space="preserve">Table 5</w:t>
      </w:r>
    </w:p>
    <w:p>
      <w:pPr>
        <w:pStyle w:val="Caption"/>
      </w:pPr>
      <w:r>
        <w:t xml:space="preserve">Experiment 2: Summary of planning accuracy by reference class</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pPr>
            <w:r>
              <w:t xml:space="preserve">Reference Class</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0.44</w:t>
            </w:r>
          </w:p>
        </w:tc>
        <w:tc>
          <w:tcPr/>
          <w:p>
            <w:pPr>
              <w:pStyle w:val="Compact"/>
              <w:jc w:val="left"/>
            </w:pPr>
            <w:r>
              <w:t xml:space="preserve">0.52</w:t>
            </w:r>
          </w:p>
        </w:tc>
        <w:tc>
          <w:tcPr/>
          <w:p>
            <w:pPr>
              <w:pStyle w:val="Compact"/>
              <w:jc w:val="left"/>
            </w:pPr>
            <w:r>
              <w:t xml:space="preserve">0.02</w:t>
            </w:r>
          </w:p>
        </w:tc>
        <w:tc>
          <w:tcPr/>
          <w:p>
            <w:pPr>
              <w:pStyle w:val="Compact"/>
              <w:jc w:val="left"/>
            </w:pPr>
            <w:r>
              <w:t xml:space="preserve">-3.9</w:t>
            </w:r>
          </w:p>
        </w:tc>
      </w:tr>
      <w:tr>
        <w:tc>
          <w:tcPr/>
          <w:p>
            <w:pPr>
              <w:pStyle w:val="Compact"/>
              <w:jc w:val="left"/>
            </w:pPr>
            <w:r>
              <w:t xml:space="preserve">Percentage</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0.06</w:t>
            </w:r>
          </w:p>
        </w:tc>
        <w:tc>
          <w:tcPr/>
          <w:p>
            <w:pPr>
              <w:pStyle w:val="Compact"/>
              <w:jc w:val="left"/>
            </w:pPr>
            <w:r>
              <w:t xml:space="preserve">-3.2</w:t>
            </w:r>
          </w:p>
        </w:tc>
      </w:tr>
      <w:tr>
        <w:tc>
          <w:tcPr/>
          <w:p>
            <w:pPr>
              <w:pStyle w:val="Compact"/>
              <w:jc w:val="left"/>
            </w:pPr>
            <w:r>
              <w:t xml:space="preserve">USD</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0.10</w:t>
            </w:r>
          </w:p>
        </w:tc>
        <w:tc>
          <w:tcPr/>
          <w:p>
            <w:pPr>
              <w:pStyle w:val="Compact"/>
              <w:jc w:val="left"/>
            </w:pPr>
            <w:r>
              <w:t xml:space="preserve">-2.4</w:t>
            </w:r>
          </w:p>
        </w:tc>
      </w:tr>
    </w:tbl>
    <w:bookmarkEnd w:id="73"/>
    <w:p>
      <w:pPr>
        <w:pStyle w:val="FigureNote"/>
      </w:pPr>
      <w:r>
        <w:rPr>
          <w:i/>
          <w:iCs/>
        </w:rPr>
        <w:t xml:space="preserve">Note</w:t>
      </w:r>
      <w:r>
        <w:t xml:space="preserve">. The table shows performance as both the % of trials where participants matched the goal, and the mean absolute error from the target reduction goal. Percentage meeting goal refers to participants who exactly met the target reduction goal (i.e., the proposed plan would reduce energy use by exactly 15%)</w:t>
      </w:r>
    </w:p>
    <w:bookmarkStart w:id="77" w:name="fig-s2-log-dist"/>
    <w:p>
      <w:pPr>
        <w:pStyle w:val="FigureTitle"/>
      </w:pPr>
      <w:r>
        <w:t xml:space="preserve">Figure 5</w:t>
      </w:r>
    </w:p>
    <w:p>
      <w:pPr>
        <w:pStyle w:val="Caption"/>
      </w:pPr>
      <w:r>
        <w:t xml:space="preserve">Experiment 2: Planning Error Distributions</w:t>
      </w:r>
    </w:p>
    <w:p>
      <w:pPr>
        <w:pStyle w:val="FigureWithNote"/>
      </w:pPr>
      <w:r>
        <w:drawing>
          <wp:inline>
            <wp:extent cx="5943600" cy="4322618"/>
            <wp:effectExtent b="0" l="0" r="0" t="0"/>
            <wp:docPr descr="" title="" id="75" name="Picture"/>
            <a:graphic>
              <a:graphicData uri="http://schemas.openxmlformats.org/drawingml/2006/picture">
                <pic:pic>
                  <pic:nvPicPr>
                    <pic:cNvPr descr="manuscript_files/figure-docx/fig-s2-log-dist-1.png" id="76" name="Picture"/>
                    <pic:cNvPicPr>
                      <a:picLocks noChangeArrowheads="1" noChangeAspect="1"/>
                    </pic:cNvPicPr>
                  </pic:nvPicPr>
                  <pic:blipFill>
                    <a:blip r:embed="rId74"/>
                    <a:stretch>
                      <a:fillRect/>
                    </a:stretch>
                  </pic:blipFill>
                  <pic:spPr bwMode="auto">
                    <a:xfrm>
                      <a:off x="0" y="0"/>
                      <a:ext cx="5943600" cy="4322618"/>
                    </a:xfrm>
                    <a:prstGeom prst="rect">
                      <a:avLst/>
                    </a:prstGeom>
                    <a:noFill/>
                    <a:ln w="9525">
                      <a:noFill/>
                      <a:headEnd/>
                      <a:tailEnd/>
                    </a:ln>
                  </pic:spPr>
                </pic:pic>
              </a:graphicData>
            </a:graphic>
          </wp:inline>
        </w:drawing>
      </w:r>
    </w:p>
    <w:bookmarkEnd w:id="7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bookmarkStart w:id="78" w:name="tbl-s2-reg"/>
    <w:p>
      <w:pPr>
        <w:pStyle w:val="FigureTitle"/>
      </w:pPr>
      <w:r>
        <w:t xml:space="preserve">Table 6</w:t>
      </w:r>
    </w:p>
    <w:p>
      <w:pPr>
        <w:pStyle w:val="Caption"/>
      </w:pP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78"/>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w:t>
      </w:r>
    </w:p>
    <w:p>
      <w:pPr>
        <w:pStyle w:val="BodyText"/>
      </w:pPr>
      <w:r>
        <w:t xml:space="preserve"> </w:t>
      </w:r>
    </w:p>
    <w:bookmarkStart w:id="79" w:name="tbl-s2-ord"/>
    <w:p>
      <w:pPr>
        <w:pStyle w:val="FigureTitle"/>
      </w:pPr>
      <w:r>
        <w:t xml:space="preserve">Table 7</w:t>
      </w:r>
    </w:p>
    <w:p>
      <w:pPr>
        <w:pStyle w:val="Caption"/>
      </w:pP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79"/>
    <w:p>
      <w:pPr>
        <w:pStyle w:val="FigureNote"/>
      </w:pPr>
      <w:r>
        <w:rPr>
          <w:i/>
          <w:iCs/>
        </w:rPr>
        <w:t xml:space="preserve">Note</w:t>
      </w:r>
      <w:r>
        <w:t xml:space="preserve">. Odds ratios greater than 1 indicate increased odds of falling into a worse accuracy category compared to the kWh condition</w:t>
      </w:r>
    </w:p>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bookmarkStart w:id="83" w:name="fig-s2-ame"/>
    <w:p>
      <w:pPr>
        <w:pStyle w:val="FigureTitle"/>
      </w:pPr>
      <w:r>
        <w:t xml:space="preserve">Figure 6</w:t>
      </w:r>
    </w:p>
    <w:p>
      <w:pPr>
        <w:pStyle w:val="Caption"/>
      </w:pPr>
      <w:r>
        <w:t xml:space="preserve">Experiment 2. Average marginal effects of reference class on accuracy levels</w:t>
      </w:r>
    </w:p>
    <w:p>
      <w:pPr>
        <w:pStyle w:val="FigureWithNote"/>
      </w:pPr>
      <w:r>
        <w:drawing>
          <wp:inline>
            <wp:extent cx="5943600" cy="4322618"/>
            <wp:effectExtent b="0" l="0" r="0" t="0"/>
            <wp:docPr descr="" title="" id="81" name="Picture"/>
            <a:graphic>
              <a:graphicData uri="http://schemas.openxmlformats.org/drawingml/2006/picture">
                <pic:pic>
                  <pic:nvPicPr>
                    <pic:cNvPr descr="manuscript_files/figure-docx/fig-s2-ame-1.png" id="82" name="Picture"/>
                    <pic:cNvPicPr>
                      <a:picLocks noChangeArrowheads="1" noChangeAspect="1"/>
                    </pic:cNvPicPr>
                  </pic:nvPicPr>
                  <pic:blipFill>
                    <a:blip r:embed="rId80"/>
                    <a:stretch>
                      <a:fillRect/>
                    </a:stretch>
                  </pic:blipFill>
                  <pic:spPr bwMode="auto">
                    <a:xfrm>
                      <a:off x="0" y="0"/>
                      <a:ext cx="5943600" cy="4322618"/>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Start w:id="87" w:name="fig-s2-ppd"/>
    <w:p>
      <w:pPr>
        <w:pStyle w:val="FigureTitle"/>
      </w:pPr>
      <w:r>
        <w:t xml:space="preserve">Figure 7</w:t>
      </w:r>
    </w:p>
    <w:p>
      <w:pPr>
        <w:pStyle w:val="Caption"/>
      </w:pPr>
      <w:r>
        <w:t xml:space="preserve">Experiment 2. Posterior predictive check of the bayesian regression model</w:t>
      </w:r>
    </w:p>
    <w:p>
      <w:pPr>
        <w:pStyle w:val="FigureWithNote"/>
      </w:pPr>
      <w:r>
        <w:drawing>
          <wp:inline>
            <wp:extent cx="5943600" cy="5943600"/>
            <wp:effectExtent b="0" l="0" r="0" t="0"/>
            <wp:docPr descr="" title="" id="85" name="Picture"/>
            <a:graphic>
              <a:graphicData uri="http://schemas.openxmlformats.org/drawingml/2006/picture">
                <pic:pic>
                  <pic:nvPicPr>
                    <pic:cNvPr descr="manuscript_files/figure-docx/fig-s2-ppd-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The plot shows the observed and predicted frequencies of each accuracy level, faceted by reference class (kWh, Percentage, USD). The model provides a reasonable fit to the observed data, with the predicted proportions closely matching the observed frequencies.</w:t>
      </w:r>
    </w:p>
    <w:bookmarkStart w:id="91" w:name="fig-s2-els"/>
    <w:p>
      <w:pPr>
        <w:pStyle w:val="FigureTitle"/>
      </w:pPr>
      <w:r>
        <w:t xml:space="preserve">Figure 8</w:t>
      </w:r>
    </w:p>
    <w:p>
      <w:pPr>
        <w:pStyle w:val="Caption"/>
      </w:pPr>
      <w:r>
        <w:t xml:space="preserve">Experiment 2. Conditional effect of energy literacy on log absolute error</w:t>
      </w:r>
    </w:p>
    <w:p>
      <w:pPr>
        <w:pStyle w:val="FigureWithNote"/>
      </w:pPr>
      <w:r>
        <w:drawing>
          <wp:inline>
            <wp:extent cx="5943600" cy="5943600"/>
            <wp:effectExtent b="0" l="0" r="0" t="0"/>
            <wp:docPr descr="" title="" id="89" name="Picture"/>
            <a:graphic>
              <a:graphicData uri="http://schemas.openxmlformats.org/drawingml/2006/picture">
                <pic:pic>
                  <pic:nvPicPr>
                    <pic:cNvPr descr="manuscript_files/figure-docx/fig-s2-els-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92"/>
    <w:bookmarkStart w:id="93"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93"/>
    <w:bookmarkEnd w:id="94"/>
    <w:bookmarkStart w:id="96"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95">
        <w:r>
          <w:rPr>
            <w:rStyle w:val="Hyperlink"/>
          </w:rPr>
          <w:t xml:space="preserve">this website</w:t>
        </w:r>
      </w:hyperlink>
    </w:p>
    <w:p>
      <w:r>
        <w:br w:type="page"/>
      </w:r>
    </w:p>
    <w:bookmarkEnd w:id="96"/>
    <w:bookmarkStart w:id="142" w:name="references"/>
    <w:p>
      <w:pPr>
        <w:pStyle w:val="Heading1"/>
      </w:pPr>
      <w:r>
        <w:t xml:space="preserve">References</w:t>
      </w:r>
    </w:p>
    <w:bookmarkStart w:id="141" w:name="refs"/>
    <w:bookmarkStart w:id="98"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97">
        <w:r>
          <w:rPr>
            <w:rStyle w:val="Hyperlink"/>
          </w:rPr>
          <w:t xml:space="preserve">https://doi.org/10.1016/j.jenvp.2005.08.002</w:t>
        </w:r>
      </w:hyperlink>
    </w:p>
    <w:bookmarkEnd w:id="98"/>
    <w:bookmarkStart w:id="100" w:name="Xc77c1353231159de2b8cfbcbe6900637f731154"/>
    <w:p>
      <w:pPr>
        <w:pStyle w:val="Bibliography"/>
      </w:pPr>
      <w:r>
        <w:t xml:space="preserve">Abrahamse, W., Steg, L., Vlek, C., &amp; Rothengatter, T. (2007). The effect of tailored information, goal setting, and tailored feedback on household energy use, energy-related behaviors, and behavioral antecedents.</w:t>
      </w:r>
      <w:r>
        <w:t xml:space="preserve"> </w:t>
      </w:r>
      <w:r>
        <w:rPr>
          <w:i/>
          <w:iCs/>
        </w:rPr>
        <w:t xml:space="preserve">Journal of Environmental Psychology</w:t>
      </w:r>
      <w:r>
        <w:t xml:space="preserve">,</w:t>
      </w:r>
      <w:r>
        <w:t xml:space="preserve"> </w:t>
      </w:r>
      <w:r>
        <w:rPr>
          <w:i/>
          <w:iCs/>
        </w:rPr>
        <w:t xml:space="preserve">27</w:t>
      </w:r>
      <w:r>
        <w:t xml:space="preserve">(4), 265–276.</w:t>
      </w:r>
      <w:r>
        <w:t xml:space="preserve"> </w:t>
      </w:r>
      <w:hyperlink r:id="rId99">
        <w:r>
          <w:rPr>
            <w:rStyle w:val="Hyperlink"/>
          </w:rPr>
          <w:t xml:space="preserve">https://doi.org/10.1016/j.jenvp.2007.08.002</w:t>
        </w:r>
      </w:hyperlink>
    </w:p>
    <w:bookmarkEnd w:id="100"/>
    <w:bookmarkStart w:id="102"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101">
        <w:r>
          <w:rPr>
            <w:rStyle w:val="Hyperlink"/>
          </w:rPr>
          <w:t xml:space="preserve">https://doi.org/10.1073/pnas.1001509107</w:t>
        </w:r>
      </w:hyperlink>
    </w:p>
    <w:bookmarkEnd w:id="102"/>
    <w:bookmarkStart w:id="104"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103">
        <w:r>
          <w:rPr>
            <w:rStyle w:val="Hyperlink"/>
          </w:rPr>
          <w:t xml:space="preserve">https://doi.org/10.1038/s41560-020-0582-0</w:t>
        </w:r>
      </w:hyperlink>
    </w:p>
    <w:bookmarkEnd w:id="104"/>
    <w:bookmarkStart w:id="106"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105">
        <w:r>
          <w:rPr>
            <w:rStyle w:val="Hyperlink"/>
          </w:rPr>
          <w:t xml:space="preserve">https://doi.org/10.1016/j.reseneeco.2017.06.001</w:t>
        </w:r>
      </w:hyperlink>
    </w:p>
    <w:bookmarkEnd w:id="106"/>
    <w:bookmarkStart w:id="10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7">
        <w:r>
          <w:rPr>
            <w:rStyle w:val="Hyperlink"/>
          </w:rPr>
          <w:t xml:space="preserve">https://doi.org/10.18637/jss.v080.i01</w:t>
        </w:r>
      </w:hyperlink>
    </w:p>
    <w:bookmarkEnd w:id="108"/>
    <w:bookmarkStart w:id="110"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109">
        <w:r>
          <w:rPr>
            <w:rStyle w:val="Hyperlink"/>
          </w:rPr>
          <w:t xml:space="preserve">https://doi.org/10.1080/13669877.2015.1121909</w:t>
        </w:r>
      </w:hyperlink>
    </w:p>
    <w:bookmarkEnd w:id="110"/>
    <w:bookmarkStart w:id="112"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111">
        <w:r>
          <w:rPr>
            <w:rStyle w:val="Hyperlink"/>
          </w:rPr>
          <w:t xml:space="preserve">https://doi.org/10.1016/j.enpol.2010.12.049</w:t>
        </w:r>
      </w:hyperlink>
    </w:p>
    <w:bookmarkEnd w:id="112"/>
    <w:bookmarkStart w:id="114"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113">
        <w:r>
          <w:rPr>
            <w:rStyle w:val="Hyperlink"/>
          </w:rPr>
          <w:t xml:space="preserve">https://doi.org/10.1007/s10311-023-01591-5</w:t>
        </w:r>
      </w:hyperlink>
    </w:p>
    <w:bookmarkEnd w:id="114"/>
    <w:bookmarkStart w:id="116"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115">
        <w:r>
          <w:rPr>
            <w:rStyle w:val="Hyperlink"/>
          </w:rPr>
          <w:t xml:space="preserve">https://doi.org/10.1007/s12053-008-9009-7</w:t>
        </w:r>
      </w:hyperlink>
    </w:p>
    <w:bookmarkEnd w:id="116"/>
    <w:bookmarkStart w:id="118"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117">
        <w:r>
          <w:rPr>
            <w:rStyle w:val="Hyperlink"/>
          </w:rPr>
          <w:t xml:space="preserve">https://doi.org/10.1093/jcr/ucac006</w:t>
        </w:r>
      </w:hyperlink>
    </w:p>
    <w:bookmarkEnd w:id="118"/>
    <w:bookmarkStart w:id="120"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119">
        <w:r>
          <w:rPr>
            <w:rStyle w:val="Hyperlink"/>
          </w:rPr>
          <w:t xml:space="preserve">https://doi.org/10.1136/bmj.327.7417.741</w:t>
        </w:r>
      </w:hyperlink>
    </w:p>
    <w:bookmarkEnd w:id="120"/>
    <w:bookmarkStart w:id="122"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21">
        <w:r>
          <w:rPr>
            <w:rStyle w:val="Hyperlink"/>
          </w:rPr>
          <w:t xml:space="preserve">https://doi.org/10.1002/cb.2051</w:t>
        </w:r>
      </w:hyperlink>
    </w:p>
    <w:bookmarkEnd w:id="122"/>
    <w:bookmarkStart w:id="124"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23">
        <w:r>
          <w:rPr>
            <w:rStyle w:val="Hyperlink"/>
          </w:rPr>
          <w:t xml:space="preserve">https://doi.org/10.1017/S1930297500008172</w:t>
        </w:r>
      </w:hyperlink>
    </w:p>
    <w:bookmarkEnd w:id="124"/>
    <w:bookmarkStart w:id="126"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25">
        <w:r>
          <w:rPr>
            <w:rStyle w:val="Hyperlink"/>
          </w:rPr>
          <w:t xml:space="preserve">https://doi.org/10.1016/j.enbuild.2010.10.010</w:t>
        </w:r>
      </w:hyperlink>
    </w:p>
    <w:bookmarkEnd w:id="126"/>
    <w:bookmarkStart w:id="128"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27">
        <w:r>
          <w:rPr>
            <w:rStyle w:val="Hyperlink"/>
          </w:rPr>
          <w:t xml:space="preserve">https://doi.org/10.1038/s41560-020-00763-9</w:t>
        </w:r>
      </w:hyperlink>
    </w:p>
    <w:bookmarkEnd w:id="128"/>
    <w:bookmarkStart w:id="130"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29">
        <w:r>
          <w:rPr>
            <w:rStyle w:val="Hyperlink"/>
          </w:rPr>
          <w:t xml:space="preserve">https://doi.org/10.1016/j.reseneeco.2020.101201</w:t>
        </w:r>
      </w:hyperlink>
    </w:p>
    <w:bookmarkEnd w:id="130"/>
    <w:bookmarkStart w:id="131"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31"/>
    <w:bookmarkStart w:id="13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32"/>
    <w:bookmarkStart w:id="134"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33">
        <w:r>
          <w:rPr>
            <w:rStyle w:val="Hyperlink"/>
          </w:rPr>
          <w:t xml:space="preserve">https://doi.org/10.1016/j.jdeveco.2023.103202</w:t>
        </w:r>
      </w:hyperlink>
    </w:p>
    <w:bookmarkEnd w:id="134"/>
    <w:bookmarkStart w:id="136"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35">
        <w:r>
          <w:rPr>
            <w:rStyle w:val="Hyperlink"/>
          </w:rPr>
          <w:t xml:space="preserve">https://doi.org/10.1016/j.jenvp.2019.02.008</w:t>
        </w:r>
      </w:hyperlink>
    </w:p>
    <w:bookmarkEnd w:id="136"/>
    <w:bookmarkStart w:id="138"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37">
        <w:r>
          <w:rPr>
            <w:rStyle w:val="Hyperlink"/>
          </w:rPr>
          <w:t xml:space="preserve">https://doi.org/10.3389/fpsyg.2018.01833</w:t>
        </w:r>
      </w:hyperlink>
    </w:p>
    <w:bookmarkEnd w:id="138"/>
    <w:bookmarkStart w:id="140"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39">
        <w:r>
          <w:rPr>
            <w:rStyle w:val="Hyperlink"/>
          </w:rPr>
          <w:t xml:space="preserve">https://doi.org/10.21105/joss.01686</w:t>
        </w:r>
      </w:hyperlink>
    </w:p>
    <w:bookmarkEnd w:id="140"/>
    <w:bookmarkEnd w:id="141"/>
    <w:bookmarkEnd w:id="1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74" Target="media/rId74.png" /><Relationship Type="http://schemas.openxmlformats.org/officeDocument/2006/relationships/image" Id="rId84" Target="media/rId8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121" Target="https://doi.org/10.1002/cb.2051" TargetMode="External" /><Relationship Type="http://schemas.openxmlformats.org/officeDocument/2006/relationships/hyperlink" Id="rId113" Target="https://doi.org/10.1007/s10311-023-01591-5" TargetMode="External" /><Relationship Type="http://schemas.openxmlformats.org/officeDocument/2006/relationships/hyperlink" Id="rId115" Target="https://doi.org/10.1007/s12053-008-9009-7" TargetMode="External" /><Relationship Type="http://schemas.openxmlformats.org/officeDocument/2006/relationships/hyperlink" Id="rId125" Target="https://doi.org/10.1016/j.enbuild.2010.10.010" TargetMode="External" /><Relationship Type="http://schemas.openxmlformats.org/officeDocument/2006/relationships/hyperlink" Id="rId111" Target="https://doi.org/10.1016/j.enpol.2010.12.049" TargetMode="External" /><Relationship Type="http://schemas.openxmlformats.org/officeDocument/2006/relationships/hyperlink" Id="rId133"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99" Target="https://doi.org/10.1016/j.jenvp.2007.08.002" TargetMode="External" /><Relationship Type="http://schemas.openxmlformats.org/officeDocument/2006/relationships/hyperlink" Id="rId135" Target="https://doi.org/10.1016/j.jenvp.2019.02.008" TargetMode="External" /><Relationship Type="http://schemas.openxmlformats.org/officeDocument/2006/relationships/hyperlink" Id="rId105" Target="https://doi.org/10.1016/j.reseneeco.2017.06.001" TargetMode="External" /><Relationship Type="http://schemas.openxmlformats.org/officeDocument/2006/relationships/hyperlink" Id="rId129" Target="https://doi.org/10.1016/j.reseneeco.2020.101201" TargetMode="External" /><Relationship Type="http://schemas.openxmlformats.org/officeDocument/2006/relationships/hyperlink" Id="rId123" Target="https://doi.org/10.1017/S1930297500008172" TargetMode="External" /><Relationship Type="http://schemas.openxmlformats.org/officeDocument/2006/relationships/hyperlink" Id="rId127" Target="https://doi.org/10.1038/s41560-020-00763-9" TargetMode="External" /><Relationship Type="http://schemas.openxmlformats.org/officeDocument/2006/relationships/hyperlink" Id="rId103" Target="https://doi.org/10.1038/s41560-020-0582-0" TargetMode="External" /><Relationship Type="http://schemas.openxmlformats.org/officeDocument/2006/relationships/hyperlink" Id="rId101" Target="https://doi.org/10.1073/pnas.1001509107" TargetMode="External" /><Relationship Type="http://schemas.openxmlformats.org/officeDocument/2006/relationships/hyperlink" Id="rId109" Target="https://doi.org/10.1080/13669877.2015.1121909" TargetMode="External" /><Relationship Type="http://schemas.openxmlformats.org/officeDocument/2006/relationships/hyperlink" Id="rId117" Target="https://doi.org/10.1093/jcr/ucac006" TargetMode="External" /><Relationship Type="http://schemas.openxmlformats.org/officeDocument/2006/relationships/hyperlink" Id="rId119" Target="https://doi.org/10.1136/bmj.327.7417.741" TargetMode="External" /><Relationship Type="http://schemas.openxmlformats.org/officeDocument/2006/relationships/hyperlink" Id="rId107" Target="https://doi.org/10.18637/jss.v080.i01" TargetMode="External" /><Relationship Type="http://schemas.openxmlformats.org/officeDocument/2006/relationships/hyperlink" Id="rId139" Target="https://doi.org/10.21105/joss.01686" TargetMode="External" /><Relationship Type="http://schemas.openxmlformats.org/officeDocument/2006/relationships/hyperlink" Id="rId137"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2/cb.2051" TargetMode="External" /><Relationship Type="http://schemas.openxmlformats.org/officeDocument/2006/relationships/hyperlink" Id="rId113" Target="https://doi.org/10.1007/s10311-023-01591-5" TargetMode="External" /><Relationship Type="http://schemas.openxmlformats.org/officeDocument/2006/relationships/hyperlink" Id="rId115" Target="https://doi.org/10.1007/s12053-008-9009-7" TargetMode="External" /><Relationship Type="http://schemas.openxmlformats.org/officeDocument/2006/relationships/hyperlink" Id="rId125" Target="https://doi.org/10.1016/j.enbuild.2010.10.010" TargetMode="External" /><Relationship Type="http://schemas.openxmlformats.org/officeDocument/2006/relationships/hyperlink" Id="rId111" Target="https://doi.org/10.1016/j.enpol.2010.12.049" TargetMode="External" /><Relationship Type="http://schemas.openxmlformats.org/officeDocument/2006/relationships/hyperlink" Id="rId133"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99" Target="https://doi.org/10.1016/j.jenvp.2007.08.002" TargetMode="External" /><Relationship Type="http://schemas.openxmlformats.org/officeDocument/2006/relationships/hyperlink" Id="rId135" Target="https://doi.org/10.1016/j.jenvp.2019.02.008" TargetMode="External" /><Relationship Type="http://schemas.openxmlformats.org/officeDocument/2006/relationships/hyperlink" Id="rId105" Target="https://doi.org/10.1016/j.reseneeco.2017.06.001" TargetMode="External" /><Relationship Type="http://schemas.openxmlformats.org/officeDocument/2006/relationships/hyperlink" Id="rId129" Target="https://doi.org/10.1016/j.reseneeco.2020.101201" TargetMode="External" /><Relationship Type="http://schemas.openxmlformats.org/officeDocument/2006/relationships/hyperlink" Id="rId123" Target="https://doi.org/10.1017/S1930297500008172" TargetMode="External" /><Relationship Type="http://schemas.openxmlformats.org/officeDocument/2006/relationships/hyperlink" Id="rId127" Target="https://doi.org/10.1038/s41560-020-00763-9" TargetMode="External" /><Relationship Type="http://schemas.openxmlformats.org/officeDocument/2006/relationships/hyperlink" Id="rId103" Target="https://doi.org/10.1038/s41560-020-0582-0" TargetMode="External" /><Relationship Type="http://schemas.openxmlformats.org/officeDocument/2006/relationships/hyperlink" Id="rId101" Target="https://doi.org/10.1073/pnas.1001509107" TargetMode="External" /><Relationship Type="http://schemas.openxmlformats.org/officeDocument/2006/relationships/hyperlink" Id="rId109" Target="https://doi.org/10.1080/13669877.2015.1121909" TargetMode="External" /><Relationship Type="http://schemas.openxmlformats.org/officeDocument/2006/relationships/hyperlink" Id="rId117" Target="https://doi.org/10.1093/jcr/ucac006" TargetMode="External" /><Relationship Type="http://schemas.openxmlformats.org/officeDocument/2006/relationships/hyperlink" Id="rId119" Target="https://doi.org/10.1136/bmj.327.7417.741" TargetMode="External" /><Relationship Type="http://schemas.openxmlformats.org/officeDocument/2006/relationships/hyperlink" Id="rId107" Target="https://doi.org/10.18637/jss.v080.i01" TargetMode="External" /><Relationship Type="http://schemas.openxmlformats.org/officeDocument/2006/relationships/hyperlink" Id="rId139" Target="https://doi.org/10.21105/joss.01686" TargetMode="External" /><Relationship Type="http://schemas.openxmlformats.org/officeDocument/2006/relationships/hyperlink" Id="rId137"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Information format, Energy literacy, Decision-making, Planning</cp:keywords>
  <dcterms:created xsi:type="dcterms:W3CDTF">2025-03-17T09:24:14Z</dcterms:created>
  <dcterms:modified xsi:type="dcterms:W3CDTF">2025-03-17T09:24:14Z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2025-03-16</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