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B207F" w14:textId="77777777" w:rsidR="008B36CB" w:rsidRDefault="00000000">
      <w:pPr>
        <w:pStyle w:val="FirstParagraph"/>
      </w:pPr>
      <w:r>
        <w:t xml:space="preserve"> </w:t>
      </w:r>
    </w:p>
    <w:p w14:paraId="4FE58BC1" w14:textId="77777777" w:rsidR="00106E2F" w:rsidRDefault="00000000" w:rsidP="00106E2F">
      <w:pPr>
        <w:pStyle w:val="BodyText"/>
      </w:pPr>
      <w:r>
        <w:t xml:space="preserve"> </w:t>
      </w:r>
      <w:bookmarkStart w:id="0" w:name="title"/>
      <w:r>
        <w:t>Planning to Save Energy: How Information Format Affects Accuracy</w:t>
      </w:r>
      <w:bookmarkStart w:id="1" w:name="abstract"/>
      <w:bookmarkEnd w:id="0"/>
    </w:p>
    <w:p w14:paraId="15862A08" w14:textId="77777777" w:rsidR="00106E2F" w:rsidRDefault="00106E2F" w:rsidP="00106E2F">
      <w:pPr>
        <w:pStyle w:val="BodyText"/>
      </w:pPr>
    </w:p>
    <w:p w14:paraId="28BE41A3" w14:textId="670F4561" w:rsidR="008B36CB" w:rsidRPr="00106E2F" w:rsidRDefault="00000000" w:rsidP="00106E2F">
      <w:pPr>
        <w:pStyle w:val="BodyText"/>
        <w:jc w:val="center"/>
        <w:rPr>
          <w:b/>
          <w:bCs/>
        </w:rPr>
      </w:pPr>
      <w:r w:rsidRPr="00106E2F">
        <w:rPr>
          <w:b/>
          <w:bCs/>
        </w:rPr>
        <w:t>Abstract</w:t>
      </w:r>
    </w:p>
    <w:p w14:paraId="25E8C9FB" w14:textId="77777777" w:rsidR="008B36CB" w:rsidRDefault="00000000">
      <w:pPr>
        <w:pStyle w:val="AbstractFirstParagraph"/>
      </w:pPr>
      <w:r>
        <w:t>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14:paraId="6E996BC3" w14:textId="77777777" w:rsidR="008B36CB" w:rsidRDefault="00000000">
      <w:pPr>
        <w:pStyle w:val="BodyText"/>
      </w:pPr>
      <w:r>
        <w:rPr>
          <w:i/>
          <w:iCs/>
        </w:rPr>
        <w:t>Keywords</w:t>
      </w:r>
      <w:r>
        <w:t>: energy literacy, information format, planning accuracy, decision making</w:t>
      </w:r>
    </w:p>
    <w:p w14:paraId="0EC7FFEB" w14:textId="77777777" w:rsidR="008B36CB" w:rsidRDefault="00000000">
      <w:r>
        <w:br w:type="page"/>
      </w:r>
    </w:p>
    <w:p w14:paraId="29B19963" w14:textId="77777777" w:rsidR="008B36CB" w:rsidRDefault="00000000">
      <w:pPr>
        <w:pStyle w:val="Heading1"/>
      </w:pPr>
      <w:bookmarkStart w:id="2" w:name="firstheader"/>
      <w:bookmarkEnd w:id="1"/>
      <w:r>
        <w:lastRenderedPageBreak/>
        <w:t>Planning to Save Energy: How Information Format Affects Accuracy</w:t>
      </w:r>
    </w:p>
    <w:p w14:paraId="1D563B97" w14:textId="77777777" w:rsidR="008B36CB" w:rsidRDefault="00000000">
      <w:pPr>
        <w:pStyle w:val="Heading1"/>
      </w:pPr>
      <w:bookmarkStart w:id="3" w:name="introduction"/>
      <w:bookmarkEnd w:id="2"/>
      <w:r>
        <w:t>Introduction</w:t>
      </w:r>
    </w:p>
    <w:p w14:paraId="1038D46B" w14:textId="77777777" w:rsidR="008B36CB" w:rsidRDefault="00000000">
      <w:pPr>
        <w:pStyle w:val="FirstParagraph"/>
      </w:pPr>
      <w:r>
        <w:t>Energy insecurity has emerged as a critical public health concern, especially among low-income households, who frequently face difficult choices between paying energy bills and meeting other essential needs (</w:t>
      </w:r>
      <w:hyperlink w:anchor="ref-bednarRecognitionResponseEnergy2020">
        <w:r>
          <w:rPr>
            <w:rStyle w:val="Hyperlink"/>
          </w:rPr>
          <w:t>Bednar &amp; Reames, 2020</w:t>
        </w:r>
      </w:hyperlink>
      <w:r>
        <w:t xml:space="preserve">; </w:t>
      </w:r>
      <w:hyperlink w:anchor="X3b6a1d5d45806e48bd092325245544cfc853796">
        <w:r>
          <w:rPr>
            <w:rStyle w:val="Hyperlink"/>
          </w:rPr>
          <w:t>Memmott et al., 2021</w:t>
        </w:r>
      </w:hyperlink>
      <w:r>
        <w:t>). Such households often experience unsafe coping strategies (e.g., foregoing heating during winter months), which disproportionately affect at-risk populations and heighten risks of utility disconnection (</w:t>
      </w:r>
      <w:hyperlink w:anchor="X3b6a1d5d45806e48bd092325245544cfc853796">
        <w:r>
          <w:rPr>
            <w:rStyle w:val="Hyperlink"/>
          </w:rPr>
          <w:t>Memmott et al., 2021</w:t>
        </w:r>
      </w:hyperlink>
      <w:r>
        <w:t>). Moreover, residential energy use contributes to climate change, intensifying the urgency for sustainable solutions (</w:t>
      </w:r>
      <w:hyperlink w:anchor="ref-farghaliStrategiesEnergyContext2023">
        <w:r>
          <w:rPr>
            <w:rStyle w:val="Hyperlink"/>
          </w:rPr>
          <w:t>Farghali et al., 2023</w:t>
        </w:r>
      </w:hyperlink>
      <w:r>
        <w:t>).</w:t>
      </w:r>
    </w:p>
    <w:p w14:paraId="6F39C810" w14:textId="77777777" w:rsidR="008B36CB" w:rsidRDefault="00000000">
      <w:pPr>
        <w:pStyle w:val="BodyText"/>
      </w:pPr>
      <w:r>
        <w:t>Given the relevance of promoting behavior change to reduce energy consumption, several strands of research have aimed to identify factors that affect energy behaviors and interventions that effectively reduce energy consumption. For example, Abrahamse et al. (</w:t>
      </w:r>
      <w:hyperlink w:anchor="Xc77c1353231159de2b8cfbcbe6900637f731154">
        <w:r>
          <w:rPr>
            <w:rStyle w:val="Hyperlink"/>
          </w:rPr>
          <w:t>2007</w:t>
        </w:r>
      </w:hyperlink>
      <w:r>
        <w:t>) 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14:paraId="16BCFAB0" w14:textId="77777777" w:rsidR="008B36CB" w:rsidRDefault="00000000">
      <w:pPr>
        <w:pStyle w:val="BodyText"/>
      </w:pPr>
      <w:r>
        <w:t xml:space="preserve">However, the success of such interventions may hinge on how effectively energy information is communicated, with format and presentation context significantly influencing </w:t>
      </w:r>
      <w:r>
        <w:lastRenderedPageBreak/>
        <w:t>understanding and action (</w:t>
      </w:r>
      <w:hyperlink w:anchor="X583a2aeb73133489b1bca7034fc4c88220fccdb">
        <w:r>
          <w:rPr>
            <w:rStyle w:val="Hyperlink"/>
          </w:rPr>
          <w:t>Canfield et al., 2017</w:t>
        </w:r>
      </w:hyperlink>
      <w:r>
        <w:t xml:space="preserve">; </w:t>
      </w:r>
      <w:hyperlink w:anchor="X5af67f995b39de65510a4284ea565163ed449fb">
        <w:r>
          <w:rPr>
            <w:rStyle w:val="Hyperlink"/>
          </w:rPr>
          <w:t>Fischer, 2008</w:t>
        </w:r>
      </w:hyperlink>
      <w:r>
        <w:t>). Consequently, a pressing challenge lies in designing communication strategies that effectively convey energy data and motivate practical conservation decisions. We set out to explore whether consumers are able to develop plans that would help meet certain energy consumption goals.</w:t>
      </w:r>
    </w:p>
    <w:p w14:paraId="6AE9E290" w14:textId="77777777" w:rsidR="008B36CB" w:rsidRDefault="00000000">
      <w:pPr>
        <w:pStyle w:val="Heading3"/>
      </w:pPr>
      <w:bookmarkStart w:id="4" w:name="representation-formats"/>
      <w:r>
        <w:t>Representation Formats</w:t>
      </w:r>
    </w:p>
    <w:p w14:paraId="29A5AA19" w14:textId="77777777" w:rsidR="008B36CB" w:rsidRDefault="00000000">
      <w:pPr>
        <w:pStyle w:val="FirstParagraph"/>
      </w:pPr>
      <w:r>
        <w:t>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 Canfield et al. (</w:t>
      </w:r>
      <w:hyperlink w:anchor="X583a2aeb73133489b1bca7034fc4c88220fccdb">
        <w:r>
          <w:rPr>
            <w:rStyle w:val="Hyperlink"/>
          </w:rPr>
          <w:t>2017</w:t>
        </w:r>
      </w:hyperlink>
      <w:r>
        <w:t>) 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 Canfield et al. (</w:t>
      </w:r>
      <w:hyperlink w:anchor="X583a2aeb73133489b1bca7034fc4c88220fccdb">
        <w:r>
          <w:rPr>
            <w:rStyle w:val="Hyperlink"/>
          </w:rPr>
          <w:t>2017</w:t>
        </w:r>
      </w:hyperlink>
      <w:r>
        <w:t>) 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Studies such as DeWaters and Powers (</w:t>
      </w:r>
      <w:hyperlink w:anchor="ref-dewatersEnergyLiteracySecondary2011">
        <w:r>
          <w:rPr>
            <w:rStyle w:val="Hyperlink"/>
          </w:rPr>
          <w:t>2011</w:t>
        </w:r>
      </w:hyperlink>
      <w:r>
        <w:t xml:space="preserve">) have highlighted that while individuals may express concern for energy issues, their actual knowledge and behaviors may not align, underscoring the importance of fostering a comprehensive understanding of energy concepts to facilitate effective conservation actions. By disentangling the effects of content, format, and individual differences in energy literacy on understanding, </w:t>
      </w:r>
      <w:r>
        <w:lastRenderedPageBreak/>
        <w:t>preferences, and intentions, Canfield et al. (</w:t>
      </w:r>
      <w:hyperlink w:anchor="X583a2aeb73133489b1bca7034fc4c88220fccdb">
        <w:r>
          <w:rPr>
            <w:rStyle w:val="Hyperlink"/>
          </w:rPr>
          <w:t>2017</w:t>
        </w:r>
      </w:hyperlink>
      <w:r>
        <w:t>) demonstrated that easy-to-implement communication strategies in energy bills can lead to energy-saving behaviors.</w:t>
      </w:r>
    </w:p>
    <w:p w14:paraId="537B3741" w14:textId="77777777" w:rsidR="008B36CB" w:rsidRDefault="00000000">
      <w:pPr>
        <w:pStyle w:val="BodyText"/>
      </w:pPr>
      <w:r>
        <w:t>Although many individuals express a desire to conserve energy, research consistently shows that abstract goals (e.g., “reduce overall usage by 15%”) often fail to translate into effective behavior change unless accompanied by specific, actionable steps (</w:t>
      </w:r>
      <w:hyperlink w:anchor="X017f3aa19ce35c5f02a682eb2019dab7020f49c">
        <w:r>
          <w:rPr>
            <w:rStyle w:val="Hyperlink"/>
          </w:rPr>
          <w:t>Abrahamse et al., 2005</w:t>
        </w:r>
      </w:hyperlink>
      <w:r>
        <w:t xml:space="preserve">; </w:t>
      </w:r>
      <w:hyperlink w:anchor="X6b928f3b3d6d58eb00a6f05f7cc31476714d0fc">
        <w:r>
          <w:rPr>
            <w:rStyle w:val="Hyperlink"/>
          </w:rPr>
          <w:t>Nemati &amp; Penn, 2020</w:t>
        </w:r>
      </w:hyperlink>
      <w:r>
        <w:t>). For instance, Abrahamse et al. (</w:t>
      </w:r>
      <w:hyperlink w:anchor="X017f3aa19ce35c5f02a682eb2019dab7020f49c">
        <w:r>
          <w:rPr>
            <w:rStyle w:val="Hyperlink"/>
          </w:rPr>
          <w:t>2005</w:t>
        </w:r>
      </w:hyperlink>
      <w:r>
        <w:t>) demonstrated that merely providing general information about energy savings rarely alters consumption patterns unless consumers also receive concrete instructions or tailored feedback.</w:t>
      </w:r>
    </w:p>
    <w:p w14:paraId="39039EF7" w14:textId="77777777" w:rsidR="008B36CB" w:rsidRDefault="00000000">
      <w:pPr>
        <w:pStyle w:val="BodyText"/>
      </w:pPr>
      <w:r>
        <w:t>Similarly, Tonke (</w:t>
      </w:r>
      <w:hyperlink w:anchor="Xd44db9aff911e722b730a7e513225ab165d3721">
        <w:r>
          <w:rPr>
            <w:rStyle w:val="Hyperlink"/>
          </w:rPr>
          <w:t>2024</w:t>
        </w:r>
      </w:hyperlink>
      <w:r>
        <w:t>) 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 (</w:t>
      </w:r>
      <w:hyperlink w:anchor="ref-attariPublicPerceptionsEnergy2010">
        <w:r>
          <w:rPr>
            <w:rStyle w:val="Hyperlink"/>
          </w:rPr>
          <w:t>Attari et al., 2010</w:t>
        </w:r>
      </w:hyperlink>
      <w:r>
        <w:t>). Additionally, meta-analytic findings suggest that people respond more robustly to household-level feedback that situates their usage within a personalized framework, thereby reducing the cognitive burden of determining next steps (</w:t>
      </w:r>
      <w:hyperlink w:anchor="X6b928f3b3d6d58eb00a6f05f7cc31476714d0fc">
        <w:r>
          <w:rPr>
            <w:rStyle w:val="Hyperlink"/>
          </w:rPr>
          <w:t>Nemati &amp; Penn, 2020</w:t>
        </w:r>
      </w:hyperlink>
      <w:r>
        <w:t>).</w:t>
      </w:r>
    </w:p>
    <w:p w14:paraId="5AF64837" w14:textId="77777777" w:rsidR="008B36CB" w:rsidRDefault="00000000">
      <w:pPr>
        <w:pStyle w:val="BodyText"/>
      </w:pPr>
      <w:r>
        <w:t>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 (</w:t>
      </w:r>
      <w:hyperlink w:anchor="X48ee7d52bd4db5ee8bad5220fee5b9ac66ecac9">
        <w:r>
          <w:rPr>
            <w:rStyle w:val="Hyperlink"/>
          </w:rPr>
          <w:t>Gigerenzer &amp; Edwards, 2003</w:t>
        </w:r>
      </w:hyperlink>
      <w:r>
        <w:t xml:space="preserve">; </w:t>
      </w:r>
      <w:hyperlink w:anchor="ref-reimerNumericCommunicationRisk2015">
        <w:r>
          <w:rPr>
            <w:rStyle w:val="Hyperlink"/>
          </w:rPr>
          <w:t>Reimer et al., 2015</w:t>
        </w:r>
      </w:hyperlink>
      <w:r>
        <w:t xml:space="preserve">). A substantial body of evidence suggests that presenting data in terms of absolute counts </w:t>
      </w:r>
      <w:r>
        <w:lastRenderedPageBreak/>
        <w:t>or frequencies, as opposed to probabilities or percentages, can promote more accurate comprehension and facilitate decision making. However, it is important to note that even intuitive formats can pose challenges. For instance, Weber et al. (</w:t>
      </w:r>
      <w:hyperlink w:anchor="ref-weberWhyCanOnly2018">
        <w:r>
          <w:rPr>
            <w:rStyle w:val="Hyperlink"/>
          </w:rPr>
          <w:t>2018</w:t>
        </w:r>
      </w:hyperlink>
      <w:r>
        <w:t>) found that individuals often struggle with reasoning tasks presented in natural frequencies because they inadvertently revert to more complex probabilistic thinking.</w:t>
      </w:r>
    </w:p>
    <w:p w14:paraId="353D41B2" w14:textId="77777777" w:rsidR="008B36CB" w:rsidRDefault="00000000">
      <w:pPr>
        <w:pStyle w:val="BodyText"/>
      </w:pPr>
      <w:r>
        <w:t>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 (</w:t>
      </w:r>
      <w:hyperlink w:anchor="X583a2aeb73133489b1bca7034fc4c88220fccdb">
        <w:r>
          <w:rPr>
            <w:rStyle w:val="Hyperlink"/>
          </w:rPr>
          <w:t>Canfield et al., 2017</w:t>
        </w:r>
      </w:hyperlink>
      <w:r>
        <w:t>). Furthermore, the framing of energy costs, such as displaying monthly rather than daily or yearly expenses, can significantly affect consumers’ choices (</w:t>
      </w:r>
      <w:hyperlink w:anchor="ref-gillConsumerMatchingCosts2022">
        <w:r>
          <w:rPr>
            <w:rStyle w:val="Hyperlink"/>
          </w:rPr>
          <w:t>Gill et al., 2022</w:t>
        </w:r>
      </w:hyperlink>
      <w:r>
        <w:t>).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 (</w:t>
      </w:r>
      <w:hyperlink w:anchor="X227e3d6b85043161ccff60bb73ea027362781dc">
        <w:r>
          <w:rPr>
            <w:rStyle w:val="Hyperlink"/>
          </w:rPr>
          <w:t>Karjalainen, 2011</w:t>
        </w:r>
      </w:hyperlink>
      <w:r>
        <w:t xml:space="preserve">; </w:t>
      </w:r>
      <w:hyperlink w:anchor="X6b928f3b3d6d58eb00a6f05f7cc31476714d0fc">
        <w:r>
          <w:rPr>
            <w:rStyle w:val="Hyperlink"/>
          </w:rPr>
          <w:t>Nemati &amp; Penn, 2020</w:t>
        </w:r>
      </w:hyperlink>
      <w:r>
        <w:t>), as well as better long-term appliance selection with information presented in monetary terms (</w:t>
      </w:r>
      <w:hyperlink w:anchor="ref-blaschBoundedlyRationalConsumers2019">
        <w:r>
          <w:rPr>
            <w:rStyle w:val="Hyperlink"/>
          </w:rPr>
          <w:t>Blasch et al., 2019</w:t>
        </w:r>
      </w:hyperlink>
      <w:r>
        <w:t>). However, it remains uncertain how these reported benefits might generalize to the more complex task of household energy planning, where usage patterns are multifaceted and subject to a variety of contextual influences.</w:t>
      </w:r>
    </w:p>
    <w:p w14:paraId="0A0E09BB" w14:textId="77777777" w:rsidR="008B36CB" w:rsidRDefault="00000000">
      <w:pPr>
        <w:pStyle w:val="Heading3"/>
      </w:pPr>
      <w:bookmarkStart w:id="5" w:name="overview-of-current-research"/>
      <w:bookmarkEnd w:id="4"/>
      <w:r>
        <w:lastRenderedPageBreak/>
        <w:t>Overview of Current Research</w:t>
      </w:r>
    </w:p>
    <w:p w14:paraId="57980A06" w14:textId="77777777" w:rsidR="008B36CB" w:rsidRDefault="00000000">
      <w:pPr>
        <w:pStyle w:val="FirstParagraph"/>
      </w:pPr>
      <w:r>
        <w:t>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hypothesized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examined the potential of several exploratory variables, such as goal difficulty and the rounding of numerical values, to further elucidate the factors that influence planning accuracy.</w:t>
      </w:r>
    </w:p>
    <w:p w14:paraId="79BA26FD" w14:textId="77777777" w:rsidR="00E76EC1" w:rsidRDefault="00E76EC1" w:rsidP="00E76EC1">
      <w:pPr>
        <w:pStyle w:val="BodyText"/>
      </w:pPr>
    </w:p>
    <w:p w14:paraId="6309CA2B" w14:textId="77777777" w:rsidR="00E76EC1" w:rsidRDefault="00E76EC1" w:rsidP="00E76EC1">
      <w:pPr>
        <w:pStyle w:val="BodyText"/>
      </w:pPr>
    </w:p>
    <w:p w14:paraId="53A891B7" w14:textId="77777777" w:rsidR="00E76EC1" w:rsidRDefault="00E76EC1" w:rsidP="00E76EC1">
      <w:pPr>
        <w:pStyle w:val="BodyText"/>
      </w:pPr>
    </w:p>
    <w:p w14:paraId="693EDBB1" w14:textId="77777777" w:rsidR="00E76EC1" w:rsidRPr="00E76EC1" w:rsidRDefault="00E76EC1" w:rsidP="00E76EC1">
      <w:pPr>
        <w:pStyle w:val="BodyText"/>
      </w:pPr>
    </w:p>
    <w:p w14:paraId="7EC55FC4" w14:textId="77777777" w:rsidR="008B36CB" w:rsidRDefault="00000000">
      <w:pPr>
        <w:pStyle w:val="Heading1"/>
      </w:pPr>
      <w:bookmarkStart w:id="6" w:name="experiment-1"/>
      <w:bookmarkEnd w:id="3"/>
      <w:bookmarkEnd w:id="5"/>
      <w:r>
        <w:lastRenderedPageBreak/>
        <w:t>Experiment 1</w:t>
      </w:r>
    </w:p>
    <w:p w14:paraId="74F7EF5D" w14:textId="77777777" w:rsidR="008B36CB" w:rsidRDefault="00000000">
      <w:pPr>
        <w:pStyle w:val="FirstParagraph"/>
      </w:pPr>
      <w:r>
        <w:t xml:space="preserve">See </w:t>
      </w:r>
      <w:hyperlink w:anchor="fig-task">
        <w:r>
          <w:rPr>
            <w:rStyle w:val="Hyperlink"/>
          </w:rPr>
          <w:t>Figure 1</w:t>
        </w:r>
      </w:hyperlink>
      <w:r>
        <w:t xml:space="preserve"> for an example of a planning trial as it was seen by participants.</w:t>
      </w:r>
    </w:p>
    <w:p w14:paraId="66A6CB14" w14:textId="77777777" w:rsidR="008B36CB" w:rsidRDefault="00000000">
      <w:pPr>
        <w:pStyle w:val="Heading2"/>
      </w:pPr>
      <w:bookmarkStart w:id="7" w:name="methods"/>
      <w:r>
        <w:t>Methods</w:t>
      </w:r>
    </w:p>
    <w:p w14:paraId="27C9A7B1" w14:textId="77777777" w:rsidR="008B36CB" w:rsidRDefault="00000000">
      <w:pPr>
        <w:pStyle w:val="Heading3"/>
      </w:pPr>
      <w:bookmarkStart w:id="8" w:name="participants"/>
      <w:r>
        <w:t>Participants</w:t>
      </w:r>
    </w:p>
    <w:p w14:paraId="7E32FA94" w14:textId="77777777" w:rsidR="008B36CB" w:rsidRDefault="00000000">
      <w:pPr>
        <w:pStyle w:val="FirstParagraph"/>
      </w:pPr>
      <w:r>
        <w:t>We implemented our task and surveys on Qualtrics, and recruited participants through Amazon Mechanical Turk. In Experiment 1, 235 participants were initially recruited. Data from six participants were excluded due to unusually large error magnitudes (error magnitudes exceeding 2.5 standard deviations from the group mean), resulting in a final sample of 229 participants (136 males, 92 females, 1 participant not specified). The average age of participants was 34.3 years (SD = 10.2). Most participants (76%) reported using a calculator to complete the task.</w:t>
      </w:r>
    </w:p>
    <w:p w14:paraId="04C3F256" w14:textId="77777777" w:rsidR="008B36CB" w:rsidRDefault="00000000">
      <w:pPr>
        <w:pStyle w:val="Heading3"/>
      </w:pPr>
      <w:bookmarkStart w:id="9" w:name="materials-and-design"/>
      <w:bookmarkEnd w:id="8"/>
      <w:r>
        <w:t>Materials and Design</w:t>
      </w:r>
    </w:p>
    <w:p w14:paraId="6C347660" w14:textId="77777777" w:rsidR="008B36CB" w:rsidRDefault="00000000">
      <w:pPr>
        <w:pStyle w:val="FirstParagraph"/>
      </w:pPr>
      <w:r>
        <w:t>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Participants also completed an 8-item questionnaire assessing their knowledge of energy consumption and conversion (</w:t>
      </w:r>
      <w:hyperlink w:anchor="ref-dewatersEnergyLiteracySecondary2011">
        <w:r>
          <w:rPr>
            <w:rStyle w:val="Hyperlink"/>
          </w:rPr>
          <w:t>DeWaters &amp; Powers, 2011</w:t>
        </w:r>
      </w:hyperlink>
      <w:r>
        <w:t>), and a question indicating whether they used a calculator for the task.</w:t>
      </w:r>
    </w:p>
    <w:p w14:paraId="33AE365D" w14:textId="77777777" w:rsidR="008B36CB" w:rsidRDefault="00000000">
      <w:pPr>
        <w:pStyle w:val="Heading3"/>
      </w:pPr>
      <w:bookmarkStart w:id="10" w:name="procedure"/>
      <w:bookmarkEnd w:id="9"/>
      <w:r>
        <w:lastRenderedPageBreak/>
        <w:t>Procedure</w:t>
      </w:r>
    </w:p>
    <w:p w14:paraId="3D68606E" w14:textId="77777777" w:rsidR="008B36CB" w:rsidRDefault="00000000">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 </w:t>
      </w:r>
      <w:hyperlink w:anchor="fig-task">
        <w:r>
          <w:rPr>
            <w:rStyle w:val="Hyperlink"/>
          </w:rPr>
          <w:t>Figure 1</w:t>
        </w:r>
      </w:hyperlink>
      <w:r>
        <w:t>).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p w14:paraId="68484336" w14:textId="77777777" w:rsidR="008B36CB" w:rsidRDefault="00000000">
      <w:pPr>
        <w:pStyle w:val="FigureTitle"/>
      </w:pPr>
      <w:bookmarkStart w:id="11" w:name="fig-task"/>
      <w:r>
        <w:lastRenderedPageBreak/>
        <w:t>Figure 1</w:t>
      </w:r>
    </w:p>
    <w:p w14:paraId="374753FF" w14:textId="77777777" w:rsidR="008B36CB" w:rsidRDefault="00000000">
      <w:pPr>
        <w:pStyle w:val="Caption"/>
      </w:pPr>
      <w:r>
        <w:t>Example energy planning task trial</w:t>
      </w:r>
    </w:p>
    <w:p w14:paraId="466E2E42" w14:textId="77777777" w:rsidR="008B36CB" w:rsidRDefault="00000000">
      <w:pPr>
        <w:pStyle w:val="FigureWithNote"/>
      </w:pPr>
      <w:r>
        <w:rPr>
          <w:noProof/>
        </w:rPr>
        <w:drawing>
          <wp:inline distT="0" distB="0" distL="0" distR="0" wp14:anchorId="5FEB9CEA" wp14:editId="5817B032">
            <wp:extent cx="4401879" cy="5018567"/>
            <wp:effectExtent l="0" t="0" r="508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ssets/images/wells10e_pub.png"/>
                    <pic:cNvPicPr>
                      <a:picLocks noChangeAspect="1" noChangeArrowheads="1"/>
                    </pic:cNvPicPr>
                  </pic:nvPicPr>
                  <pic:blipFill>
                    <a:blip r:embed="rId7"/>
                    <a:stretch>
                      <a:fillRect/>
                    </a:stretch>
                  </pic:blipFill>
                  <pic:spPr bwMode="auto">
                    <a:xfrm>
                      <a:off x="0" y="0"/>
                      <a:ext cx="4425394" cy="5045376"/>
                    </a:xfrm>
                    <a:prstGeom prst="rect">
                      <a:avLst/>
                    </a:prstGeom>
                    <a:noFill/>
                    <a:ln w="9525">
                      <a:noFill/>
                      <a:headEnd/>
                      <a:tailEnd/>
                    </a:ln>
                  </pic:spPr>
                </pic:pic>
              </a:graphicData>
            </a:graphic>
          </wp:inline>
        </w:drawing>
      </w:r>
    </w:p>
    <w:bookmarkEnd w:id="11"/>
    <w:p w14:paraId="0BF184E7" w14:textId="70296797" w:rsidR="008B36CB" w:rsidRDefault="00000000">
      <w:pPr>
        <w:pStyle w:val="FigureNote"/>
      </w:pPr>
      <w:r>
        <w:rPr>
          <w:i/>
          <w:iCs/>
        </w:rPr>
        <w:t>Note</w:t>
      </w:r>
      <w:r>
        <w:t>. Participants saw a table with a family’s previous year electricity usage (here for the Wells family in Colorado) and were asked to allocate energy usage to meet a 15% reduction goal. The format of the reduction goal was manipulated to be either a percentage (15% reduction), kilowatt hours (5965 kWh), or USD ($656). Participants in the USD condition were provided with the conversion rate between kWh and USD. All participants completed two scenarios, and for each scenario, they proposed two distinct action plans</w:t>
      </w:r>
      <w:r w:rsidR="00025759">
        <w:t xml:space="preserve">. </w:t>
      </w:r>
    </w:p>
    <w:p w14:paraId="4B844D1C" w14:textId="77777777" w:rsidR="008B36CB" w:rsidRDefault="00000000">
      <w:pPr>
        <w:pStyle w:val="Heading2"/>
      </w:pPr>
      <w:bookmarkStart w:id="12" w:name="results"/>
      <w:bookmarkEnd w:id="7"/>
      <w:bookmarkEnd w:id="10"/>
      <w:r>
        <w:lastRenderedPageBreak/>
        <w:t>Results</w:t>
      </w:r>
    </w:p>
    <w:p w14:paraId="2D8F180B" w14:textId="77777777" w:rsidR="008B36CB" w:rsidRDefault="00000000">
      <w:pPr>
        <w:pStyle w:val="FirstParagraph"/>
      </w:pPr>
      <w:r>
        <w:t xml:space="preserve">All preprocessing and analyses were carried out in </w:t>
      </w:r>
      <w:r>
        <w:rPr>
          <w:rStyle w:val="VerbatimChar"/>
        </w:rPr>
        <w:t>R</w:t>
      </w:r>
      <w:r>
        <w:t xml:space="preserve"> version 4.4.3 (</w:t>
      </w:r>
      <w:hyperlink w:anchor="X7b3c79bfb7654af1f4b03dba64dad1a6765c972">
        <w:r>
          <w:rPr>
            <w:rStyle w:val="Hyperlink"/>
          </w:rPr>
          <w:t>Team, 2020</w:t>
        </w:r>
      </w:hyperlink>
      <w:r>
        <w:t>) and the Tidyverse package (</w:t>
      </w:r>
      <w:hyperlink w:anchor="ref-wickhamWelcomeTidyverse2019">
        <w:r>
          <w:rPr>
            <w:rStyle w:val="Hyperlink"/>
          </w:rPr>
          <w:t>Wickham et al., 2019</w:t>
        </w:r>
      </w:hyperlink>
      <w:r>
        <w:t xml:space="preserve">). Mixed Bayesian regressions were fit using the </w:t>
      </w:r>
      <w:r>
        <w:rPr>
          <w:rStyle w:val="VerbatimChar"/>
        </w:rPr>
        <w:t>brms</w:t>
      </w:r>
      <w:r>
        <w:t xml:space="preserve"> package (</w:t>
      </w:r>
      <w:hyperlink w:anchor="ref-burknerBrmsPackageBayesian2017">
        <w:r>
          <w:rPr>
            <w:rStyle w:val="Hyperlink"/>
          </w:rPr>
          <w:t>Bürkner, 2017</w:t>
        </w:r>
      </w:hyperlink>
      <w:r>
        <w:t>), with participants and family scenario set as random effects.</w:t>
      </w:r>
    </w:p>
    <w:p w14:paraId="659A34E9" w14:textId="77777777" w:rsidR="008B36CB" w:rsidRDefault="00000000">
      <w:pPr>
        <w:pStyle w:val="FigureTitle"/>
      </w:pPr>
      <w:bookmarkStart w:id="13" w:name="tbl-s1-agg"/>
      <w:r>
        <w:t>Table 1</w:t>
      </w:r>
    </w:p>
    <w:p w14:paraId="67ECC375" w14:textId="77777777" w:rsidR="008B36CB" w:rsidRDefault="00000000">
      <w:pPr>
        <w:pStyle w:val="Caption"/>
      </w:pPr>
      <w:r>
        <w:t>Study 1: Summary of planning accuracy by reference class</w:t>
      </w:r>
    </w:p>
    <w:tbl>
      <w:tblPr>
        <w:tblStyle w:val="Table"/>
        <w:tblW w:w="5000" w:type="pct"/>
        <w:tblLayout w:type="fixed"/>
        <w:tblLook w:val="0020" w:firstRow="1" w:lastRow="0" w:firstColumn="0" w:lastColumn="0" w:noHBand="0" w:noVBand="0"/>
      </w:tblPr>
      <w:tblGrid>
        <w:gridCol w:w="1610"/>
        <w:gridCol w:w="640"/>
        <w:gridCol w:w="1674"/>
        <w:gridCol w:w="2013"/>
        <w:gridCol w:w="1510"/>
        <w:gridCol w:w="1913"/>
      </w:tblGrid>
      <w:tr w:rsidR="008B36CB" w14:paraId="09023ECB" w14:textId="77777777" w:rsidTr="00022973">
        <w:trPr>
          <w:cnfStyle w:val="100000000000" w:firstRow="1" w:lastRow="0" w:firstColumn="0" w:lastColumn="0" w:oddVBand="0" w:evenVBand="0" w:oddHBand="0" w:evenHBand="0" w:firstRowFirstColumn="0" w:firstRowLastColumn="0" w:lastRowFirstColumn="0" w:lastRowLastColumn="0"/>
          <w:tblHeader/>
        </w:trPr>
        <w:tc>
          <w:tcPr>
            <w:tcW w:w="1610" w:type="dxa"/>
          </w:tcPr>
          <w:p w14:paraId="0113402A" w14:textId="77777777" w:rsidR="008B36CB" w:rsidRDefault="00000000">
            <w:pPr>
              <w:pStyle w:val="Compact"/>
            </w:pPr>
            <w:r>
              <w:t>Reference Class</w:t>
            </w:r>
          </w:p>
        </w:tc>
        <w:tc>
          <w:tcPr>
            <w:tcW w:w="640" w:type="dxa"/>
          </w:tcPr>
          <w:p w14:paraId="5A914ADF" w14:textId="77777777" w:rsidR="008B36CB" w:rsidRDefault="00000000">
            <w:pPr>
              <w:pStyle w:val="Compact"/>
            </w:pPr>
            <w:r>
              <w:t>N</w:t>
            </w:r>
          </w:p>
        </w:tc>
        <w:tc>
          <w:tcPr>
            <w:tcW w:w="1674" w:type="dxa"/>
          </w:tcPr>
          <w:p w14:paraId="12F22F06" w14:textId="77777777" w:rsidR="008B36CB" w:rsidRDefault="00000000">
            <w:pPr>
              <w:pStyle w:val="Compact"/>
            </w:pPr>
            <w:r>
              <w:t>Exact Match Rate(%)</w:t>
            </w:r>
          </w:p>
        </w:tc>
        <w:tc>
          <w:tcPr>
            <w:tcW w:w="2013" w:type="dxa"/>
          </w:tcPr>
          <w:p w14:paraId="7002A83B" w14:textId="77777777" w:rsidR="008B36CB" w:rsidRDefault="00000000">
            <w:pPr>
              <w:pStyle w:val="Compact"/>
            </w:pPr>
            <w:r>
              <w:t>Close Match Rate(%)</w:t>
            </w:r>
          </w:p>
        </w:tc>
        <w:tc>
          <w:tcPr>
            <w:tcW w:w="1510" w:type="dxa"/>
          </w:tcPr>
          <w:p w14:paraId="30FCE256" w14:textId="77777777" w:rsidR="008B36CB" w:rsidRDefault="00000000">
            <w:pPr>
              <w:pStyle w:val="Compact"/>
            </w:pPr>
            <w:r>
              <w:t>Abs. Deviation</w:t>
            </w:r>
          </w:p>
        </w:tc>
        <w:tc>
          <w:tcPr>
            <w:tcW w:w="1913" w:type="dxa"/>
          </w:tcPr>
          <w:p w14:paraId="7083BD4E" w14:textId="77777777" w:rsidR="008B36CB" w:rsidRDefault="00000000">
            <w:pPr>
              <w:pStyle w:val="Compact"/>
            </w:pPr>
            <w:r>
              <w:t>Log Abs. Deviation</w:t>
            </w:r>
          </w:p>
        </w:tc>
      </w:tr>
      <w:tr w:rsidR="008B36CB" w14:paraId="02E6F62F" w14:textId="77777777" w:rsidTr="00022973">
        <w:tc>
          <w:tcPr>
            <w:tcW w:w="1610" w:type="dxa"/>
          </w:tcPr>
          <w:p w14:paraId="362FA2FA" w14:textId="77777777" w:rsidR="008B36CB" w:rsidRDefault="00000000">
            <w:pPr>
              <w:pStyle w:val="Compact"/>
            </w:pPr>
            <w:r>
              <w:t>kWh</w:t>
            </w:r>
          </w:p>
        </w:tc>
        <w:tc>
          <w:tcPr>
            <w:tcW w:w="640" w:type="dxa"/>
          </w:tcPr>
          <w:p w14:paraId="5C8C1142" w14:textId="77777777" w:rsidR="008B36CB" w:rsidRDefault="00000000">
            <w:pPr>
              <w:pStyle w:val="Compact"/>
            </w:pPr>
            <w:r>
              <w:t>76</w:t>
            </w:r>
          </w:p>
        </w:tc>
        <w:tc>
          <w:tcPr>
            <w:tcW w:w="1674" w:type="dxa"/>
          </w:tcPr>
          <w:p w14:paraId="047EF2E9" w14:textId="77777777" w:rsidR="008B36CB" w:rsidRDefault="00000000">
            <w:pPr>
              <w:pStyle w:val="Compact"/>
            </w:pPr>
            <w:r>
              <w:t>38 (45)</w:t>
            </w:r>
          </w:p>
        </w:tc>
        <w:tc>
          <w:tcPr>
            <w:tcW w:w="2013" w:type="dxa"/>
          </w:tcPr>
          <w:p w14:paraId="153997A2" w14:textId="77777777" w:rsidR="008B36CB" w:rsidRDefault="00000000">
            <w:pPr>
              <w:pStyle w:val="Compact"/>
            </w:pPr>
            <w:r>
              <w:t>54 (45)</w:t>
            </w:r>
          </w:p>
        </w:tc>
        <w:tc>
          <w:tcPr>
            <w:tcW w:w="1510" w:type="dxa"/>
          </w:tcPr>
          <w:p w14:paraId="5D7AE429" w14:textId="77777777" w:rsidR="008B36CB" w:rsidRDefault="00000000">
            <w:pPr>
              <w:pStyle w:val="Compact"/>
            </w:pPr>
            <w:r>
              <w:t>0.029 (0.117)</w:t>
            </w:r>
          </w:p>
        </w:tc>
        <w:tc>
          <w:tcPr>
            <w:tcW w:w="1913" w:type="dxa"/>
          </w:tcPr>
          <w:p w14:paraId="4E8FEF95" w14:textId="77777777" w:rsidR="008B36CB" w:rsidRDefault="00000000">
            <w:pPr>
              <w:pStyle w:val="Compact"/>
            </w:pPr>
            <w:r>
              <w:t>-3.69 (2.79)</w:t>
            </w:r>
          </w:p>
        </w:tc>
      </w:tr>
      <w:tr w:rsidR="008B36CB" w14:paraId="4E40CB1B" w14:textId="77777777" w:rsidTr="00022973">
        <w:tc>
          <w:tcPr>
            <w:tcW w:w="1610" w:type="dxa"/>
          </w:tcPr>
          <w:p w14:paraId="717F0E63" w14:textId="77777777" w:rsidR="008B36CB" w:rsidRDefault="00000000">
            <w:pPr>
              <w:pStyle w:val="Compact"/>
            </w:pPr>
            <w:r>
              <w:t>Percentage</w:t>
            </w:r>
          </w:p>
        </w:tc>
        <w:tc>
          <w:tcPr>
            <w:tcW w:w="640" w:type="dxa"/>
          </w:tcPr>
          <w:p w14:paraId="3257D757" w14:textId="77777777" w:rsidR="008B36CB" w:rsidRDefault="00000000">
            <w:pPr>
              <w:pStyle w:val="Compact"/>
            </w:pPr>
            <w:r>
              <w:t>67</w:t>
            </w:r>
          </w:p>
        </w:tc>
        <w:tc>
          <w:tcPr>
            <w:tcW w:w="1674" w:type="dxa"/>
          </w:tcPr>
          <w:p w14:paraId="6EECFA3F" w14:textId="77777777" w:rsidR="008B36CB" w:rsidRDefault="00000000">
            <w:pPr>
              <w:pStyle w:val="Compact"/>
            </w:pPr>
            <w:r>
              <w:t>22 (37)</w:t>
            </w:r>
          </w:p>
        </w:tc>
        <w:tc>
          <w:tcPr>
            <w:tcW w:w="2013" w:type="dxa"/>
          </w:tcPr>
          <w:p w14:paraId="14493455" w14:textId="77777777" w:rsidR="008B36CB" w:rsidRDefault="00000000">
            <w:pPr>
              <w:pStyle w:val="Compact"/>
            </w:pPr>
            <w:r>
              <w:t>40 (41)</w:t>
            </w:r>
          </w:p>
        </w:tc>
        <w:tc>
          <w:tcPr>
            <w:tcW w:w="1510" w:type="dxa"/>
          </w:tcPr>
          <w:p w14:paraId="57695481" w14:textId="77777777" w:rsidR="008B36CB" w:rsidRDefault="00000000">
            <w:pPr>
              <w:pStyle w:val="Compact"/>
            </w:pPr>
            <w:r>
              <w:t>0.056 (0.104)</w:t>
            </w:r>
          </w:p>
        </w:tc>
        <w:tc>
          <w:tcPr>
            <w:tcW w:w="1913" w:type="dxa"/>
          </w:tcPr>
          <w:p w14:paraId="7EDBB878" w14:textId="77777777" w:rsidR="008B36CB" w:rsidRDefault="00000000">
            <w:pPr>
              <w:pStyle w:val="Compact"/>
            </w:pPr>
            <w:r>
              <w:t>-3.10 (1.87)</w:t>
            </w:r>
          </w:p>
        </w:tc>
      </w:tr>
      <w:tr w:rsidR="008B36CB" w14:paraId="5097E637" w14:textId="77777777" w:rsidTr="00022973">
        <w:tc>
          <w:tcPr>
            <w:tcW w:w="1610" w:type="dxa"/>
          </w:tcPr>
          <w:p w14:paraId="26BC99DC" w14:textId="77777777" w:rsidR="008B36CB" w:rsidRDefault="00000000">
            <w:pPr>
              <w:pStyle w:val="Compact"/>
            </w:pPr>
            <w:r>
              <w:t>USD</w:t>
            </w:r>
          </w:p>
        </w:tc>
        <w:tc>
          <w:tcPr>
            <w:tcW w:w="640" w:type="dxa"/>
          </w:tcPr>
          <w:p w14:paraId="2C67589A" w14:textId="77777777" w:rsidR="008B36CB" w:rsidRDefault="00000000">
            <w:pPr>
              <w:pStyle w:val="Compact"/>
            </w:pPr>
            <w:r>
              <w:t>86</w:t>
            </w:r>
          </w:p>
        </w:tc>
        <w:tc>
          <w:tcPr>
            <w:tcW w:w="1674" w:type="dxa"/>
          </w:tcPr>
          <w:p w14:paraId="13BED0F5" w14:textId="77777777" w:rsidR="008B36CB" w:rsidRDefault="00000000">
            <w:pPr>
              <w:pStyle w:val="Compact"/>
            </w:pPr>
            <w:r>
              <w:t>10 (28)</w:t>
            </w:r>
          </w:p>
        </w:tc>
        <w:tc>
          <w:tcPr>
            <w:tcW w:w="2013" w:type="dxa"/>
          </w:tcPr>
          <w:p w14:paraId="1A6305A6" w14:textId="77777777" w:rsidR="008B36CB" w:rsidRDefault="00000000">
            <w:pPr>
              <w:pStyle w:val="Compact"/>
            </w:pPr>
            <w:r>
              <w:t>22 (33)</w:t>
            </w:r>
          </w:p>
        </w:tc>
        <w:tc>
          <w:tcPr>
            <w:tcW w:w="1510" w:type="dxa"/>
          </w:tcPr>
          <w:p w14:paraId="63DC5F16" w14:textId="77777777" w:rsidR="008B36CB" w:rsidRDefault="00000000">
            <w:pPr>
              <w:pStyle w:val="Compact"/>
            </w:pPr>
            <w:r>
              <w:t>0.095 (0.094)</w:t>
            </w:r>
          </w:p>
        </w:tc>
        <w:tc>
          <w:tcPr>
            <w:tcW w:w="1913" w:type="dxa"/>
          </w:tcPr>
          <w:p w14:paraId="1838A829" w14:textId="77777777" w:rsidR="008B36CB" w:rsidRDefault="00000000">
            <w:pPr>
              <w:pStyle w:val="Compact"/>
            </w:pPr>
            <w:r>
              <w:t>-2.40 (1.09)</w:t>
            </w:r>
          </w:p>
        </w:tc>
      </w:tr>
    </w:tbl>
    <w:bookmarkEnd w:id="13"/>
    <w:p w14:paraId="6E67A418" w14:textId="77777777" w:rsidR="008B36CB" w:rsidRDefault="00000000">
      <w:pPr>
        <w:pStyle w:val="FigureNote"/>
      </w:pPr>
      <w:r>
        <w:rPr>
          <w:i/>
          <w:iCs/>
        </w:rPr>
        <w:t>Note</w:t>
      </w:r>
      <w:r>
        <w:t>.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14:paraId="190F1DF0" w14:textId="77777777" w:rsidR="008B36CB" w:rsidRDefault="00000000">
      <w:pPr>
        <w:pStyle w:val="BodyText"/>
      </w:pPr>
      <w:r>
        <w:t xml:space="preserve">The summary statistics in </w:t>
      </w:r>
      <w:hyperlink w:anchor="tbl-s1-agg">
        <w:r>
          <w:rPr>
            <w:rStyle w:val="Hyperlink"/>
          </w:rPr>
          <w:t>Table 1</w:t>
        </w:r>
      </w:hyperlink>
      <w:r>
        <w:t xml:space="preserve"> suggest descriptive differences in planning accuracy across reference class conditions, with the kWh condition yielding the highest rates of exact matches, and lowest absolute deviations from the target reduction goal. However, use of these performance metrics to compare conditions is complicated by the non-normality of their distributions. Specifically, the substantial standard deviations associated with the match rates in </w:t>
      </w:r>
      <w:hyperlink w:anchor="tbl-s1-agg">
        <w:r>
          <w:rPr>
            <w:rStyle w:val="Hyperlink"/>
          </w:rPr>
          <w:t>Table 1</w:t>
        </w:r>
      </w:hyperlink>
      <w:r>
        <w:t xml:space="preserve">, coupled with the visual evidence presented in </w:t>
      </w:r>
      <w:hyperlink w:anchor="fig-s1-log-dist">
        <w:r>
          <w:rPr>
            <w:rStyle w:val="Hyperlink"/>
          </w:rPr>
          <w:t>Figure 2</w:t>
        </w:r>
      </w:hyperlink>
      <w:r>
        <w:t>, underscore the markedly skewed, and potentially bi-modal distribution of the underlying planning errors.</w:t>
      </w:r>
    </w:p>
    <w:p w14:paraId="73FC4558" w14:textId="77777777" w:rsidR="008B36CB" w:rsidRDefault="00000000">
      <w:pPr>
        <w:pStyle w:val="BodyText"/>
      </w:pPr>
      <w:r>
        <w:lastRenderedPageBreak/>
        <w:t xml:space="preserve">In light of these distributional characteristics, we elected to bin planning performance into ordered accuracy levels (as shown in </w:t>
      </w:r>
      <w:hyperlink w:anchor="tbl-s1-prop">
        <w:r>
          <w:rPr>
            <w:rStyle w:val="Hyperlink"/>
          </w:rPr>
          <w:t>Table 2</w:t>
        </w:r>
      </w:hyperlink>
      <w:r>
        <w:t xml:space="preserve">). Consequently, we binned individual trial outcomes into three distinct, ordered categories: “Exact match” (0% absolute error), “0.01-5% error” (minor deviations), and “Over 5% error” (larger deviations). This binned </w:t>
      </w:r>
      <w:r>
        <w:rPr>
          <w:rStyle w:val="VerbatimChar"/>
        </w:rPr>
        <w:t>accuracy_level</w:t>
      </w:r>
      <w:r>
        <w:t xml:space="preserve"> variable subsequently served as the dependent measure in our primary inferential analyses examining the impact of reference class on planning accuracy</w:t>
      </w:r>
    </w:p>
    <w:p w14:paraId="2FFD33E9" w14:textId="77777777" w:rsidR="008B36CB" w:rsidRDefault="00000000">
      <w:pPr>
        <w:pStyle w:val="FigureTitle"/>
      </w:pPr>
      <w:bookmarkStart w:id="14" w:name="fig-s1-log-dist"/>
      <w:r>
        <w:t>Figure 2</w:t>
      </w:r>
    </w:p>
    <w:p w14:paraId="1FBD3D8D" w14:textId="77777777" w:rsidR="008B36CB" w:rsidRDefault="00000000">
      <w:pPr>
        <w:pStyle w:val="Caption"/>
      </w:pPr>
      <w:r>
        <w:t>Experiment 1: Planning Error Distributions</w:t>
      </w:r>
    </w:p>
    <w:p w14:paraId="39EEFDC6" w14:textId="77777777" w:rsidR="008B36CB" w:rsidRDefault="00000000">
      <w:pPr>
        <w:pStyle w:val="FigureWithNote"/>
      </w:pPr>
      <w:r>
        <w:rPr>
          <w:noProof/>
        </w:rPr>
        <w:drawing>
          <wp:inline distT="0" distB="0" distL="0" distR="0" wp14:anchorId="3F3E4BB6" wp14:editId="53EB52D1">
            <wp:extent cx="5943600" cy="4322618"/>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anuscript_files/figure-docx/fig-s1-log-dist-1.png"/>
                    <pic:cNvPicPr>
                      <a:picLocks noChangeAspect="1" noChangeArrowheads="1"/>
                    </pic:cNvPicPr>
                  </pic:nvPicPr>
                  <pic:blipFill>
                    <a:blip r:embed="rId8"/>
                    <a:stretch>
                      <a:fillRect/>
                    </a:stretch>
                  </pic:blipFill>
                  <pic:spPr bwMode="auto">
                    <a:xfrm>
                      <a:off x="0" y="0"/>
                      <a:ext cx="5943600" cy="4322618"/>
                    </a:xfrm>
                    <a:prstGeom prst="rect">
                      <a:avLst/>
                    </a:prstGeom>
                    <a:noFill/>
                    <a:ln w="9525">
                      <a:noFill/>
                      <a:headEnd/>
                      <a:tailEnd/>
                    </a:ln>
                  </pic:spPr>
                </pic:pic>
              </a:graphicData>
            </a:graphic>
          </wp:inline>
        </w:drawing>
      </w:r>
    </w:p>
    <w:bookmarkEnd w:id="14"/>
    <w:p w14:paraId="208A6D92" w14:textId="77777777" w:rsidR="008B36CB" w:rsidRDefault="00000000">
      <w:pPr>
        <w:pStyle w:val="FigureNote"/>
      </w:pPr>
      <w:r>
        <w:rPr>
          <w:i/>
          <w:iCs/>
        </w:rPr>
        <w:t>Note</w:t>
      </w:r>
      <w:r>
        <w:t xml:space="preserve">. Distribution of the log of the absolute error between the participant’s action plan and the reduction goal. Left side plot separates across different reference class conditions (kWh, </w:t>
      </w:r>
      <w:r>
        <w:lastRenderedPageBreak/>
        <w:t>Percentage, USD). Right side plot separates by self-reported calculator use. A lower log absolute error suggests higher planning accuracy.</w:t>
      </w:r>
    </w:p>
    <w:p w14:paraId="043291E3" w14:textId="77777777" w:rsidR="0008575E" w:rsidRDefault="0008575E">
      <w:pPr>
        <w:pStyle w:val="FigureNote"/>
      </w:pPr>
    </w:p>
    <w:p w14:paraId="799A4F4E" w14:textId="77777777" w:rsidR="008B36CB" w:rsidRDefault="00000000">
      <w:pPr>
        <w:pStyle w:val="FigureTitle"/>
      </w:pPr>
      <w:bookmarkStart w:id="15" w:name="tbl-s1-prop"/>
      <w:r>
        <w:t>Table 2</w:t>
      </w:r>
    </w:p>
    <w:p w14:paraId="2FE1584D" w14:textId="77777777" w:rsidR="008B36CB" w:rsidRDefault="00000000">
      <w:pPr>
        <w:pStyle w:val="Caption"/>
      </w:pPr>
      <w:r>
        <w:t>Experiment 1: Categorization of Participants according to Accuracy Levels</w:t>
      </w:r>
    </w:p>
    <w:tbl>
      <w:tblPr>
        <w:tblStyle w:val="Table"/>
        <w:tblW w:w="0" w:type="auto"/>
        <w:tblLook w:val="0020" w:firstRow="1" w:lastRow="0" w:firstColumn="0" w:lastColumn="0" w:noHBand="0" w:noVBand="0"/>
      </w:tblPr>
      <w:tblGrid>
        <w:gridCol w:w="1642"/>
        <w:gridCol w:w="736"/>
        <w:gridCol w:w="1169"/>
        <w:gridCol w:w="736"/>
      </w:tblGrid>
      <w:tr w:rsidR="008B36CB" w14:paraId="02A0172B" w14:textId="77777777" w:rsidTr="008B36CB">
        <w:trPr>
          <w:cnfStyle w:val="100000000000" w:firstRow="1" w:lastRow="0" w:firstColumn="0" w:lastColumn="0" w:oddVBand="0" w:evenVBand="0" w:oddHBand="0" w:evenHBand="0" w:firstRowFirstColumn="0" w:firstRowLastColumn="0" w:lastRowFirstColumn="0" w:lastRowLastColumn="0"/>
          <w:tblHeader/>
        </w:trPr>
        <w:tc>
          <w:tcPr>
            <w:tcW w:w="0" w:type="auto"/>
          </w:tcPr>
          <w:p w14:paraId="73054A47" w14:textId="77777777" w:rsidR="008B36CB" w:rsidRDefault="00000000">
            <w:pPr>
              <w:pStyle w:val="Compact"/>
            </w:pPr>
            <w:r>
              <w:t>Accuracy Level</w:t>
            </w:r>
          </w:p>
        </w:tc>
        <w:tc>
          <w:tcPr>
            <w:tcW w:w="0" w:type="auto"/>
          </w:tcPr>
          <w:p w14:paraId="2CFF6A80" w14:textId="77777777" w:rsidR="008B36CB" w:rsidRDefault="00000000">
            <w:pPr>
              <w:pStyle w:val="Compact"/>
            </w:pPr>
            <w:r>
              <w:t>kWh</w:t>
            </w:r>
          </w:p>
        </w:tc>
        <w:tc>
          <w:tcPr>
            <w:tcW w:w="0" w:type="auto"/>
          </w:tcPr>
          <w:p w14:paraId="5DA568C5" w14:textId="77777777" w:rsidR="008B36CB" w:rsidRDefault="00000000">
            <w:pPr>
              <w:pStyle w:val="Compact"/>
            </w:pPr>
            <w:r>
              <w:t>Percentage</w:t>
            </w:r>
          </w:p>
        </w:tc>
        <w:tc>
          <w:tcPr>
            <w:tcW w:w="0" w:type="auto"/>
          </w:tcPr>
          <w:p w14:paraId="2DB13737" w14:textId="77777777" w:rsidR="008B36CB" w:rsidRDefault="00000000">
            <w:pPr>
              <w:pStyle w:val="Compact"/>
            </w:pPr>
            <w:r>
              <w:t>USD</w:t>
            </w:r>
          </w:p>
        </w:tc>
      </w:tr>
      <w:tr w:rsidR="008B36CB" w14:paraId="1BB7BE6E" w14:textId="77777777">
        <w:tc>
          <w:tcPr>
            <w:tcW w:w="0" w:type="auto"/>
          </w:tcPr>
          <w:p w14:paraId="52A58C76" w14:textId="77777777" w:rsidR="008B36CB" w:rsidRDefault="00000000">
            <w:pPr>
              <w:pStyle w:val="Compact"/>
            </w:pPr>
            <w:r>
              <w:t>Exact match</w:t>
            </w:r>
          </w:p>
        </w:tc>
        <w:tc>
          <w:tcPr>
            <w:tcW w:w="0" w:type="auto"/>
          </w:tcPr>
          <w:p w14:paraId="340A5B6B" w14:textId="77777777" w:rsidR="008B36CB" w:rsidRDefault="00000000">
            <w:pPr>
              <w:pStyle w:val="Compact"/>
            </w:pPr>
            <w:r>
              <w:t>38.5%</w:t>
            </w:r>
          </w:p>
        </w:tc>
        <w:tc>
          <w:tcPr>
            <w:tcW w:w="0" w:type="auto"/>
          </w:tcPr>
          <w:p w14:paraId="0C61EC78" w14:textId="77777777" w:rsidR="008B36CB" w:rsidRDefault="00000000">
            <w:pPr>
              <w:pStyle w:val="Compact"/>
            </w:pPr>
            <w:r>
              <w:t>22.4%</w:t>
            </w:r>
          </w:p>
        </w:tc>
        <w:tc>
          <w:tcPr>
            <w:tcW w:w="0" w:type="auto"/>
          </w:tcPr>
          <w:p w14:paraId="23B96DD8" w14:textId="77777777" w:rsidR="008B36CB" w:rsidRDefault="00000000">
            <w:pPr>
              <w:pStyle w:val="Compact"/>
            </w:pPr>
            <w:r>
              <w:t>10.2%</w:t>
            </w:r>
          </w:p>
        </w:tc>
      </w:tr>
      <w:tr w:rsidR="008B36CB" w14:paraId="00902C8F" w14:textId="77777777">
        <w:tc>
          <w:tcPr>
            <w:tcW w:w="0" w:type="auto"/>
          </w:tcPr>
          <w:p w14:paraId="731135F5" w14:textId="77777777" w:rsidR="008B36CB" w:rsidRDefault="00000000">
            <w:pPr>
              <w:pStyle w:val="Compact"/>
            </w:pPr>
            <w:r>
              <w:t>0.01-5% error</w:t>
            </w:r>
          </w:p>
        </w:tc>
        <w:tc>
          <w:tcPr>
            <w:tcW w:w="0" w:type="auto"/>
          </w:tcPr>
          <w:p w14:paraId="764FFA73" w14:textId="77777777" w:rsidR="008B36CB" w:rsidRDefault="00000000">
            <w:pPr>
              <w:pStyle w:val="Compact"/>
            </w:pPr>
            <w:r>
              <w:t>22.7%</w:t>
            </w:r>
          </w:p>
        </w:tc>
        <w:tc>
          <w:tcPr>
            <w:tcW w:w="0" w:type="auto"/>
          </w:tcPr>
          <w:p w14:paraId="7548171E" w14:textId="77777777" w:rsidR="008B36CB" w:rsidRDefault="00000000">
            <w:pPr>
              <w:pStyle w:val="Compact"/>
            </w:pPr>
            <w:r>
              <w:t>29.5%</w:t>
            </w:r>
          </w:p>
        </w:tc>
        <w:tc>
          <w:tcPr>
            <w:tcW w:w="0" w:type="auto"/>
          </w:tcPr>
          <w:p w14:paraId="69ABD827" w14:textId="77777777" w:rsidR="008B36CB" w:rsidRDefault="00000000">
            <w:pPr>
              <w:pStyle w:val="Compact"/>
            </w:pPr>
            <w:r>
              <w:t>25%</w:t>
            </w:r>
          </w:p>
        </w:tc>
      </w:tr>
      <w:tr w:rsidR="008B36CB" w14:paraId="56B27CF2" w14:textId="77777777">
        <w:tc>
          <w:tcPr>
            <w:tcW w:w="0" w:type="auto"/>
          </w:tcPr>
          <w:p w14:paraId="360A1C01" w14:textId="77777777" w:rsidR="008B36CB" w:rsidRDefault="00000000">
            <w:pPr>
              <w:pStyle w:val="Compact"/>
            </w:pPr>
            <w:r>
              <w:t>Over 5% error</w:t>
            </w:r>
          </w:p>
        </w:tc>
        <w:tc>
          <w:tcPr>
            <w:tcW w:w="0" w:type="auto"/>
          </w:tcPr>
          <w:p w14:paraId="3CE112BA" w14:textId="77777777" w:rsidR="008B36CB" w:rsidRDefault="00000000">
            <w:pPr>
              <w:pStyle w:val="Compact"/>
            </w:pPr>
            <w:r>
              <w:t>38.8%</w:t>
            </w:r>
          </w:p>
        </w:tc>
        <w:tc>
          <w:tcPr>
            <w:tcW w:w="0" w:type="auto"/>
          </w:tcPr>
          <w:p w14:paraId="21985000" w14:textId="77777777" w:rsidR="008B36CB" w:rsidRDefault="00000000">
            <w:pPr>
              <w:pStyle w:val="Compact"/>
            </w:pPr>
            <w:r>
              <w:t>48.1%</w:t>
            </w:r>
          </w:p>
        </w:tc>
        <w:tc>
          <w:tcPr>
            <w:tcW w:w="0" w:type="auto"/>
          </w:tcPr>
          <w:p w14:paraId="6B41CF16" w14:textId="77777777" w:rsidR="008B36CB" w:rsidRDefault="00000000">
            <w:pPr>
              <w:pStyle w:val="Compact"/>
            </w:pPr>
            <w:r>
              <w:t>64.8%</w:t>
            </w:r>
          </w:p>
        </w:tc>
      </w:tr>
    </w:tbl>
    <w:bookmarkEnd w:id="15"/>
    <w:p w14:paraId="187036CB" w14:textId="77777777" w:rsidR="008B36CB" w:rsidRDefault="00000000">
      <w:pPr>
        <w:pStyle w:val="FigureNote"/>
      </w:pPr>
      <w:r>
        <w:rPr>
          <w:i/>
          <w:iCs/>
        </w:rPr>
        <w:t>Note</w:t>
      </w:r>
      <w:r>
        <w:t>. The table shows the percentage of action-plans which fell into each accuracy level for each reference class condition (percentages of kWh, $, and USD columns reflect within condition percentages).</w:t>
      </w:r>
    </w:p>
    <w:p w14:paraId="23F2CC49" w14:textId="77777777" w:rsidR="008B36CB" w:rsidRDefault="00000000">
      <w:r>
        <w:br w:type="page"/>
      </w:r>
    </w:p>
    <w:p w14:paraId="3493CB63" w14:textId="77777777" w:rsidR="008B36CB" w:rsidRDefault="00000000">
      <w:pPr>
        <w:pStyle w:val="BodyText"/>
      </w:pPr>
      <w:r>
        <w:lastRenderedPageBreak/>
        <w:t>Group comparisons were conducted with Bayesian ordinal regression (</w:t>
      </w:r>
      <w:hyperlink w:anchor="ref-burknerOrdinalRegressionModels2019">
        <w:r>
          <w:rPr>
            <w:rStyle w:val="Hyperlink"/>
          </w:rPr>
          <w:t>Bürkner &amp; Vuorre, 2019</w:t>
        </w:r>
      </w:hyperlink>
      <w:r>
        <w:t xml:space="preserve">; </w:t>
      </w:r>
      <w:hyperlink w:anchor="ref-kruschkeDoingBayesianData2014">
        <w:r>
          <w:rPr>
            <w:rStyle w:val="Hyperlink"/>
          </w:rPr>
          <w:t>Kruschke, 2014</w:t>
        </w:r>
      </w:hyperlink>
      <w:r>
        <w:t>). We modeled the ordered accuracy outcome as a function of the reference class condition, while controlling for random variation across participants and family scenarios (</w:t>
      </w:r>
      <w:hyperlink w:anchor="eq-e1">
        <w:r>
          <w:rPr>
            <w:rStyle w:val="Hyperlink"/>
          </w:rPr>
          <w:t>Equation 1</w:t>
        </w:r>
      </w:hyperlink>
      <w:r>
        <w:t>).</w:t>
      </w:r>
    </w:p>
    <w:p w14:paraId="24EE57A7" w14:textId="77777777" w:rsidR="008B36CB" w:rsidRDefault="00000000">
      <w:pPr>
        <w:pStyle w:val="BodyText"/>
      </w:pPr>
      <w:bookmarkStart w:id="16" w:name="eq-e1"/>
      <m:oMathPara>
        <m:oMathParaPr>
          <m:jc m:val="center"/>
        </m:oMathParaPr>
        <m:oMath>
          <m:r>
            <m:rPr>
              <m:nor/>
            </m:rPr>
            <m:t>Accuracy Level</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r>
            <w:rPr>
              <w:rFonts w:ascii="Cambria Math" w:hAnsi="Cambria Math"/>
            </w:rPr>
            <m:t>  </m:t>
          </m:r>
          <m:d>
            <m:dPr>
              <m:ctrlPr>
                <w:rPr>
                  <w:rFonts w:ascii="Cambria Math" w:hAnsi="Cambria Math"/>
                </w:rPr>
              </m:ctrlPr>
            </m:dPr>
            <m:e>
              <m:r>
                <w:rPr>
                  <w:rFonts w:ascii="Cambria Math" w:hAnsi="Cambria Math"/>
                </w:rPr>
                <m:t>1</m:t>
              </m:r>
            </m:e>
          </m:d>
        </m:oMath>
      </m:oMathPara>
      <w:bookmarkEnd w:id="16"/>
    </w:p>
    <w:p w14:paraId="66A56E78" w14:textId="14553F2D" w:rsidR="008B36CB" w:rsidRDefault="00000000">
      <w:pPr>
        <w:pStyle w:val="FirstParagraph"/>
      </w:pPr>
      <w:r>
        <w:t>This approach allows the estimation of threshold parameters and regression coefficients that characterize how changes in predictor variables (such as the reference class: kWh, percentage, or USD) relate to probabilities of being in each accuracy category. We used a cumulative logit link function to model the ordered accuracy outcome, and we specified weakly informative priors (</w:t>
      </w:r>
      <w:hyperlink w:anchor="ref-kruschkeDoingBayesianData2014">
        <w:r>
          <w:rPr>
            <w:rStyle w:val="Hyperlink"/>
          </w:rPr>
          <w:t>Kruschke, 2014</w:t>
        </w:r>
      </w:hyperlink>
      <w:r>
        <w:t>) 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level of accuracy (0% absolute error; 0.01-5% error; Over 5% error). Bayesian regression provides a probability distribution over the plausible values of the model parameters, allowing for a probabilistic interpretation of the uncertainty associated with these estimates.</w:t>
      </w:r>
      <w:r w:rsidR="00DB6471">
        <w:t xml:space="preserve"> </w:t>
      </w:r>
      <w:r>
        <w:t>The width of the credible intervals (Bayesian equivalent of confidence intervals) derived from the posterior distribution directly indicates the degree of uncertainty in these effects.</w:t>
      </w:r>
    </w:p>
    <w:p w14:paraId="738BD266" w14:textId="77777777" w:rsidR="008B36CB" w:rsidRDefault="00000000">
      <w:pPr>
        <w:pStyle w:val="FigureTitle"/>
      </w:pPr>
      <w:bookmarkStart w:id="17" w:name="tbl-s1-reg"/>
      <w:r>
        <w:lastRenderedPageBreak/>
        <w:t>Table 3</w:t>
      </w:r>
    </w:p>
    <w:p w14:paraId="561386F8" w14:textId="77777777" w:rsidR="008B36CB" w:rsidRDefault="00000000">
      <w:pPr>
        <w:pStyle w:val="Caption"/>
      </w:pPr>
      <w:r>
        <w:rPr>
          <w:b/>
          <w:bCs/>
        </w:rPr>
        <w:t>Experiment 1</w:t>
      </w:r>
      <w:r>
        <w:t>: Ordinal Regression Results of a Test of Differences between conditions in Accuracy Levels</w:t>
      </w:r>
    </w:p>
    <w:tbl>
      <w:tblPr>
        <w:tblStyle w:val="Table"/>
        <w:tblW w:w="0" w:type="auto"/>
        <w:tblLook w:val="0020" w:firstRow="1" w:lastRow="0" w:firstColumn="0" w:lastColumn="0" w:noHBand="0" w:noVBand="0"/>
      </w:tblPr>
      <w:tblGrid>
        <w:gridCol w:w="2116"/>
        <w:gridCol w:w="956"/>
        <w:gridCol w:w="1103"/>
        <w:gridCol w:w="1076"/>
        <w:gridCol w:w="536"/>
      </w:tblGrid>
      <w:tr w:rsidR="008B36CB" w14:paraId="03C73345" w14:textId="77777777" w:rsidTr="008B36CB">
        <w:trPr>
          <w:cnfStyle w:val="100000000000" w:firstRow="1" w:lastRow="0" w:firstColumn="0" w:lastColumn="0" w:oddVBand="0" w:evenVBand="0" w:oddHBand="0" w:evenHBand="0" w:firstRowFirstColumn="0" w:firstRowLastColumn="0" w:lastRowFirstColumn="0" w:lastRowLastColumn="0"/>
          <w:tblHeader/>
        </w:trPr>
        <w:tc>
          <w:tcPr>
            <w:tcW w:w="0" w:type="auto"/>
          </w:tcPr>
          <w:p w14:paraId="462DB1EF" w14:textId="77777777" w:rsidR="008B36CB" w:rsidRDefault="00000000">
            <w:pPr>
              <w:pStyle w:val="Compact"/>
            </w:pPr>
            <w:r>
              <w:t>Parameter</w:t>
            </w:r>
          </w:p>
        </w:tc>
        <w:tc>
          <w:tcPr>
            <w:tcW w:w="0" w:type="auto"/>
          </w:tcPr>
          <w:p w14:paraId="620FEF7F" w14:textId="77777777" w:rsidR="008B36CB" w:rsidRDefault="00000000">
            <w:pPr>
              <w:pStyle w:val="Compact"/>
            </w:pPr>
            <w:r>
              <w:t>Estimate</w:t>
            </w:r>
          </w:p>
        </w:tc>
        <w:tc>
          <w:tcPr>
            <w:tcW w:w="0" w:type="auto"/>
          </w:tcPr>
          <w:p w14:paraId="1863B487" w14:textId="77777777" w:rsidR="008B36CB" w:rsidRDefault="00000000">
            <w:pPr>
              <w:pStyle w:val="Compact"/>
            </w:pPr>
            <w:r>
              <w:t>CI_Lower</w:t>
            </w:r>
          </w:p>
        </w:tc>
        <w:tc>
          <w:tcPr>
            <w:tcW w:w="0" w:type="auto"/>
          </w:tcPr>
          <w:p w14:paraId="44116D45" w14:textId="77777777" w:rsidR="008B36CB" w:rsidRDefault="00000000">
            <w:pPr>
              <w:pStyle w:val="Compact"/>
            </w:pPr>
            <w:r>
              <w:t>CI_Upper</w:t>
            </w:r>
          </w:p>
        </w:tc>
        <w:tc>
          <w:tcPr>
            <w:tcW w:w="0" w:type="auto"/>
          </w:tcPr>
          <w:p w14:paraId="6B99BBD1" w14:textId="77777777" w:rsidR="008B36CB" w:rsidRDefault="00000000">
            <w:pPr>
              <w:pStyle w:val="Compact"/>
            </w:pPr>
            <w:r>
              <w:t>pd</w:t>
            </w:r>
          </w:p>
        </w:tc>
      </w:tr>
      <w:tr w:rsidR="008B36CB" w14:paraId="0DA2A1A9" w14:textId="77777777">
        <w:tc>
          <w:tcPr>
            <w:tcW w:w="0" w:type="auto"/>
          </w:tcPr>
          <w:p w14:paraId="0C069897" w14:textId="77777777" w:rsidR="008B36CB" w:rsidRDefault="00000000">
            <w:pPr>
              <w:pStyle w:val="Compact"/>
            </w:pPr>
            <w:r>
              <w:t>Intercept[1]</w:t>
            </w:r>
          </w:p>
        </w:tc>
        <w:tc>
          <w:tcPr>
            <w:tcW w:w="0" w:type="auto"/>
          </w:tcPr>
          <w:p w14:paraId="74188702" w14:textId="77777777" w:rsidR="008B36CB" w:rsidRDefault="00000000">
            <w:pPr>
              <w:pStyle w:val="Compact"/>
            </w:pPr>
            <w:r>
              <w:t>-4.21</w:t>
            </w:r>
          </w:p>
        </w:tc>
        <w:tc>
          <w:tcPr>
            <w:tcW w:w="0" w:type="auto"/>
          </w:tcPr>
          <w:p w14:paraId="6C0053BB" w14:textId="77777777" w:rsidR="008B36CB" w:rsidRDefault="00000000">
            <w:pPr>
              <w:pStyle w:val="Compact"/>
            </w:pPr>
            <w:r>
              <w:t>-5.90</w:t>
            </w:r>
          </w:p>
        </w:tc>
        <w:tc>
          <w:tcPr>
            <w:tcW w:w="0" w:type="auto"/>
          </w:tcPr>
          <w:p w14:paraId="63991E73" w14:textId="77777777" w:rsidR="008B36CB" w:rsidRDefault="00000000">
            <w:pPr>
              <w:pStyle w:val="Compact"/>
            </w:pPr>
            <w:r>
              <w:t>-2.58</w:t>
            </w:r>
          </w:p>
        </w:tc>
        <w:tc>
          <w:tcPr>
            <w:tcW w:w="0" w:type="auto"/>
          </w:tcPr>
          <w:p w14:paraId="043202D0" w14:textId="77777777" w:rsidR="008B36CB" w:rsidRDefault="00000000">
            <w:pPr>
              <w:pStyle w:val="Compact"/>
            </w:pPr>
            <w:r>
              <w:t>1.00</w:t>
            </w:r>
          </w:p>
        </w:tc>
      </w:tr>
      <w:tr w:rsidR="008B36CB" w14:paraId="4FD6D5E0" w14:textId="77777777">
        <w:tc>
          <w:tcPr>
            <w:tcW w:w="0" w:type="auto"/>
          </w:tcPr>
          <w:p w14:paraId="3320776F" w14:textId="77777777" w:rsidR="008B36CB" w:rsidRDefault="00000000">
            <w:pPr>
              <w:pStyle w:val="Compact"/>
            </w:pPr>
            <w:r>
              <w:t>Intercept[2]</w:t>
            </w:r>
          </w:p>
        </w:tc>
        <w:tc>
          <w:tcPr>
            <w:tcW w:w="0" w:type="auto"/>
          </w:tcPr>
          <w:p w14:paraId="7F92A926" w14:textId="77777777" w:rsidR="008B36CB" w:rsidRDefault="00000000">
            <w:pPr>
              <w:pStyle w:val="Compact"/>
            </w:pPr>
            <w:r>
              <w:t>-0.89</w:t>
            </w:r>
          </w:p>
        </w:tc>
        <w:tc>
          <w:tcPr>
            <w:tcW w:w="0" w:type="auto"/>
          </w:tcPr>
          <w:p w14:paraId="3870101D" w14:textId="77777777" w:rsidR="008B36CB" w:rsidRDefault="00000000">
            <w:pPr>
              <w:pStyle w:val="Compact"/>
            </w:pPr>
            <w:r>
              <w:t>-2.49</w:t>
            </w:r>
          </w:p>
        </w:tc>
        <w:tc>
          <w:tcPr>
            <w:tcW w:w="0" w:type="auto"/>
          </w:tcPr>
          <w:p w14:paraId="3E27055F" w14:textId="77777777" w:rsidR="008B36CB" w:rsidRDefault="00000000">
            <w:pPr>
              <w:pStyle w:val="Compact"/>
            </w:pPr>
            <w:r>
              <w:t>0.71</w:t>
            </w:r>
          </w:p>
        </w:tc>
        <w:tc>
          <w:tcPr>
            <w:tcW w:w="0" w:type="auto"/>
          </w:tcPr>
          <w:p w14:paraId="7A05E95F" w14:textId="77777777" w:rsidR="008B36CB" w:rsidRDefault="00000000">
            <w:pPr>
              <w:pStyle w:val="Compact"/>
            </w:pPr>
            <w:r>
              <w:t>0.87</w:t>
            </w:r>
          </w:p>
        </w:tc>
      </w:tr>
      <w:tr w:rsidR="008B36CB" w14:paraId="78DE6D9E" w14:textId="77777777">
        <w:tc>
          <w:tcPr>
            <w:tcW w:w="0" w:type="auto"/>
          </w:tcPr>
          <w:p w14:paraId="7FD7CFA8" w14:textId="77777777" w:rsidR="008B36CB" w:rsidRDefault="00000000">
            <w:pPr>
              <w:pStyle w:val="Compact"/>
            </w:pPr>
            <w:r>
              <w:t>RefClass-Percentage</w:t>
            </w:r>
          </w:p>
        </w:tc>
        <w:tc>
          <w:tcPr>
            <w:tcW w:w="0" w:type="auto"/>
          </w:tcPr>
          <w:p w14:paraId="154665B5" w14:textId="77777777" w:rsidR="008B36CB" w:rsidRDefault="00000000">
            <w:pPr>
              <w:pStyle w:val="Compact"/>
            </w:pPr>
            <w:r>
              <w:t>1.44</w:t>
            </w:r>
          </w:p>
        </w:tc>
        <w:tc>
          <w:tcPr>
            <w:tcW w:w="0" w:type="auto"/>
          </w:tcPr>
          <w:p w14:paraId="48B88607" w14:textId="77777777" w:rsidR="008B36CB" w:rsidRDefault="00000000">
            <w:pPr>
              <w:pStyle w:val="Compact"/>
            </w:pPr>
            <w:r>
              <w:t>0.07</w:t>
            </w:r>
          </w:p>
        </w:tc>
        <w:tc>
          <w:tcPr>
            <w:tcW w:w="0" w:type="auto"/>
          </w:tcPr>
          <w:p w14:paraId="69FA9A00" w14:textId="77777777" w:rsidR="008B36CB" w:rsidRDefault="00000000">
            <w:pPr>
              <w:pStyle w:val="Compact"/>
            </w:pPr>
            <w:r>
              <w:t>2.88</w:t>
            </w:r>
          </w:p>
        </w:tc>
        <w:tc>
          <w:tcPr>
            <w:tcW w:w="0" w:type="auto"/>
          </w:tcPr>
          <w:p w14:paraId="4DF2DB93" w14:textId="77777777" w:rsidR="008B36CB" w:rsidRDefault="00000000">
            <w:pPr>
              <w:pStyle w:val="Compact"/>
            </w:pPr>
            <w:r>
              <w:t>0.98</w:t>
            </w:r>
          </w:p>
        </w:tc>
      </w:tr>
      <w:tr w:rsidR="008B36CB" w14:paraId="1FC1D023" w14:textId="77777777">
        <w:tc>
          <w:tcPr>
            <w:tcW w:w="0" w:type="auto"/>
          </w:tcPr>
          <w:p w14:paraId="082030BA" w14:textId="77777777" w:rsidR="008B36CB" w:rsidRDefault="00000000">
            <w:pPr>
              <w:pStyle w:val="Compact"/>
            </w:pPr>
            <w:r>
              <w:t>RefClass-USD</w:t>
            </w:r>
          </w:p>
        </w:tc>
        <w:tc>
          <w:tcPr>
            <w:tcW w:w="0" w:type="auto"/>
          </w:tcPr>
          <w:p w14:paraId="55F9F974" w14:textId="77777777" w:rsidR="008B36CB" w:rsidRDefault="00000000">
            <w:pPr>
              <w:pStyle w:val="Compact"/>
            </w:pPr>
            <w:r>
              <w:t>3.13</w:t>
            </w:r>
          </w:p>
        </w:tc>
        <w:tc>
          <w:tcPr>
            <w:tcW w:w="0" w:type="auto"/>
          </w:tcPr>
          <w:p w14:paraId="71E3C595" w14:textId="77777777" w:rsidR="008B36CB" w:rsidRDefault="00000000">
            <w:pPr>
              <w:pStyle w:val="Compact"/>
            </w:pPr>
            <w:r>
              <w:t>1.81</w:t>
            </w:r>
          </w:p>
        </w:tc>
        <w:tc>
          <w:tcPr>
            <w:tcW w:w="0" w:type="auto"/>
          </w:tcPr>
          <w:p w14:paraId="4A1FDB4A" w14:textId="77777777" w:rsidR="008B36CB" w:rsidRDefault="00000000">
            <w:pPr>
              <w:pStyle w:val="Compact"/>
            </w:pPr>
            <w:r>
              <w:t>4.50</w:t>
            </w:r>
          </w:p>
        </w:tc>
        <w:tc>
          <w:tcPr>
            <w:tcW w:w="0" w:type="auto"/>
          </w:tcPr>
          <w:p w14:paraId="432C90F5" w14:textId="77777777" w:rsidR="008B36CB" w:rsidRDefault="00000000">
            <w:pPr>
              <w:pStyle w:val="Compact"/>
            </w:pPr>
            <w:r>
              <w:t>1.00</w:t>
            </w:r>
          </w:p>
        </w:tc>
      </w:tr>
      <w:tr w:rsidR="008B36CB" w14:paraId="05961AE6" w14:textId="77777777">
        <w:tc>
          <w:tcPr>
            <w:tcW w:w="0" w:type="auto"/>
          </w:tcPr>
          <w:p w14:paraId="695A8CFA" w14:textId="77777777" w:rsidR="008B36CB" w:rsidRDefault="00000000">
            <w:pPr>
              <w:pStyle w:val="Compact"/>
            </w:pPr>
            <w:r>
              <w:t>calc-UsedCalculator</w:t>
            </w:r>
          </w:p>
        </w:tc>
        <w:tc>
          <w:tcPr>
            <w:tcW w:w="0" w:type="auto"/>
          </w:tcPr>
          <w:p w14:paraId="51DF50D9" w14:textId="77777777" w:rsidR="008B36CB" w:rsidRDefault="00000000">
            <w:pPr>
              <w:pStyle w:val="Compact"/>
            </w:pPr>
            <w:r>
              <w:t>-3.30</w:t>
            </w:r>
          </w:p>
        </w:tc>
        <w:tc>
          <w:tcPr>
            <w:tcW w:w="0" w:type="auto"/>
          </w:tcPr>
          <w:p w14:paraId="7F2D8299" w14:textId="77777777" w:rsidR="008B36CB" w:rsidRDefault="00000000">
            <w:pPr>
              <w:pStyle w:val="Compact"/>
            </w:pPr>
            <w:r>
              <w:t>-4.80</w:t>
            </w:r>
          </w:p>
        </w:tc>
        <w:tc>
          <w:tcPr>
            <w:tcW w:w="0" w:type="auto"/>
          </w:tcPr>
          <w:p w14:paraId="0FF82BC2" w14:textId="77777777" w:rsidR="008B36CB" w:rsidRDefault="00000000">
            <w:pPr>
              <w:pStyle w:val="Compact"/>
            </w:pPr>
            <w:r>
              <w:t>-1.92</w:t>
            </w:r>
          </w:p>
        </w:tc>
        <w:tc>
          <w:tcPr>
            <w:tcW w:w="0" w:type="auto"/>
          </w:tcPr>
          <w:p w14:paraId="3EB374D6" w14:textId="77777777" w:rsidR="008B36CB" w:rsidRDefault="00000000">
            <w:pPr>
              <w:pStyle w:val="Compact"/>
            </w:pPr>
            <w:r>
              <w:t>1.00</w:t>
            </w:r>
          </w:p>
        </w:tc>
      </w:tr>
    </w:tbl>
    <w:bookmarkEnd w:id="17"/>
    <w:p w14:paraId="6A92A545" w14:textId="77777777" w:rsidR="008B36CB" w:rsidRDefault="00000000">
      <w:pPr>
        <w:pStyle w:val="FigureNote"/>
      </w:pPr>
      <w:r>
        <w:rPr>
          <w:i/>
          <w:iCs/>
        </w:rPr>
        <w:t>Note</w:t>
      </w:r>
      <w:r>
        <w:t>. Ordinal regression results. Positive coefficient estimates for the reference class predictors indicate that those conditions are associated with higher error categories relative to the kWh baseline.</w:t>
      </w:r>
    </w:p>
    <w:p w14:paraId="16DB3F5B" w14:textId="77777777" w:rsidR="008B36CB" w:rsidRDefault="00000000">
      <w:pPr>
        <w:pStyle w:val="BodyText"/>
      </w:pPr>
      <w:r>
        <w:t xml:space="preserve"> </w:t>
      </w:r>
    </w:p>
    <w:p w14:paraId="741A4020" w14:textId="77777777" w:rsidR="008B36CB" w:rsidRDefault="00000000">
      <w:pPr>
        <w:pStyle w:val="FigureTitle"/>
      </w:pPr>
      <w:bookmarkStart w:id="18" w:name="tbl-s1-ord"/>
      <w:r>
        <w:t>Table 4</w:t>
      </w:r>
    </w:p>
    <w:p w14:paraId="2E1B0310" w14:textId="77777777" w:rsidR="008B36CB" w:rsidRDefault="00000000">
      <w:pPr>
        <w:pStyle w:val="Caption"/>
      </w:pPr>
      <w:r>
        <w:rPr>
          <w:b/>
          <w:bCs/>
        </w:rPr>
        <w:t>Experiment 1</w:t>
      </w:r>
      <w:r>
        <w:t>: Odds ratios for group comparisons</w:t>
      </w:r>
    </w:p>
    <w:tbl>
      <w:tblPr>
        <w:tblStyle w:val="Table"/>
        <w:tblW w:w="0" w:type="auto"/>
        <w:tblLook w:val="0020" w:firstRow="1" w:lastRow="0" w:firstColumn="0" w:lastColumn="0" w:noHBand="0" w:noVBand="0"/>
      </w:tblPr>
      <w:tblGrid>
        <w:gridCol w:w="1969"/>
        <w:gridCol w:w="1130"/>
        <w:gridCol w:w="956"/>
        <w:gridCol w:w="956"/>
      </w:tblGrid>
      <w:tr w:rsidR="008B36CB" w14:paraId="30710438" w14:textId="77777777" w:rsidTr="008B36CB">
        <w:trPr>
          <w:cnfStyle w:val="100000000000" w:firstRow="1" w:lastRow="0" w:firstColumn="0" w:lastColumn="0" w:oddVBand="0" w:evenVBand="0" w:oddHBand="0" w:evenHBand="0" w:firstRowFirstColumn="0" w:firstRowLastColumn="0" w:lastRowFirstColumn="0" w:lastRowLastColumn="0"/>
          <w:tblHeader/>
        </w:trPr>
        <w:tc>
          <w:tcPr>
            <w:tcW w:w="0" w:type="auto"/>
          </w:tcPr>
          <w:p w14:paraId="5D5144D1" w14:textId="77777777" w:rsidR="008B36CB" w:rsidRDefault="00000000">
            <w:pPr>
              <w:pStyle w:val="Compact"/>
            </w:pPr>
            <w:r>
              <w:t>Comparison</w:t>
            </w:r>
          </w:p>
        </w:tc>
        <w:tc>
          <w:tcPr>
            <w:tcW w:w="0" w:type="auto"/>
          </w:tcPr>
          <w:p w14:paraId="11C9F51F" w14:textId="77777777" w:rsidR="008B36CB" w:rsidRDefault="00000000">
            <w:pPr>
              <w:pStyle w:val="Compact"/>
            </w:pPr>
            <w:r>
              <w:t>odds_ratio</w:t>
            </w:r>
          </w:p>
        </w:tc>
        <w:tc>
          <w:tcPr>
            <w:tcW w:w="0" w:type="auto"/>
          </w:tcPr>
          <w:p w14:paraId="0BCD6F05" w14:textId="77777777" w:rsidR="008B36CB" w:rsidRDefault="00000000">
            <w:pPr>
              <w:pStyle w:val="Compact"/>
            </w:pPr>
            <w:r>
              <w:t>ci_lower</w:t>
            </w:r>
          </w:p>
        </w:tc>
        <w:tc>
          <w:tcPr>
            <w:tcW w:w="0" w:type="auto"/>
          </w:tcPr>
          <w:p w14:paraId="6328D49A" w14:textId="77777777" w:rsidR="008B36CB" w:rsidRDefault="00000000">
            <w:pPr>
              <w:pStyle w:val="Compact"/>
            </w:pPr>
            <w:r>
              <w:t>ci_upper</w:t>
            </w:r>
          </w:p>
        </w:tc>
      </w:tr>
      <w:tr w:rsidR="008B36CB" w14:paraId="07A41CF7" w14:textId="77777777">
        <w:tc>
          <w:tcPr>
            <w:tcW w:w="0" w:type="auto"/>
          </w:tcPr>
          <w:p w14:paraId="7ABB9DE0" w14:textId="77777777" w:rsidR="008B36CB" w:rsidRDefault="00000000">
            <w:pPr>
              <w:pStyle w:val="Compact"/>
            </w:pPr>
            <w:r>
              <w:t>Percentage vs kWh</w:t>
            </w:r>
          </w:p>
        </w:tc>
        <w:tc>
          <w:tcPr>
            <w:tcW w:w="0" w:type="auto"/>
          </w:tcPr>
          <w:p w14:paraId="0AA489CC" w14:textId="77777777" w:rsidR="008B36CB" w:rsidRDefault="00000000">
            <w:pPr>
              <w:pStyle w:val="Compact"/>
            </w:pPr>
            <w:r>
              <w:t>4.2</w:t>
            </w:r>
          </w:p>
        </w:tc>
        <w:tc>
          <w:tcPr>
            <w:tcW w:w="0" w:type="auto"/>
          </w:tcPr>
          <w:p w14:paraId="65470E7B" w14:textId="77777777" w:rsidR="008B36CB" w:rsidRDefault="00000000">
            <w:pPr>
              <w:pStyle w:val="Compact"/>
            </w:pPr>
            <w:r>
              <w:t>1.1</w:t>
            </w:r>
          </w:p>
        </w:tc>
        <w:tc>
          <w:tcPr>
            <w:tcW w:w="0" w:type="auto"/>
          </w:tcPr>
          <w:p w14:paraId="72036770" w14:textId="77777777" w:rsidR="008B36CB" w:rsidRDefault="00000000">
            <w:pPr>
              <w:pStyle w:val="Compact"/>
            </w:pPr>
            <w:r>
              <w:t>18</w:t>
            </w:r>
          </w:p>
        </w:tc>
      </w:tr>
      <w:tr w:rsidR="008B36CB" w14:paraId="2BDB2CF4" w14:textId="77777777">
        <w:tc>
          <w:tcPr>
            <w:tcW w:w="0" w:type="auto"/>
          </w:tcPr>
          <w:p w14:paraId="3DF7EB26" w14:textId="77777777" w:rsidR="008B36CB" w:rsidRDefault="00000000">
            <w:pPr>
              <w:pStyle w:val="Compact"/>
            </w:pPr>
            <w:r>
              <w:t>USD vs kWh</w:t>
            </w:r>
          </w:p>
        </w:tc>
        <w:tc>
          <w:tcPr>
            <w:tcW w:w="0" w:type="auto"/>
          </w:tcPr>
          <w:p w14:paraId="6B04EC37" w14:textId="77777777" w:rsidR="008B36CB" w:rsidRDefault="00000000">
            <w:pPr>
              <w:pStyle w:val="Compact"/>
            </w:pPr>
            <w:r>
              <w:t>22.9</w:t>
            </w:r>
          </w:p>
        </w:tc>
        <w:tc>
          <w:tcPr>
            <w:tcW w:w="0" w:type="auto"/>
          </w:tcPr>
          <w:p w14:paraId="36E6EAE6" w14:textId="77777777" w:rsidR="008B36CB" w:rsidRDefault="00000000">
            <w:pPr>
              <w:pStyle w:val="Compact"/>
            </w:pPr>
            <w:r>
              <w:t>6.1</w:t>
            </w:r>
          </w:p>
        </w:tc>
        <w:tc>
          <w:tcPr>
            <w:tcW w:w="0" w:type="auto"/>
          </w:tcPr>
          <w:p w14:paraId="53CE4934" w14:textId="77777777" w:rsidR="008B36CB" w:rsidRDefault="00000000">
            <w:pPr>
              <w:pStyle w:val="Compact"/>
            </w:pPr>
            <w:r>
              <w:t>90</w:t>
            </w:r>
          </w:p>
        </w:tc>
      </w:tr>
    </w:tbl>
    <w:bookmarkEnd w:id="18"/>
    <w:p w14:paraId="1258570C" w14:textId="77777777" w:rsidR="008B36CB" w:rsidRDefault="00000000">
      <w:pPr>
        <w:pStyle w:val="FigureNote"/>
      </w:pPr>
      <w:r>
        <w:rPr>
          <w:i/>
          <w:iCs/>
        </w:rPr>
        <w:t>Note</w:t>
      </w:r>
      <w:r>
        <w:t>. Odds ratios greater than 1 indicate increased odds of falling into a worse accuracy category compared to the kWh condition</w:t>
      </w:r>
    </w:p>
    <w:p w14:paraId="621028FF" w14:textId="77777777" w:rsidR="008B36CB" w:rsidRDefault="00000000">
      <w:pPr>
        <w:pStyle w:val="BodyText"/>
      </w:pPr>
      <w:r>
        <w:t xml:space="preserve">As shown in </w:t>
      </w:r>
      <w:hyperlink w:anchor="tbl-s1-reg">
        <w:r>
          <w:rPr>
            <w:rStyle w:val="Hyperlink"/>
          </w:rPr>
          <w:t>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w:t>
      </w:r>
      <w:r>
        <w:lastRenderedPageBreak/>
        <w:t xml:space="preserve">produce plans that fell into higher error categories. Moreover, the odds ratios (see </w:t>
      </w:r>
      <w:hyperlink w:anchor="tbl-s1-ord">
        <w:r>
          <w:rPr>
            <w:rStyle w:val="Hyperlink"/>
          </w:rPr>
          <w:t>Table 4</w:t>
        </w:r>
      </w:hyperlink>
      <w:r>
        <w:t xml:space="preserve">)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To evaluate the descriptive adequacy of our statistical model, we performed posterior predictive checks, a standard Bayesian technique wherein data simulated from the fitted ordinal model are compared against the observed data. As shown in </w:t>
      </w:r>
      <w:hyperlink w:anchor="fig-s1-ppd">
        <w:r>
          <w:rPr>
            <w:rStyle w:val="Hyperlink"/>
          </w:rPr>
          <w:t>Figure 3</w:t>
        </w:r>
      </w:hyperlink>
      <w:r>
        <w:t>, which compares the observed proportions of participant responses for each accuracy level (represented by bars) to the models predicted proportions (represented by points). The close correspondence between the observed bars and predicted points across different accuracy levels and reference class conditions suggests that the model adequately captures the patterns in the observed data.</w:t>
      </w:r>
    </w:p>
    <w:p w14:paraId="21019CF9" w14:textId="77777777" w:rsidR="008B36CB" w:rsidRDefault="00000000">
      <w:pPr>
        <w:pStyle w:val="FigureTitle"/>
      </w:pPr>
      <w:bookmarkStart w:id="19" w:name="fig-s1-ppd"/>
      <w:r>
        <w:lastRenderedPageBreak/>
        <w:t>Figure 3</w:t>
      </w:r>
    </w:p>
    <w:p w14:paraId="55EFCA3B" w14:textId="77777777" w:rsidR="008B36CB" w:rsidRDefault="00000000">
      <w:pPr>
        <w:pStyle w:val="Caption"/>
      </w:pPr>
      <w:r>
        <w:t>Experiment 1: Posterior Predictive Check</w:t>
      </w:r>
    </w:p>
    <w:p w14:paraId="6B2E281A" w14:textId="77777777" w:rsidR="008B36CB" w:rsidRDefault="00000000">
      <w:pPr>
        <w:pStyle w:val="FigureWithNote"/>
      </w:pPr>
      <w:r>
        <w:rPr>
          <w:noProof/>
        </w:rPr>
        <w:drawing>
          <wp:inline distT="0" distB="0" distL="0" distR="0" wp14:anchorId="05D503A1" wp14:editId="57F8F9F3">
            <wp:extent cx="5943600" cy="59436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anuscript_files/figure-docx/fig-s1-ppd-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bookmarkEnd w:id="19"/>
    <w:p w14:paraId="64C55226" w14:textId="77777777" w:rsidR="008B36CB" w:rsidRDefault="00000000">
      <w:pPr>
        <w:pStyle w:val="FigureNote"/>
      </w:pPr>
      <w:r>
        <w:rPr>
          <w:i/>
          <w:iCs/>
        </w:rPr>
        <w:t>Note</w:t>
      </w:r>
      <w:r>
        <w:t>.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14:paraId="00ED5A71" w14:textId="77777777" w:rsidR="008B36CB" w:rsidRDefault="00000000">
      <w:pPr>
        <w:pStyle w:val="FigureTitle"/>
      </w:pPr>
      <w:bookmarkStart w:id="20" w:name="fig-s1-els"/>
      <w:r>
        <w:lastRenderedPageBreak/>
        <w:t>Figure 4</w:t>
      </w:r>
    </w:p>
    <w:p w14:paraId="2CB36457" w14:textId="77777777" w:rsidR="008B36CB" w:rsidRDefault="00000000">
      <w:pPr>
        <w:pStyle w:val="Caption"/>
      </w:pPr>
      <w:r>
        <w:t>Experiment 1. Conditional effect of energy literacy on log absolute error</w:t>
      </w:r>
    </w:p>
    <w:p w14:paraId="791D156D" w14:textId="77777777" w:rsidR="008B36CB" w:rsidRDefault="00000000">
      <w:pPr>
        <w:pStyle w:val="FigureWithNote"/>
      </w:pPr>
      <w:r>
        <w:rPr>
          <w:noProof/>
        </w:rPr>
        <w:drawing>
          <wp:inline distT="0" distB="0" distL="0" distR="0" wp14:anchorId="0599BD8B" wp14:editId="76091DF0">
            <wp:extent cx="5943600" cy="59436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manuscript_files/figure-docx/fig-s1-els-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bookmarkEnd w:id="20"/>
    <w:p w14:paraId="6BCBE84D" w14:textId="77777777" w:rsidR="008B36CB" w:rsidRDefault="00000000">
      <w:pPr>
        <w:pStyle w:val="FigureNote"/>
      </w:pPr>
      <w:r>
        <w:rPr>
          <w:i/>
          <w:iCs/>
        </w:rPr>
        <w:t>Note</w:t>
      </w:r>
      <w:r>
        <w:t>.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14:paraId="089BB136" w14:textId="77777777" w:rsidR="008B36CB" w:rsidRDefault="00000000">
      <w:pPr>
        <w:pStyle w:val="BodyText"/>
      </w:pPr>
      <w:r>
        <w:lastRenderedPageBreak/>
        <w:t>To further investigate individual factors that may influence planning accuracy, we examined the relationship between participants’ energy literacy scores and their performance on the task. A Bayesian linear regression model was fit with log-transformed absolute error as the outcome variable and energy literacy score as the predictor, controlling for random effects of participant and 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Figure 4</w:t>
        </w:r>
      </w:hyperlink>
      <w:r>
        <w:t>).</w:t>
      </w:r>
    </w:p>
    <w:p w14:paraId="57EA12FF" w14:textId="77777777" w:rsidR="008B36CB" w:rsidRDefault="00000000">
      <w:pPr>
        <w:pStyle w:val="Heading2"/>
      </w:pPr>
      <w:bookmarkStart w:id="21" w:name="experiment-1-discussion"/>
      <w:bookmarkEnd w:id="12"/>
      <w:r>
        <w:t>Experiment 1: Discussion</w:t>
      </w:r>
    </w:p>
    <w:p w14:paraId="49E7AB2F" w14:textId="77777777" w:rsidR="008B36CB" w:rsidRDefault="00000000">
      <w:pPr>
        <w:pStyle w:val="FirstParagraph"/>
      </w:pPr>
      <w:r>
        <w:t>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14:paraId="579F0F27" w14:textId="77777777" w:rsidR="008B36CB" w:rsidRDefault="00000000">
      <w:pPr>
        <w:pStyle w:val="BodyText"/>
      </w:pPr>
      <w:r>
        <w:t>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p w14:paraId="0C152649" w14:textId="77777777" w:rsidR="008B36CB" w:rsidRDefault="00000000">
      <w:pPr>
        <w:pStyle w:val="Heading1"/>
      </w:pPr>
      <w:bookmarkStart w:id="22" w:name="experiment-2"/>
      <w:bookmarkEnd w:id="6"/>
      <w:bookmarkEnd w:id="21"/>
      <w:r>
        <w:lastRenderedPageBreak/>
        <w:t>Experiment 2</w:t>
      </w:r>
    </w:p>
    <w:p w14:paraId="226A6D34" w14:textId="77777777" w:rsidR="008B36CB" w:rsidRDefault="00000000">
      <w:pPr>
        <w:pStyle w:val="Heading2"/>
      </w:pPr>
      <w:bookmarkStart w:id="23" w:name="introduction-1"/>
      <w:r>
        <w:t>Introduction</w:t>
      </w:r>
    </w:p>
    <w:p w14:paraId="67EC1D95" w14:textId="77777777" w:rsidR="008B36CB" w:rsidRDefault="00000000">
      <w:pPr>
        <w:pStyle w:val="FirstParagraph"/>
      </w:pPr>
      <w:r>
        <w:t>Building upon the preliminary evidence from Experiment 1, which indicated that representing energy reduction targets in absolute kilowatt-hour (kWh) units might yield superior planning accuracy relative to percentage or monetary formats, Experiment 2 was designed to further probe the robustness and nuances of this effect. A primary objective was to replicate the core finding regarding the influence of reference class on planning precision. Additionally, this second experiment sought to broaden the investigation by examining the potential impact of other task parameters; specifically, we manipulated the difficulty of the reduction goal (comparing a 10% versus a 15% target) and the granularity of the presented numerical usage data (using exact versus rounded figures).</w:t>
      </w:r>
    </w:p>
    <w:p w14:paraId="6837D816" w14:textId="77777777" w:rsidR="008B36CB" w:rsidRDefault="00000000">
      <w:pPr>
        <w:pStyle w:val="Heading2"/>
      </w:pPr>
      <w:bookmarkStart w:id="24" w:name="methods-1"/>
      <w:bookmarkEnd w:id="23"/>
      <w:r>
        <w:t>Methods</w:t>
      </w:r>
    </w:p>
    <w:p w14:paraId="4169A09B" w14:textId="77777777" w:rsidR="008B36CB" w:rsidRDefault="00000000">
      <w:pPr>
        <w:pStyle w:val="FirstParagraph"/>
      </w:pPr>
      <w:r>
        <w:t>In Experiment 2, 206 participants were recruited from Amazon Mechanical Turk, but data from 10 participants were corrupted due to experimenter error, and six were excluded because their error magnitudes were statistical outliers (error magnitudes exceeding 2.5 standard deviations from the group mean), leaving a final sample of 190 participants (102 males, 88 females, with an average age = 35.5, SD=9.5)</w:t>
      </w:r>
    </w:p>
    <w:p w14:paraId="0C432145" w14:textId="77777777" w:rsidR="008B36CB" w:rsidRDefault="00000000">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family scenarios was counterbalanced across participants. As in Experiment 1, each participant completed the energy reduction planning task </w:t>
      </w:r>
      <w:r>
        <w:lastRenderedPageBreak/>
        <w:t>for two different family-state scenarios. In the “rounded” condition, both the family’s previous year usage and the state averages were rounded to the nearest whole number.</w:t>
      </w:r>
    </w:p>
    <w:p w14:paraId="06600812" w14:textId="77777777" w:rsidR="008B36CB" w:rsidRDefault="00000000">
      <w:pPr>
        <w:pStyle w:val="Heading2"/>
      </w:pPr>
      <w:bookmarkStart w:id="25" w:name="results-1"/>
      <w:bookmarkEnd w:id="24"/>
      <w:r>
        <w:t>Results</w:t>
      </w:r>
    </w:p>
    <w:p w14:paraId="2D225044" w14:textId="77777777" w:rsidR="008B36CB" w:rsidRDefault="00000000">
      <w:pPr>
        <w:pStyle w:val="FigureTitle"/>
      </w:pPr>
      <w:bookmarkStart w:id="26" w:name="tbl-s2-agg"/>
      <w:r>
        <w:t>Table 5</w:t>
      </w:r>
    </w:p>
    <w:p w14:paraId="186DFD3F" w14:textId="77777777" w:rsidR="008B36CB" w:rsidRDefault="00000000">
      <w:pPr>
        <w:pStyle w:val="Caption"/>
      </w:pPr>
      <w:r>
        <w:t>Experiment 2: Summary of planning accuracy by reference class</w:t>
      </w:r>
    </w:p>
    <w:tbl>
      <w:tblPr>
        <w:tblStyle w:val="Table"/>
        <w:tblW w:w="5000" w:type="pct"/>
        <w:tblLayout w:type="fixed"/>
        <w:tblLook w:val="0020" w:firstRow="1" w:lastRow="0" w:firstColumn="0" w:lastColumn="0" w:noHBand="0" w:noVBand="0"/>
      </w:tblPr>
      <w:tblGrid>
        <w:gridCol w:w="1610"/>
        <w:gridCol w:w="640"/>
        <w:gridCol w:w="1674"/>
        <w:gridCol w:w="2013"/>
        <w:gridCol w:w="1510"/>
        <w:gridCol w:w="1913"/>
      </w:tblGrid>
      <w:tr w:rsidR="008B36CB" w14:paraId="38B822E0" w14:textId="77777777" w:rsidTr="00686950">
        <w:trPr>
          <w:cnfStyle w:val="100000000000" w:firstRow="1" w:lastRow="0" w:firstColumn="0" w:lastColumn="0" w:oddVBand="0" w:evenVBand="0" w:oddHBand="0" w:evenHBand="0" w:firstRowFirstColumn="0" w:firstRowLastColumn="0" w:lastRowFirstColumn="0" w:lastRowLastColumn="0"/>
          <w:tblHeader/>
        </w:trPr>
        <w:tc>
          <w:tcPr>
            <w:tcW w:w="1610" w:type="dxa"/>
          </w:tcPr>
          <w:p w14:paraId="4E992ABC" w14:textId="77777777" w:rsidR="008B36CB" w:rsidRDefault="00000000">
            <w:pPr>
              <w:pStyle w:val="Compact"/>
            </w:pPr>
            <w:r>
              <w:t>Reference Class</w:t>
            </w:r>
          </w:p>
        </w:tc>
        <w:tc>
          <w:tcPr>
            <w:tcW w:w="640" w:type="dxa"/>
          </w:tcPr>
          <w:p w14:paraId="650947C2" w14:textId="77777777" w:rsidR="008B36CB" w:rsidRDefault="00000000">
            <w:pPr>
              <w:pStyle w:val="Compact"/>
            </w:pPr>
            <w:r>
              <w:t>N</w:t>
            </w:r>
          </w:p>
        </w:tc>
        <w:tc>
          <w:tcPr>
            <w:tcW w:w="1674" w:type="dxa"/>
          </w:tcPr>
          <w:p w14:paraId="3012D909" w14:textId="77777777" w:rsidR="008B36CB" w:rsidRDefault="00000000">
            <w:pPr>
              <w:pStyle w:val="Compact"/>
            </w:pPr>
            <w:r>
              <w:t>Exact Match Rate(%)</w:t>
            </w:r>
          </w:p>
        </w:tc>
        <w:tc>
          <w:tcPr>
            <w:tcW w:w="2013" w:type="dxa"/>
          </w:tcPr>
          <w:p w14:paraId="5E1CF5E6" w14:textId="77777777" w:rsidR="008B36CB" w:rsidRDefault="00000000">
            <w:pPr>
              <w:pStyle w:val="Compact"/>
            </w:pPr>
            <w:r>
              <w:t>Close Match Rate(%)</w:t>
            </w:r>
          </w:p>
        </w:tc>
        <w:tc>
          <w:tcPr>
            <w:tcW w:w="1510" w:type="dxa"/>
          </w:tcPr>
          <w:p w14:paraId="18126B46" w14:textId="77777777" w:rsidR="008B36CB" w:rsidRDefault="00000000">
            <w:pPr>
              <w:pStyle w:val="Compact"/>
            </w:pPr>
            <w:r>
              <w:t>Abs. Deviation</w:t>
            </w:r>
          </w:p>
        </w:tc>
        <w:tc>
          <w:tcPr>
            <w:tcW w:w="1913" w:type="dxa"/>
          </w:tcPr>
          <w:p w14:paraId="15AA136E" w14:textId="77777777" w:rsidR="008B36CB" w:rsidRDefault="00000000">
            <w:pPr>
              <w:pStyle w:val="Compact"/>
            </w:pPr>
            <w:r>
              <w:t>Log Abs. Deviation</w:t>
            </w:r>
          </w:p>
        </w:tc>
      </w:tr>
      <w:tr w:rsidR="008B36CB" w14:paraId="2420B5D5" w14:textId="77777777" w:rsidTr="00686950">
        <w:tc>
          <w:tcPr>
            <w:tcW w:w="1610" w:type="dxa"/>
          </w:tcPr>
          <w:p w14:paraId="0B1EC2E5" w14:textId="77777777" w:rsidR="008B36CB" w:rsidRDefault="00000000">
            <w:pPr>
              <w:pStyle w:val="Compact"/>
            </w:pPr>
            <w:r>
              <w:t>kWh</w:t>
            </w:r>
          </w:p>
        </w:tc>
        <w:tc>
          <w:tcPr>
            <w:tcW w:w="640" w:type="dxa"/>
          </w:tcPr>
          <w:p w14:paraId="362784AA" w14:textId="77777777" w:rsidR="008B36CB" w:rsidRDefault="00000000">
            <w:pPr>
              <w:pStyle w:val="Compact"/>
            </w:pPr>
            <w:r>
              <w:t>68</w:t>
            </w:r>
          </w:p>
        </w:tc>
        <w:tc>
          <w:tcPr>
            <w:tcW w:w="1674" w:type="dxa"/>
          </w:tcPr>
          <w:p w14:paraId="25192D73" w14:textId="77777777" w:rsidR="008B36CB" w:rsidRDefault="00000000">
            <w:pPr>
              <w:pStyle w:val="Compact"/>
            </w:pPr>
            <w:r>
              <w:t>44 (45)</w:t>
            </w:r>
          </w:p>
        </w:tc>
        <w:tc>
          <w:tcPr>
            <w:tcW w:w="2013" w:type="dxa"/>
          </w:tcPr>
          <w:p w14:paraId="51F15763" w14:textId="77777777" w:rsidR="008B36CB" w:rsidRDefault="00000000">
            <w:pPr>
              <w:pStyle w:val="Compact"/>
            </w:pPr>
            <w:r>
              <w:t>52 (46)</w:t>
            </w:r>
          </w:p>
        </w:tc>
        <w:tc>
          <w:tcPr>
            <w:tcW w:w="1510" w:type="dxa"/>
          </w:tcPr>
          <w:p w14:paraId="32B25D2A" w14:textId="77777777" w:rsidR="008B36CB" w:rsidRDefault="00000000">
            <w:pPr>
              <w:pStyle w:val="Compact"/>
            </w:pPr>
            <w:r>
              <w:t>0.022 (0.182)</w:t>
            </w:r>
          </w:p>
        </w:tc>
        <w:tc>
          <w:tcPr>
            <w:tcW w:w="1913" w:type="dxa"/>
          </w:tcPr>
          <w:p w14:paraId="7FACD2D2" w14:textId="77777777" w:rsidR="008B36CB" w:rsidRDefault="00000000">
            <w:pPr>
              <w:pStyle w:val="Compact"/>
            </w:pPr>
            <w:r>
              <w:t>-3.87 (3.12)</w:t>
            </w:r>
          </w:p>
        </w:tc>
      </w:tr>
      <w:tr w:rsidR="008B36CB" w14:paraId="4C4BDBBD" w14:textId="77777777" w:rsidTr="00686950">
        <w:tc>
          <w:tcPr>
            <w:tcW w:w="1610" w:type="dxa"/>
          </w:tcPr>
          <w:p w14:paraId="15EC634E" w14:textId="77777777" w:rsidR="008B36CB" w:rsidRDefault="00000000">
            <w:pPr>
              <w:pStyle w:val="Compact"/>
            </w:pPr>
            <w:r>
              <w:t>Percentage</w:t>
            </w:r>
          </w:p>
        </w:tc>
        <w:tc>
          <w:tcPr>
            <w:tcW w:w="640" w:type="dxa"/>
          </w:tcPr>
          <w:p w14:paraId="28AA6048" w14:textId="77777777" w:rsidR="008B36CB" w:rsidRDefault="00000000">
            <w:pPr>
              <w:pStyle w:val="Compact"/>
            </w:pPr>
            <w:r>
              <w:t>67</w:t>
            </w:r>
          </w:p>
        </w:tc>
        <w:tc>
          <w:tcPr>
            <w:tcW w:w="1674" w:type="dxa"/>
          </w:tcPr>
          <w:p w14:paraId="2B3C85CC" w14:textId="77777777" w:rsidR="008B36CB" w:rsidRDefault="00000000">
            <w:pPr>
              <w:pStyle w:val="Compact"/>
            </w:pPr>
            <w:r>
              <w:t>28 (36)</w:t>
            </w:r>
          </w:p>
        </w:tc>
        <w:tc>
          <w:tcPr>
            <w:tcW w:w="2013" w:type="dxa"/>
          </w:tcPr>
          <w:p w14:paraId="4BE59C34" w14:textId="77777777" w:rsidR="008B36CB" w:rsidRDefault="00000000">
            <w:pPr>
              <w:pStyle w:val="Compact"/>
            </w:pPr>
            <w:r>
              <w:t>42 (42)</w:t>
            </w:r>
          </w:p>
        </w:tc>
        <w:tc>
          <w:tcPr>
            <w:tcW w:w="1510" w:type="dxa"/>
          </w:tcPr>
          <w:p w14:paraId="42A66077" w14:textId="77777777" w:rsidR="008B36CB" w:rsidRDefault="00000000">
            <w:pPr>
              <w:pStyle w:val="Compact"/>
            </w:pPr>
            <w:r>
              <w:t>0.062 (0.138)</w:t>
            </w:r>
          </w:p>
        </w:tc>
        <w:tc>
          <w:tcPr>
            <w:tcW w:w="1913" w:type="dxa"/>
          </w:tcPr>
          <w:p w14:paraId="03CF8C73" w14:textId="77777777" w:rsidR="008B36CB" w:rsidRDefault="00000000">
            <w:pPr>
              <w:pStyle w:val="Compact"/>
            </w:pPr>
            <w:r>
              <w:t>-3.22 (2.31)</w:t>
            </w:r>
          </w:p>
        </w:tc>
      </w:tr>
      <w:tr w:rsidR="008B36CB" w14:paraId="791FEDB5" w14:textId="77777777" w:rsidTr="00686950">
        <w:tc>
          <w:tcPr>
            <w:tcW w:w="1610" w:type="dxa"/>
          </w:tcPr>
          <w:p w14:paraId="1539B1D6" w14:textId="77777777" w:rsidR="008B36CB" w:rsidRDefault="00000000">
            <w:pPr>
              <w:pStyle w:val="Compact"/>
            </w:pPr>
            <w:r>
              <w:t>USD</w:t>
            </w:r>
          </w:p>
        </w:tc>
        <w:tc>
          <w:tcPr>
            <w:tcW w:w="640" w:type="dxa"/>
          </w:tcPr>
          <w:p w14:paraId="61681FDA" w14:textId="77777777" w:rsidR="008B36CB" w:rsidRDefault="00000000">
            <w:pPr>
              <w:pStyle w:val="Compact"/>
            </w:pPr>
            <w:r>
              <w:t>55</w:t>
            </w:r>
          </w:p>
        </w:tc>
        <w:tc>
          <w:tcPr>
            <w:tcW w:w="1674" w:type="dxa"/>
          </w:tcPr>
          <w:p w14:paraId="729AE87A" w14:textId="77777777" w:rsidR="008B36CB" w:rsidRDefault="00000000">
            <w:pPr>
              <w:pStyle w:val="Compact"/>
            </w:pPr>
            <w:r>
              <w:t>20 (38)</w:t>
            </w:r>
          </w:p>
        </w:tc>
        <w:tc>
          <w:tcPr>
            <w:tcW w:w="2013" w:type="dxa"/>
          </w:tcPr>
          <w:p w14:paraId="3BD57AF2" w14:textId="77777777" w:rsidR="008B36CB" w:rsidRDefault="00000000">
            <w:pPr>
              <w:pStyle w:val="Compact"/>
            </w:pPr>
            <w:r>
              <w:t>29 (40)</w:t>
            </w:r>
          </w:p>
        </w:tc>
        <w:tc>
          <w:tcPr>
            <w:tcW w:w="1510" w:type="dxa"/>
          </w:tcPr>
          <w:p w14:paraId="07DA5BAD" w14:textId="77777777" w:rsidR="008B36CB" w:rsidRDefault="00000000">
            <w:pPr>
              <w:pStyle w:val="Compact"/>
            </w:pPr>
            <w:r>
              <w:t>0.102 (0.135)</w:t>
            </w:r>
          </w:p>
        </w:tc>
        <w:tc>
          <w:tcPr>
            <w:tcW w:w="1913" w:type="dxa"/>
          </w:tcPr>
          <w:p w14:paraId="5EFBB371" w14:textId="77777777" w:rsidR="008B36CB" w:rsidRDefault="00000000">
            <w:pPr>
              <w:pStyle w:val="Compact"/>
            </w:pPr>
            <w:r>
              <w:t>-2.42 (1.52)</w:t>
            </w:r>
          </w:p>
        </w:tc>
      </w:tr>
    </w:tbl>
    <w:bookmarkEnd w:id="26"/>
    <w:p w14:paraId="58EF3C07" w14:textId="77777777" w:rsidR="008B36CB" w:rsidRDefault="00000000">
      <w:pPr>
        <w:pStyle w:val="FigureNote"/>
      </w:pPr>
      <w:r>
        <w:rPr>
          <w:i/>
          <w:iCs/>
        </w:rPr>
        <w:t>Note</w:t>
      </w:r>
      <w:r>
        <w:t>.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14:paraId="6CDEBB5F" w14:textId="77777777" w:rsidR="008B36CB" w:rsidRDefault="00000000">
      <w:pPr>
        <w:pStyle w:val="FigureTitle"/>
      </w:pPr>
      <w:bookmarkStart w:id="27" w:name="fig-s2-log-dist"/>
      <w:r>
        <w:lastRenderedPageBreak/>
        <w:t>Figure 5</w:t>
      </w:r>
    </w:p>
    <w:p w14:paraId="37C71BC1" w14:textId="77777777" w:rsidR="008B36CB" w:rsidRDefault="00000000">
      <w:pPr>
        <w:pStyle w:val="Caption"/>
      </w:pPr>
      <w:r>
        <w:t>Experiment 2: Planning Error Distributions</w:t>
      </w:r>
    </w:p>
    <w:p w14:paraId="6C8098B2" w14:textId="77777777" w:rsidR="008B36CB" w:rsidRDefault="00000000">
      <w:pPr>
        <w:pStyle w:val="FigureWithNote"/>
      </w:pPr>
      <w:r>
        <w:rPr>
          <w:noProof/>
        </w:rPr>
        <w:drawing>
          <wp:inline distT="0" distB="0" distL="0" distR="0" wp14:anchorId="56CE72FA" wp14:editId="491DC526">
            <wp:extent cx="5943600" cy="4322618"/>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manuscript_files/figure-docx/fig-s2-log-dist-1.png"/>
                    <pic:cNvPicPr>
                      <a:picLocks noChangeAspect="1" noChangeArrowheads="1"/>
                    </pic:cNvPicPr>
                  </pic:nvPicPr>
                  <pic:blipFill>
                    <a:blip r:embed="rId11"/>
                    <a:stretch>
                      <a:fillRect/>
                    </a:stretch>
                  </pic:blipFill>
                  <pic:spPr bwMode="auto">
                    <a:xfrm>
                      <a:off x="0" y="0"/>
                      <a:ext cx="5943600" cy="4322618"/>
                    </a:xfrm>
                    <a:prstGeom prst="rect">
                      <a:avLst/>
                    </a:prstGeom>
                    <a:noFill/>
                    <a:ln w="9525">
                      <a:noFill/>
                      <a:headEnd/>
                      <a:tailEnd/>
                    </a:ln>
                  </pic:spPr>
                </pic:pic>
              </a:graphicData>
            </a:graphic>
          </wp:inline>
        </w:drawing>
      </w:r>
    </w:p>
    <w:bookmarkEnd w:id="27"/>
    <w:p w14:paraId="1C6EDFD9" w14:textId="77777777" w:rsidR="008B36CB" w:rsidRDefault="00000000">
      <w:pPr>
        <w:pStyle w:val="FigureNote"/>
      </w:pPr>
      <w:r>
        <w:rPr>
          <w:i/>
          <w:iCs/>
        </w:rPr>
        <w:t>Note</w:t>
      </w:r>
      <w:r>
        <w:t>.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14:paraId="60FCEC8A" w14:textId="77777777" w:rsidR="006C454F" w:rsidRDefault="006C454F">
      <w:pPr>
        <w:pStyle w:val="FigureNote"/>
      </w:pPr>
    </w:p>
    <w:p w14:paraId="648E52FC" w14:textId="77777777" w:rsidR="008B36CB" w:rsidRDefault="00000000">
      <w:pPr>
        <w:pStyle w:val="FigureTitle"/>
      </w:pPr>
      <w:bookmarkStart w:id="28" w:name="tbl-s2-reg"/>
      <w:r>
        <w:lastRenderedPageBreak/>
        <w:t>Table 6</w:t>
      </w:r>
    </w:p>
    <w:p w14:paraId="43126E81" w14:textId="77777777" w:rsidR="008B36CB" w:rsidRDefault="00000000">
      <w:pPr>
        <w:pStyle w:val="Caption"/>
      </w:pPr>
      <w:r>
        <w:rPr>
          <w:b/>
          <w:bCs/>
        </w:rPr>
        <w:t>Experiment 2.</w:t>
      </w:r>
      <w:r>
        <w:t xml:space="preserve"> Parameter estimates from the ordinal regression model</w:t>
      </w:r>
    </w:p>
    <w:tbl>
      <w:tblPr>
        <w:tblStyle w:val="Table"/>
        <w:tblW w:w="0" w:type="auto"/>
        <w:tblLook w:val="0020" w:firstRow="1" w:lastRow="0" w:firstColumn="0" w:lastColumn="0" w:noHBand="0" w:noVBand="0"/>
      </w:tblPr>
      <w:tblGrid>
        <w:gridCol w:w="2116"/>
        <w:gridCol w:w="956"/>
        <w:gridCol w:w="1103"/>
        <w:gridCol w:w="1076"/>
        <w:gridCol w:w="536"/>
      </w:tblGrid>
      <w:tr w:rsidR="008B36CB" w14:paraId="73C1DF96" w14:textId="77777777" w:rsidTr="008B36CB">
        <w:trPr>
          <w:cnfStyle w:val="100000000000" w:firstRow="1" w:lastRow="0" w:firstColumn="0" w:lastColumn="0" w:oddVBand="0" w:evenVBand="0" w:oddHBand="0" w:evenHBand="0" w:firstRowFirstColumn="0" w:firstRowLastColumn="0" w:lastRowFirstColumn="0" w:lastRowLastColumn="0"/>
          <w:tblHeader/>
        </w:trPr>
        <w:tc>
          <w:tcPr>
            <w:tcW w:w="0" w:type="auto"/>
          </w:tcPr>
          <w:p w14:paraId="3526265A" w14:textId="77777777" w:rsidR="008B36CB" w:rsidRDefault="00000000">
            <w:pPr>
              <w:pStyle w:val="Compact"/>
            </w:pPr>
            <w:r>
              <w:t>Parameter</w:t>
            </w:r>
          </w:p>
        </w:tc>
        <w:tc>
          <w:tcPr>
            <w:tcW w:w="0" w:type="auto"/>
          </w:tcPr>
          <w:p w14:paraId="139A1C38" w14:textId="77777777" w:rsidR="008B36CB" w:rsidRDefault="00000000">
            <w:pPr>
              <w:pStyle w:val="Compact"/>
            </w:pPr>
            <w:r>
              <w:t>Estimate</w:t>
            </w:r>
          </w:p>
        </w:tc>
        <w:tc>
          <w:tcPr>
            <w:tcW w:w="0" w:type="auto"/>
          </w:tcPr>
          <w:p w14:paraId="1A395BCD" w14:textId="77777777" w:rsidR="008B36CB" w:rsidRDefault="00000000">
            <w:pPr>
              <w:pStyle w:val="Compact"/>
            </w:pPr>
            <w:r>
              <w:t>CI_Lower</w:t>
            </w:r>
          </w:p>
        </w:tc>
        <w:tc>
          <w:tcPr>
            <w:tcW w:w="0" w:type="auto"/>
          </w:tcPr>
          <w:p w14:paraId="25837794" w14:textId="77777777" w:rsidR="008B36CB" w:rsidRDefault="00000000">
            <w:pPr>
              <w:pStyle w:val="Compact"/>
            </w:pPr>
            <w:r>
              <w:t>CI_Upper</w:t>
            </w:r>
          </w:p>
        </w:tc>
        <w:tc>
          <w:tcPr>
            <w:tcW w:w="0" w:type="auto"/>
          </w:tcPr>
          <w:p w14:paraId="3F8F33C5" w14:textId="77777777" w:rsidR="008B36CB" w:rsidRDefault="00000000">
            <w:pPr>
              <w:pStyle w:val="Compact"/>
            </w:pPr>
            <w:r>
              <w:t>pd</w:t>
            </w:r>
          </w:p>
        </w:tc>
      </w:tr>
      <w:tr w:rsidR="008B36CB" w14:paraId="628BE1FE" w14:textId="77777777">
        <w:tc>
          <w:tcPr>
            <w:tcW w:w="0" w:type="auto"/>
          </w:tcPr>
          <w:p w14:paraId="6FAB6138" w14:textId="77777777" w:rsidR="008B36CB" w:rsidRDefault="00000000">
            <w:pPr>
              <w:pStyle w:val="Compact"/>
            </w:pPr>
            <w:r>
              <w:t>Intercept[1]</w:t>
            </w:r>
          </w:p>
        </w:tc>
        <w:tc>
          <w:tcPr>
            <w:tcW w:w="0" w:type="auto"/>
          </w:tcPr>
          <w:p w14:paraId="1CBD988F" w14:textId="77777777" w:rsidR="008B36CB" w:rsidRDefault="00000000">
            <w:pPr>
              <w:pStyle w:val="Compact"/>
            </w:pPr>
            <w:r>
              <w:t>-1.45</w:t>
            </w:r>
          </w:p>
        </w:tc>
        <w:tc>
          <w:tcPr>
            <w:tcW w:w="0" w:type="auto"/>
          </w:tcPr>
          <w:p w14:paraId="30925920" w14:textId="77777777" w:rsidR="008B36CB" w:rsidRDefault="00000000">
            <w:pPr>
              <w:pStyle w:val="Compact"/>
            </w:pPr>
            <w:r>
              <w:t>-2.85</w:t>
            </w:r>
          </w:p>
        </w:tc>
        <w:tc>
          <w:tcPr>
            <w:tcW w:w="0" w:type="auto"/>
          </w:tcPr>
          <w:p w14:paraId="7971FCC9" w14:textId="77777777" w:rsidR="008B36CB" w:rsidRDefault="00000000">
            <w:pPr>
              <w:pStyle w:val="Compact"/>
            </w:pPr>
            <w:r>
              <w:t>-0.07</w:t>
            </w:r>
          </w:p>
        </w:tc>
        <w:tc>
          <w:tcPr>
            <w:tcW w:w="0" w:type="auto"/>
          </w:tcPr>
          <w:p w14:paraId="24FB94E5" w14:textId="77777777" w:rsidR="008B36CB" w:rsidRDefault="00000000">
            <w:pPr>
              <w:pStyle w:val="Compact"/>
            </w:pPr>
            <w:r>
              <w:t>0.98</w:t>
            </w:r>
          </w:p>
        </w:tc>
      </w:tr>
      <w:tr w:rsidR="008B36CB" w14:paraId="64C14526" w14:textId="77777777">
        <w:tc>
          <w:tcPr>
            <w:tcW w:w="0" w:type="auto"/>
          </w:tcPr>
          <w:p w14:paraId="2B69AE15" w14:textId="77777777" w:rsidR="008B36CB" w:rsidRDefault="00000000">
            <w:pPr>
              <w:pStyle w:val="Compact"/>
            </w:pPr>
            <w:r>
              <w:t>Intercept[2]</w:t>
            </w:r>
          </w:p>
        </w:tc>
        <w:tc>
          <w:tcPr>
            <w:tcW w:w="0" w:type="auto"/>
          </w:tcPr>
          <w:p w14:paraId="1048292F" w14:textId="77777777" w:rsidR="008B36CB" w:rsidRDefault="00000000">
            <w:pPr>
              <w:pStyle w:val="Compact"/>
            </w:pPr>
            <w:r>
              <w:t>1.26</w:t>
            </w:r>
          </w:p>
        </w:tc>
        <w:tc>
          <w:tcPr>
            <w:tcW w:w="0" w:type="auto"/>
          </w:tcPr>
          <w:p w14:paraId="3B60A37A" w14:textId="77777777" w:rsidR="008B36CB" w:rsidRDefault="00000000">
            <w:pPr>
              <w:pStyle w:val="Compact"/>
            </w:pPr>
            <w:r>
              <w:t>-0.09</w:t>
            </w:r>
          </w:p>
        </w:tc>
        <w:tc>
          <w:tcPr>
            <w:tcW w:w="0" w:type="auto"/>
          </w:tcPr>
          <w:p w14:paraId="056C4A07" w14:textId="77777777" w:rsidR="008B36CB" w:rsidRDefault="00000000">
            <w:pPr>
              <w:pStyle w:val="Compact"/>
            </w:pPr>
            <w:r>
              <w:t>2.65</w:t>
            </w:r>
          </w:p>
        </w:tc>
        <w:tc>
          <w:tcPr>
            <w:tcW w:w="0" w:type="auto"/>
          </w:tcPr>
          <w:p w14:paraId="2660A5B1" w14:textId="77777777" w:rsidR="008B36CB" w:rsidRDefault="00000000">
            <w:pPr>
              <w:pStyle w:val="Compact"/>
            </w:pPr>
            <w:r>
              <w:t>0.97</w:t>
            </w:r>
          </w:p>
        </w:tc>
      </w:tr>
      <w:tr w:rsidR="008B36CB" w14:paraId="7F5D1C0B" w14:textId="77777777">
        <w:tc>
          <w:tcPr>
            <w:tcW w:w="0" w:type="auto"/>
          </w:tcPr>
          <w:p w14:paraId="6586B871" w14:textId="77777777" w:rsidR="008B36CB" w:rsidRDefault="00000000">
            <w:pPr>
              <w:pStyle w:val="Compact"/>
            </w:pPr>
            <w:r>
              <w:t>RefClass-Percentage</w:t>
            </w:r>
          </w:p>
        </w:tc>
        <w:tc>
          <w:tcPr>
            <w:tcW w:w="0" w:type="auto"/>
          </w:tcPr>
          <w:p w14:paraId="7C5EA7A1" w14:textId="77777777" w:rsidR="008B36CB" w:rsidRDefault="00000000">
            <w:pPr>
              <w:pStyle w:val="Compact"/>
            </w:pPr>
            <w:r>
              <w:t>1.02</w:t>
            </w:r>
          </w:p>
        </w:tc>
        <w:tc>
          <w:tcPr>
            <w:tcW w:w="0" w:type="auto"/>
          </w:tcPr>
          <w:p w14:paraId="5651D0DC" w14:textId="77777777" w:rsidR="008B36CB" w:rsidRDefault="00000000">
            <w:pPr>
              <w:pStyle w:val="Compact"/>
            </w:pPr>
            <w:r>
              <w:t>-0.63</w:t>
            </w:r>
          </w:p>
        </w:tc>
        <w:tc>
          <w:tcPr>
            <w:tcW w:w="0" w:type="auto"/>
          </w:tcPr>
          <w:p w14:paraId="1BC66E0D" w14:textId="77777777" w:rsidR="008B36CB" w:rsidRDefault="00000000">
            <w:pPr>
              <w:pStyle w:val="Compact"/>
            </w:pPr>
            <w:r>
              <w:t>2.71</w:t>
            </w:r>
          </w:p>
        </w:tc>
        <w:tc>
          <w:tcPr>
            <w:tcW w:w="0" w:type="auto"/>
          </w:tcPr>
          <w:p w14:paraId="2678B24E" w14:textId="77777777" w:rsidR="008B36CB" w:rsidRDefault="00000000">
            <w:pPr>
              <w:pStyle w:val="Compact"/>
            </w:pPr>
            <w:r>
              <w:t>0.89</w:t>
            </w:r>
          </w:p>
        </w:tc>
      </w:tr>
      <w:tr w:rsidR="008B36CB" w14:paraId="7D98FEE7" w14:textId="77777777">
        <w:tc>
          <w:tcPr>
            <w:tcW w:w="0" w:type="auto"/>
          </w:tcPr>
          <w:p w14:paraId="3209DDAA" w14:textId="77777777" w:rsidR="008B36CB" w:rsidRDefault="00000000">
            <w:pPr>
              <w:pStyle w:val="Compact"/>
            </w:pPr>
            <w:r>
              <w:t>RefClass-USD</w:t>
            </w:r>
          </w:p>
        </w:tc>
        <w:tc>
          <w:tcPr>
            <w:tcW w:w="0" w:type="auto"/>
          </w:tcPr>
          <w:p w14:paraId="3F898C6A" w14:textId="77777777" w:rsidR="008B36CB" w:rsidRDefault="00000000">
            <w:pPr>
              <w:pStyle w:val="Compact"/>
            </w:pPr>
            <w:r>
              <w:t>2.27</w:t>
            </w:r>
          </w:p>
        </w:tc>
        <w:tc>
          <w:tcPr>
            <w:tcW w:w="0" w:type="auto"/>
          </w:tcPr>
          <w:p w14:paraId="1ADC8731" w14:textId="77777777" w:rsidR="008B36CB" w:rsidRDefault="00000000">
            <w:pPr>
              <w:pStyle w:val="Compact"/>
            </w:pPr>
            <w:r>
              <w:t>0.53</w:t>
            </w:r>
          </w:p>
        </w:tc>
        <w:tc>
          <w:tcPr>
            <w:tcW w:w="0" w:type="auto"/>
          </w:tcPr>
          <w:p w14:paraId="193B1D9F" w14:textId="77777777" w:rsidR="008B36CB" w:rsidRDefault="00000000">
            <w:pPr>
              <w:pStyle w:val="Compact"/>
            </w:pPr>
            <w:r>
              <w:t>3.98</w:t>
            </w:r>
          </w:p>
        </w:tc>
        <w:tc>
          <w:tcPr>
            <w:tcW w:w="0" w:type="auto"/>
          </w:tcPr>
          <w:p w14:paraId="0BEC26CB" w14:textId="77777777" w:rsidR="008B36CB" w:rsidRDefault="00000000">
            <w:pPr>
              <w:pStyle w:val="Compact"/>
            </w:pPr>
            <w:r>
              <w:t>0.99</w:t>
            </w:r>
          </w:p>
        </w:tc>
      </w:tr>
      <w:tr w:rsidR="008B36CB" w14:paraId="558AF777" w14:textId="77777777">
        <w:tc>
          <w:tcPr>
            <w:tcW w:w="0" w:type="auto"/>
          </w:tcPr>
          <w:p w14:paraId="7177D6DB" w14:textId="77777777" w:rsidR="008B36CB" w:rsidRDefault="00000000">
            <w:pPr>
              <w:pStyle w:val="Compact"/>
            </w:pPr>
            <w:r>
              <w:t>calc-NoCalculator</w:t>
            </w:r>
          </w:p>
        </w:tc>
        <w:tc>
          <w:tcPr>
            <w:tcW w:w="0" w:type="auto"/>
          </w:tcPr>
          <w:p w14:paraId="1D7A81D4" w14:textId="77777777" w:rsidR="008B36CB" w:rsidRDefault="00000000">
            <w:pPr>
              <w:pStyle w:val="Compact"/>
            </w:pPr>
            <w:r>
              <w:t>4.10</w:t>
            </w:r>
          </w:p>
        </w:tc>
        <w:tc>
          <w:tcPr>
            <w:tcW w:w="0" w:type="auto"/>
          </w:tcPr>
          <w:p w14:paraId="7FD355A3" w14:textId="77777777" w:rsidR="008B36CB" w:rsidRDefault="00000000">
            <w:pPr>
              <w:pStyle w:val="Compact"/>
            </w:pPr>
            <w:r>
              <w:t>2.20</w:t>
            </w:r>
          </w:p>
        </w:tc>
        <w:tc>
          <w:tcPr>
            <w:tcW w:w="0" w:type="auto"/>
          </w:tcPr>
          <w:p w14:paraId="6989542F" w14:textId="77777777" w:rsidR="008B36CB" w:rsidRDefault="00000000">
            <w:pPr>
              <w:pStyle w:val="Compact"/>
            </w:pPr>
            <w:r>
              <w:t>6.06</w:t>
            </w:r>
          </w:p>
        </w:tc>
        <w:tc>
          <w:tcPr>
            <w:tcW w:w="0" w:type="auto"/>
          </w:tcPr>
          <w:p w14:paraId="546F8695" w14:textId="77777777" w:rsidR="008B36CB" w:rsidRDefault="00000000">
            <w:pPr>
              <w:pStyle w:val="Compact"/>
            </w:pPr>
            <w:r>
              <w:t>1.00</w:t>
            </w:r>
          </w:p>
        </w:tc>
      </w:tr>
      <w:tr w:rsidR="008B36CB" w14:paraId="33B37C27" w14:textId="77777777">
        <w:tc>
          <w:tcPr>
            <w:tcW w:w="0" w:type="auto"/>
          </w:tcPr>
          <w:p w14:paraId="4F447B4D" w14:textId="77777777" w:rsidR="008B36CB" w:rsidRDefault="00000000">
            <w:pPr>
              <w:pStyle w:val="Compact"/>
            </w:pPr>
            <w:r>
              <w:t>pct_goal15%</w:t>
            </w:r>
          </w:p>
        </w:tc>
        <w:tc>
          <w:tcPr>
            <w:tcW w:w="0" w:type="auto"/>
          </w:tcPr>
          <w:p w14:paraId="113B2878" w14:textId="77777777" w:rsidR="008B36CB" w:rsidRDefault="00000000">
            <w:pPr>
              <w:pStyle w:val="Compact"/>
            </w:pPr>
            <w:r>
              <w:t>-0.39</w:t>
            </w:r>
          </w:p>
        </w:tc>
        <w:tc>
          <w:tcPr>
            <w:tcW w:w="0" w:type="auto"/>
          </w:tcPr>
          <w:p w14:paraId="258C41DC" w14:textId="77777777" w:rsidR="008B36CB" w:rsidRDefault="00000000">
            <w:pPr>
              <w:pStyle w:val="Compact"/>
            </w:pPr>
            <w:r>
              <w:t>-0.81</w:t>
            </w:r>
          </w:p>
        </w:tc>
        <w:tc>
          <w:tcPr>
            <w:tcW w:w="0" w:type="auto"/>
          </w:tcPr>
          <w:p w14:paraId="10C76C97" w14:textId="77777777" w:rsidR="008B36CB" w:rsidRDefault="00000000">
            <w:pPr>
              <w:pStyle w:val="Compact"/>
            </w:pPr>
            <w:r>
              <w:t>0.04</w:t>
            </w:r>
          </w:p>
        </w:tc>
        <w:tc>
          <w:tcPr>
            <w:tcW w:w="0" w:type="auto"/>
          </w:tcPr>
          <w:p w14:paraId="4D9DA443" w14:textId="77777777" w:rsidR="008B36CB" w:rsidRDefault="00000000">
            <w:pPr>
              <w:pStyle w:val="Compact"/>
            </w:pPr>
            <w:r>
              <w:t>0.96</w:t>
            </w:r>
          </w:p>
        </w:tc>
      </w:tr>
      <w:tr w:rsidR="008B36CB" w14:paraId="1D30ECED" w14:textId="77777777">
        <w:tc>
          <w:tcPr>
            <w:tcW w:w="0" w:type="auto"/>
          </w:tcPr>
          <w:p w14:paraId="07AEA788" w14:textId="77777777" w:rsidR="008B36CB" w:rsidRDefault="00000000">
            <w:pPr>
              <w:pStyle w:val="Compact"/>
            </w:pPr>
            <w:r>
              <w:t>rounded-Rounded</w:t>
            </w:r>
          </w:p>
        </w:tc>
        <w:tc>
          <w:tcPr>
            <w:tcW w:w="0" w:type="auto"/>
          </w:tcPr>
          <w:p w14:paraId="525DCB32" w14:textId="77777777" w:rsidR="008B36CB" w:rsidRDefault="00000000">
            <w:pPr>
              <w:pStyle w:val="Compact"/>
            </w:pPr>
            <w:r>
              <w:t>-0.53</w:t>
            </w:r>
          </w:p>
        </w:tc>
        <w:tc>
          <w:tcPr>
            <w:tcW w:w="0" w:type="auto"/>
          </w:tcPr>
          <w:p w14:paraId="73491F3E" w14:textId="77777777" w:rsidR="008B36CB" w:rsidRDefault="00000000">
            <w:pPr>
              <w:pStyle w:val="Compact"/>
            </w:pPr>
            <w:r>
              <w:t>-0.96</w:t>
            </w:r>
          </w:p>
        </w:tc>
        <w:tc>
          <w:tcPr>
            <w:tcW w:w="0" w:type="auto"/>
          </w:tcPr>
          <w:p w14:paraId="574084CF" w14:textId="77777777" w:rsidR="008B36CB" w:rsidRDefault="00000000">
            <w:pPr>
              <w:pStyle w:val="Compact"/>
            </w:pPr>
            <w:r>
              <w:t>-0.11</w:t>
            </w:r>
          </w:p>
        </w:tc>
        <w:tc>
          <w:tcPr>
            <w:tcW w:w="0" w:type="auto"/>
          </w:tcPr>
          <w:p w14:paraId="6133D9A1" w14:textId="77777777" w:rsidR="008B36CB" w:rsidRDefault="00000000">
            <w:pPr>
              <w:pStyle w:val="Compact"/>
            </w:pPr>
            <w:r>
              <w:t>0.99</w:t>
            </w:r>
          </w:p>
        </w:tc>
      </w:tr>
    </w:tbl>
    <w:bookmarkEnd w:id="28"/>
    <w:p w14:paraId="78FE081A" w14:textId="77777777" w:rsidR="008B36CB" w:rsidRDefault="00000000">
      <w:pPr>
        <w:pStyle w:val="FigureNote"/>
      </w:pPr>
      <w:r>
        <w:rPr>
          <w:i/>
          <w:iCs/>
        </w:rPr>
        <w:t>Note</w:t>
      </w:r>
      <w:r>
        <w:t>. Ordinal regression results. Positive coefficients for the reference class predictors indicate that those conditions are associated with higher error categories relative to the kWh baseline. Coefficients for calc are in reference to the ‘Used Calculator’ group, coefficient for the pct_goal is in reference to the 10% goal, and coefficient for rounded is in reference to the ‘Not Rounded’ group.</w:t>
      </w:r>
    </w:p>
    <w:p w14:paraId="4489BCA4" w14:textId="77777777" w:rsidR="008B36CB" w:rsidRDefault="00000000">
      <w:pPr>
        <w:pStyle w:val="BodyText"/>
      </w:pPr>
      <w:r>
        <w:t xml:space="preserve"> </w:t>
      </w:r>
    </w:p>
    <w:p w14:paraId="7316A855" w14:textId="77777777" w:rsidR="008B36CB" w:rsidRDefault="00000000">
      <w:pPr>
        <w:pStyle w:val="FigureTitle"/>
      </w:pPr>
      <w:bookmarkStart w:id="29" w:name="tbl-s2-ord"/>
      <w:r>
        <w:t>Table 7</w:t>
      </w:r>
    </w:p>
    <w:p w14:paraId="4744AD07" w14:textId="77777777" w:rsidR="008B36CB" w:rsidRDefault="00000000">
      <w:pPr>
        <w:pStyle w:val="Caption"/>
      </w:pPr>
      <w:r>
        <w:rPr>
          <w:b/>
          <w:bCs/>
        </w:rPr>
        <w:t>Experiment 2.</w:t>
      </w:r>
      <w:r>
        <w:t xml:space="preserve"> Odds ratios for group comparisons</w:t>
      </w:r>
    </w:p>
    <w:tbl>
      <w:tblPr>
        <w:tblStyle w:val="Table"/>
        <w:tblW w:w="0" w:type="auto"/>
        <w:tblLook w:val="0020" w:firstRow="1" w:lastRow="0" w:firstColumn="0" w:lastColumn="0" w:noHBand="0" w:noVBand="0"/>
      </w:tblPr>
      <w:tblGrid>
        <w:gridCol w:w="2383"/>
        <w:gridCol w:w="1130"/>
        <w:gridCol w:w="956"/>
        <w:gridCol w:w="956"/>
      </w:tblGrid>
      <w:tr w:rsidR="008B36CB" w14:paraId="59CDF07A" w14:textId="77777777" w:rsidTr="008B36CB">
        <w:trPr>
          <w:cnfStyle w:val="100000000000" w:firstRow="1" w:lastRow="0" w:firstColumn="0" w:lastColumn="0" w:oddVBand="0" w:evenVBand="0" w:oddHBand="0" w:evenHBand="0" w:firstRowFirstColumn="0" w:firstRowLastColumn="0" w:lastRowFirstColumn="0" w:lastRowLastColumn="0"/>
          <w:tblHeader/>
        </w:trPr>
        <w:tc>
          <w:tcPr>
            <w:tcW w:w="0" w:type="auto"/>
          </w:tcPr>
          <w:p w14:paraId="30AED1D1" w14:textId="77777777" w:rsidR="008B36CB" w:rsidRDefault="00000000">
            <w:pPr>
              <w:pStyle w:val="Compact"/>
            </w:pPr>
            <w:r>
              <w:t>comparison</w:t>
            </w:r>
          </w:p>
        </w:tc>
        <w:tc>
          <w:tcPr>
            <w:tcW w:w="0" w:type="auto"/>
          </w:tcPr>
          <w:p w14:paraId="3DB40476" w14:textId="77777777" w:rsidR="008B36CB" w:rsidRDefault="00000000">
            <w:pPr>
              <w:pStyle w:val="Compact"/>
            </w:pPr>
            <w:r>
              <w:t>odds_ratio</w:t>
            </w:r>
          </w:p>
        </w:tc>
        <w:tc>
          <w:tcPr>
            <w:tcW w:w="0" w:type="auto"/>
          </w:tcPr>
          <w:p w14:paraId="3E1BEBEC" w14:textId="77777777" w:rsidR="008B36CB" w:rsidRDefault="00000000">
            <w:pPr>
              <w:pStyle w:val="Compact"/>
            </w:pPr>
            <w:r>
              <w:t>ci_lower</w:t>
            </w:r>
          </w:p>
        </w:tc>
        <w:tc>
          <w:tcPr>
            <w:tcW w:w="0" w:type="auto"/>
          </w:tcPr>
          <w:p w14:paraId="50369A65" w14:textId="77777777" w:rsidR="008B36CB" w:rsidRDefault="00000000">
            <w:pPr>
              <w:pStyle w:val="Compact"/>
            </w:pPr>
            <w:r>
              <w:t>ci_upper</w:t>
            </w:r>
          </w:p>
        </w:tc>
      </w:tr>
      <w:tr w:rsidR="008B36CB" w14:paraId="3F00747B" w14:textId="77777777">
        <w:tc>
          <w:tcPr>
            <w:tcW w:w="0" w:type="auto"/>
          </w:tcPr>
          <w:p w14:paraId="4C8F65B7" w14:textId="77777777" w:rsidR="008B36CB" w:rsidRDefault="00000000">
            <w:pPr>
              <w:pStyle w:val="Compact"/>
            </w:pPr>
            <w:r>
              <w:t>Percentage vs kWh</w:t>
            </w:r>
          </w:p>
        </w:tc>
        <w:tc>
          <w:tcPr>
            <w:tcW w:w="0" w:type="auto"/>
          </w:tcPr>
          <w:p w14:paraId="343DFED0" w14:textId="77777777" w:rsidR="008B36CB" w:rsidRDefault="00000000">
            <w:pPr>
              <w:pStyle w:val="Compact"/>
            </w:pPr>
            <w:r>
              <w:t>2.78</w:t>
            </w:r>
          </w:p>
        </w:tc>
        <w:tc>
          <w:tcPr>
            <w:tcW w:w="0" w:type="auto"/>
          </w:tcPr>
          <w:p w14:paraId="49654987" w14:textId="77777777" w:rsidR="008B36CB" w:rsidRDefault="00000000">
            <w:pPr>
              <w:pStyle w:val="Compact"/>
            </w:pPr>
            <w:r>
              <w:t>0.53</w:t>
            </w:r>
          </w:p>
        </w:tc>
        <w:tc>
          <w:tcPr>
            <w:tcW w:w="0" w:type="auto"/>
          </w:tcPr>
          <w:p w14:paraId="4DC2A353" w14:textId="77777777" w:rsidR="008B36CB" w:rsidRDefault="00000000">
            <w:pPr>
              <w:pStyle w:val="Compact"/>
            </w:pPr>
            <w:r>
              <w:t>15.0</w:t>
            </w:r>
          </w:p>
        </w:tc>
      </w:tr>
      <w:tr w:rsidR="008B36CB" w14:paraId="7F7F22A5" w14:textId="77777777">
        <w:tc>
          <w:tcPr>
            <w:tcW w:w="0" w:type="auto"/>
          </w:tcPr>
          <w:p w14:paraId="0F81578C" w14:textId="77777777" w:rsidR="008B36CB" w:rsidRDefault="00000000">
            <w:pPr>
              <w:pStyle w:val="Compact"/>
            </w:pPr>
            <w:r>
              <w:t>USD vs kWh</w:t>
            </w:r>
          </w:p>
        </w:tc>
        <w:tc>
          <w:tcPr>
            <w:tcW w:w="0" w:type="auto"/>
          </w:tcPr>
          <w:p w14:paraId="7008468F" w14:textId="77777777" w:rsidR="008B36CB" w:rsidRDefault="00000000">
            <w:pPr>
              <w:pStyle w:val="Compact"/>
            </w:pPr>
            <w:r>
              <w:t>9.68</w:t>
            </w:r>
          </w:p>
        </w:tc>
        <w:tc>
          <w:tcPr>
            <w:tcW w:w="0" w:type="auto"/>
          </w:tcPr>
          <w:p w14:paraId="0887DEB4" w14:textId="77777777" w:rsidR="008B36CB" w:rsidRDefault="00000000">
            <w:pPr>
              <w:pStyle w:val="Compact"/>
            </w:pPr>
            <w:r>
              <w:t>1.69</w:t>
            </w:r>
          </w:p>
        </w:tc>
        <w:tc>
          <w:tcPr>
            <w:tcW w:w="0" w:type="auto"/>
          </w:tcPr>
          <w:p w14:paraId="5F775184" w14:textId="77777777" w:rsidR="008B36CB" w:rsidRDefault="00000000">
            <w:pPr>
              <w:pStyle w:val="Compact"/>
            </w:pPr>
            <w:r>
              <w:t>53.4</w:t>
            </w:r>
          </w:p>
        </w:tc>
      </w:tr>
      <w:tr w:rsidR="008B36CB" w14:paraId="42FB4D59" w14:textId="77777777">
        <w:tc>
          <w:tcPr>
            <w:tcW w:w="0" w:type="auto"/>
          </w:tcPr>
          <w:p w14:paraId="4B611125" w14:textId="77777777" w:rsidR="008B36CB" w:rsidRDefault="00000000">
            <w:pPr>
              <w:pStyle w:val="Compact"/>
            </w:pPr>
            <w:r>
              <w:t>calc-NoCalculator</w:t>
            </w:r>
          </w:p>
        </w:tc>
        <w:tc>
          <w:tcPr>
            <w:tcW w:w="0" w:type="auto"/>
          </w:tcPr>
          <w:p w14:paraId="65DBA65C" w14:textId="77777777" w:rsidR="008B36CB" w:rsidRDefault="00000000">
            <w:pPr>
              <w:pStyle w:val="Compact"/>
            </w:pPr>
            <w:r>
              <w:t>60.37</w:t>
            </w:r>
          </w:p>
        </w:tc>
        <w:tc>
          <w:tcPr>
            <w:tcW w:w="0" w:type="auto"/>
          </w:tcPr>
          <w:p w14:paraId="368A032B" w14:textId="77777777" w:rsidR="008B36CB" w:rsidRDefault="00000000">
            <w:pPr>
              <w:pStyle w:val="Compact"/>
            </w:pPr>
            <w:r>
              <w:t>9.02</w:t>
            </w:r>
          </w:p>
        </w:tc>
        <w:tc>
          <w:tcPr>
            <w:tcW w:w="0" w:type="auto"/>
          </w:tcPr>
          <w:p w14:paraId="67A86A1A" w14:textId="77777777" w:rsidR="008B36CB" w:rsidRDefault="00000000">
            <w:pPr>
              <w:pStyle w:val="Compact"/>
            </w:pPr>
            <w:r>
              <w:t>426.4</w:t>
            </w:r>
          </w:p>
        </w:tc>
      </w:tr>
      <w:tr w:rsidR="008B36CB" w14:paraId="54D71586" w14:textId="77777777">
        <w:tc>
          <w:tcPr>
            <w:tcW w:w="0" w:type="auto"/>
          </w:tcPr>
          <w:p w14:paraId="3DD32A5F" w14:textId="77777777" w:rsidR="008B36CB" w:rsidRDefault="00000000">
            <w:pPr>
              <w:pStyle w:val="Compact"/>
            </w:pPr>
            <w:r>
              <w:t>15% Goal vs 10% Goal</w:t>
            </w:r>
          </w:p>
        </w:tc>
        <w:tc>
          <w:tcPr>
            <w:tcW w:w="0" w:type="auto"/>
          </w:tcPr>
          <w:p w14:paraId="690D4C96" w14:textId="77777777" w:rsidR="008B36CB" w:rsidRDefault="00000000">
            <w:pPr>
              <w:pStyle w:val="Compact"/>
            </w:pPr>
            <w:r>
              <w:t>0.68</w:t>
            </w:r>
          </w:p>
        </w:tc>
        <w:tc>
          <w:tcPr>
            <w:tcW w:w="0" w:type="auto"/>
          </w:tcPr>
          <w:p w14:paraId="3E3FFAAC" w14:textId="77777777" w:rsidR="008B36CB" w:rsidRDefault="00000000">
            <w:pPr>
              <w:pStyle w:val="Compact"/>
            </w:pPr>
            <w:r>
              <w:t>0.44</w:t>
            </w:r>
          </w:p>
        </w:tc>
        <w:tc>
          <w:tcPr>
            <w:tcW w:w="0" w:type="auto"/>
          </w:tcPr>
          <w:p w14:paraId="37806CB4" w14:textId="77777777" w:rsidR="008B36CB" w:rsidRDefault="00000000">
            <w:pPr>
              <w:pStyle w:val="Compact"/>
            </w:pPr>
            <w:r>
              <w:t>1.0</w:t>
            </w:r>
          </w:p>
        </w:tc>
      </w:tr>
      <w:tr w:rsidR="008B36CB" w14:paraId="6E4C56C4" w14:textId="77777777">
        <w:tc>
          <w:tcPr>
            <w:tcW w:w="0" w:type="auto"/>
          </w:tcPr>
          <w:p w14:paraId="5A61913E" w14:textId="77777777" w:rsidR="008B36CB" w:rsidRDefault="00000000">
            <w:pPr>
              <w:pStyle w:val="Compact"/>
            </w:pPr>
            <w:r>
              <w:t>Rounded vs Not</w:t>
            </w:r>
          </w:p>
        </w:tc>
        <w:tc>
          <w:tcPr>
            <w:tcW w:w="0" w:type="auto"/>
          </w:tcPr>
          <w:p w14:paraId="6C0DD003" w14:textId="77777777" w:rsidR="008B36CB" w:rsidRDefault="00000000">
            <w:pPr>
              <w:pStyle w:val="Compact"/>
            </w:pPr>
            <w:r>
              <w:t>0.59</w:t>
            </w:r>
          </w:p>
        </w:tc>
        <w:tc>
          <w:tcPr>
            <w:tcW w:w="0" w:type="auto"/>
          </w:tcPr>
          <w:p w14:paraId="68F1F0C8" w14:textId="77777777" w:rsidR="008B36CB" w:rsidRDefault="00000000">
            <w:pPr>
              <w:pStyle w:val="Compact"/>
            </w:pPr>
            <w:r>
              <w:t>0.38</w:t>
            </w:r>
          </w:p>
        </w:tc>
        <w:tc>
          <w:tcPr>
            <w:tcW w:w="0" w:type="auto"/>
          </w:tcPr>
          <w:p w14:paraId="24AF25DD" w14:textId="77777777" w:rsidR="008B36CB" w:rsidRDefault="00000000">
            <w:pPr>
              <w:pStyle w:val="Compact"/>
            </w:pPr>
            <w:r>
              <w:t>0.9</w:t>
            </w:r>
          </w:p>
        </w:tc>
      </w:tr>
    </w:tbl>
    <w:bookmarkEnd w:id="29"/>
    <w:p w14:paraId="01A981FC" w14:textId="77777777" w:rsidR="008B36CB" w:rsidRDefault="00000000">
      <w:pPr>
        <w:pStyle w:val="FigureNote"/>
      </w:pPr>
      <w:r>
        <w:rPr>
          <w:i/>
          <w:iCs/>
        </w:rPr>
        <w:lastRenderedPageBreak/>
        <w:t>Note</w:t>
      </w:r>
      <w:r>
        <w:t>. Odds ratios greater than 1 indicate increased odds of falling into a worse accuracy category compared to the kWh condition</w:t>
      </w:r>
    </w:p>
    <w:p w14:paraId="5EEC5FDC" w14:textId="77777777" w:rsidR="008B36CB" w:rsidRDefault="00000000">
      <w:pPr>
        <w:pStyle w:val="BodyText"/>
      </w:pPr>
      <w:r>
        <w:t>As in Experiment 1, accuracy was categorized into three ordinal levels: “Exact match” (0% error), “0.01-5% error,” and “Over 5% error”.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 (</w:t>
      </w:r>
      <w:hyperlink w:anchor="eq-e2">
        <w:r>
          <w:rPr>
            <w:rStyle w:val="Hyperlink"/>
          </w:rPr>
          <w:t>Equation 2</w:t>
        </w:r>
      </w:hyperlink>
      <w:r>
        <w:t>). The model was fit using the brms package in R, with weakly informative priors for the regression coefficients and cutpoints (</w:t>
      </w:r>
      <w:hyperlink w:anchor="ref-kruschkeDoingBayesianData2014">
        <w:r>
          <w:rPr>
            <w:rStyle w:val="Hyperlink"/>
          </w:rPr>
          <w:t>Kruschke, 2014</w:t>
        </w:r>
      </w:hyperlink>
      <w:r>
        <w:t>).</w:t>
      </w:r>
    </w:p>
    <w:p w14:paraId="2D26676C" w14:textId="77777777" w:rsidR="008B36CB" w:rsidRPr="00310FD6" w:rsidRDefault="00000000">
      <w:pPr>
        <w:pStyle w:val="BodyText"/>
      </w:pPr>
      <w:bookmarkStart w:id="30" w:name="eq-e2"/>
      <m:oMathPara>
        <m:oMathParaPr>
          <m:jc m:val="center"/>
        </m:oMathParaPr>
        <m:oMath>
          <m:r>
            <m:rPr>
              <m:nor/>
            </m:rPr>
            <m:t>Accuracy</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r>
            <m:rPr>
              <m:nor/>
            </m:rPr>
            <m:t>Goal</m:t>
          </m:r>
          <m:r>
            <m:rPr>
              <m:sty m:val="p"/>
            </m:rPr>
            <w:rPr>
              <w:rFonts w:ascii="Cambria Math" w:hAnsi="Cambria Math"/>
            </w:rPr>
            <m:t>+</m:t>
          </m:r>
          <m:r>
            <m:rPr>
              <m:nor/>
            </m:rPr>
            <m:t>Rounded</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r>
            <w:rPr>
              <w:rFonts w:ascii="Cambria Math" w:hAnsi="Cambria Math"/>
            </w:rPr>
            <m:t>  </m:t>
          </m:r>
          <m:d>
            <m:dPr>
              <m:ctrlPr>
                <w:rPr>
                  <w:rFonts w:ascii="Cambria Math" w:hAnsi="Cambria Math"/>
                </w:rPr>
              </m:ctrlPr>
            </m:dPr>
            <m:e>
              <m:r>
                <w:rPr>
                  <w:rFonts w:ascii="Cambria Math" w:hAnsi="Cambria Math"/>
                </w:rPr>
                <m:t>2</m:t>
              </m:r>
            </m:e>
          </m:d>
        </m:oMath>
      </m:oMathPara>
      <w:bookmarkEnd w:id="30"/>
    </w:p>
    <w:p w14:paraId="355A59C6" w14:textId="77777777" w:rsidR="008B36CB" w:rsidRDefault="00000000">
      <w:pPr>
        <w:pStyle w:val="FirstParagraph"/>
      </w:pPr>
      <w:r>
        <w:t>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14:paraId="6632DBF7" w14:textId="77777777" w:rsidR="008B36CB" w:rsidRDefault="00000000">
      <w:pPr>
        <w:pStyle w:val="BodyText"/>
      </w:pPr>
      <w:r>
        <w:t xml:space="preserve">We also found that using rounded numbers modestly improved accuracy (Estimate = -0.53, 95% CI: [-0.96, -0.11]), with participants having 0.59 times the odds of falling into a worse accuracy category when working with rounded values. The more challenging 15% reduction goal </w:t>
      </w:r>
      <w:r>
        <w:lastRenderedPageBreak/>
        <w:t>was associated with slightly better performance compared to the 10% goal, Estimate = -0.39, 95% CI: [-0.81, 0.04], though this effect was relatively small. Consistent with Experiment 1, the use of a calculator had a large and significant effect on accuracy. The coefficient for calc-NoCalculator was Estimate = 4.10 95% CI: [2.20, 6.06], and the corresponding odds ratio was 60.37 (95% CI: [9.02, 426.4]), indicating that participants who did not use a calculator were substantially more likely to fall into higher error categories.</w:t>
      </w:r>
    </w:p>
    <w:p w14:paraId="482D872B" w14:textId="394A3CBC" w:rsidR="008B36CB" w:rsidRDefault="00000000">
      <w:pPr>
        <w:pStyle w:val="BodyText"/>
      </w:pPr>
      <w:hyperlink w:anchor="fig-s2-ame">
        <w:r>
          <w:rPr>
            <w:rStyle w:val="Hyperlink"/>
          </w:rPr>
          <w:t>Figure 6</w:t>
        </w:r>
      </w:hyperlink>
      <w:r>
        <w:t xml:space="preserve"> shows the marginal effects of </w:t>
      </w:r>
      <w:r w:rsidR="00D6737D">
        <w:t>Reference</w:t>
      </w:r>
      <w:r>
        <w:t xml:space="preserve"> on each level of accuracy_level. These results reveal that switching from kWh to Percentage decreased the probability of an “Exact match” by an average of 7.0 percentage points, 95% CI: [-19.2, 4.2] and increased the probability of falling into the “Over 5% error” category by 6.9 percentage points, 95% CI: [-4.5, 18.6]. Similarly, switching from kWh to USD decreased the probability of an “Exact match” by 15 percentage points, 95% CI: [-26.7, -3.3], and increased the probability of “Over 5% error” by 16.5 percentage points, 95% CI: [3.7, 29.3].</w:t>
      </w:r>
    </w:p>
    <w:p w14:paraId="15A760CE" w14:textId="77777777" w:rsidR="008B36CB" w:rsidRDefault="00000000">
      <w:pPr>
        <w:pStyle w:val="FigureTitle"/>
      </w:pPr>
      <w:bookmarkStart w:id="31" w:name="fig-s2-ame"/>
      <w:r>
        <w:lastRenderedPageBreak/>
        <w:t>Figure 6</w:t>
      </w:r>
    </w:p>
    <w:p w14:paraId="51396CB1" w14:textId="77777777" w:rsidR="008B36CB" w:rsidRDefault="00000000">
      <w:pPr>
        <w:pStyle w:val="Caption"/>
      </w:pPr>
      <w:r>
        <w:t>Experiment 2. Average marginal effects of reference class on accuracy levels</w:t>
      </w:r>
    </w:p>
    <w:p w14:paraId="230BA270" w14:textId="77777777" w:rsidR="008B36CB" w:rsidRDefault="00000000">
      <w:pPr>
        <w:pStyle w:val="FigureWithNote"/>
      </w:pPr>
      <w:r>
        <w:rPr>
          <w:noProof/>
        </w:rPr>
        <w:drawing>
          <wp:inline distT="0" distB="0" distL="0" distR="0" wp14:anchorId="162124F7" wp14:editId="1093C943">
            <wp:extent cx="5943600" cy="4322618"/>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manuscript_files/figure-docx/fig-s2-ame-1.png"/>
                    <pic:cNvPicPr>
                      <a:picLocks noChangeAspect="1" noChangeArrowheads="1"/>
                    </pic:cNvPicPr>
                  </pic:nvPicPr>
                  <pic:blipFill>
                    <a:blip r:embed="rId12"/>
                    <a:stretch>
                      <a:fillRect/>
                    </a:stretch>
                  </pic:blipFill>
                  <pic:spPr bwMode="auto">
                    <a:xfrm>
                      <a:off x="0" y="0"/>
                      <a:ext cx="5943600" cy="4322618"/>
                    </a:xfrm>
                    <a:prstGeom prst="rect">
                      <a:avLst/>
                    </a:prstGeom>
                    <a:noFill/>
                    <a:ln w="9525">
                      <a:noFill/>
                      <a:headEnd/>
                      <a:tailEnd/>
                    </a:ln>
                  </pic:spPr>
                </pic:pic>
              </a:graphicData>
            </a:graphic>
          </wp:inline>
        </w:drawing>
      </w:r>
    </w:p>
    <w:bookmarkEnd w:id="31"/>
    <w:p w14:paraId="106357E4" w14:textId="77777777" w:rsidR="008B36CB" w:rsidRDefault="00000000">
      <w:pPr>
        <w:pStyle w:val="FigureNote"/>
      </w:pPr>
      <w:r>
        <w:rPr>
          <w:i/>
          <w:iCs/>
        </w:rPr>
        <w:t>Note</w:t>
      </w:r>
      <w:r>
        <w:t>.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 “Exact match” by 7.0% and increases the probability of “Over 5% error” by 6.9%. The USD format has a larger negative effect on “Exact match” (-14.7%) and a larger positive effect on “Over 5% error” (+16.5%). The effects on the “0.01-5% error” category are near zero for both comparisons.</w:t>
      </w:r>
    </w:p>
    <w:p w14:paraId="4E2F77F4" w14:textId="77777777" w:rsidR="008B36CB" w:rsidRDefault="00000000">
      <w:pPr>
        <w:pStyle w:val="FigureTitle"/>
      </w:pPr>
      <w:bookmarkStart w:id="32" w:name="fig-s2-ppd"/>
      <w:r>
        <w:lastRenderedPageBreak/>
        <w:t>Figure 7</w:t>
      </w:r>
    </w:p>
    <w:p w14:paraId="0E19B957" w14:textId="77777777" w:rsidR="008B36CB" w:rsidRDefault="00000000">
      <w:pPr>
        <w:pStyle w:val="Caption"/>
      </w:pPr>
      <w:r>
        <w:t>Experiment 2. Posterior predictive check of the bayesian regression model</w:t>
      </w:r>
    </w:p>
    <w:p w14:paraId="0BE7EF16" w14:textId="77777777" w:rsidR="008B36CB" w:rsidRDefault="00000000">
      <w:pPr>
        <w:pStyle w:val="FigureWithNote"/>
      </w:pPr>
      <w:r>
        <w:rPr>
          <w:noProof/>
        </w:rPr>
        <w:drawing>
          <wp:inline distT="0" distB="0" distL="0" distR="0" wp14:anchorId="109CC54B" wp14:editId="69497954">
            <wp:extent cx="5943600" cy="59436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manuscript_files/figure-docx/fig-s2-ppd-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bookmarkEnd w:id="32"/>
    <w:p w14:paraId="5BCBE679" w14:textId="77777777" w:rsidR="008B36CB" w:rsidRDefault="00000000">
      <w:pPr>
        <w:pStyle w:val="FigureNote"/>
      </w:pPr>
      <w:r>
        <w:rPr>
          <w:i/>
          <w:iCs/>
        </w:rPr>
        <w:t>Note</w:t>
      </w:r>
      <w:r>
        <w:t>.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14:paraId="385594BD" w14:textId="77777777" w:rsidR="008B36CB" w:rsidRDefault="00000000">
      <w:pPr>
        <w:pStyle w:val="FigureTitle"/>
      </w:pPr>
      <w:bookmarkStart w:id="33" w:name="fig-s2-els"/>
      <w:r>
        <w:lastRenderedPageBreak/>
        <w:t>Figure 8</w:t>
      </w:r>
    </w:p>
    <w:p w14:paraId="4637D5E6" w14:textId="77777777" w:rsidR="008B36CB" w:rsidRDefault="00000000">
      <w:pPr>
        <w:pStyle w:val="Caption"/>
      </w:pPr>
      <w:r>
        <w:t>Experiment 2. Conditional effect of energy literacy on log absolute error</w:t>
      </w:r>
    </w:p>
    <w:p w14:paraId="6715BE15" w14:textId="77777777" w:rsidR="008B36CB" w:rsidRDefault="00000000">
      <w:pPr>
        <w:pStyle w:val="FigureWithNote"/>
      </w:pPr>
      <w:r>
        <w:rPr>
          <w:noProof/>
        </w:rPr>
        <w:drawing>
          <wp:inline distT="0" distB="0" distL="0" distR="0" wp14:anchorId="42C0765D" wp14:editId="6C89A85F">
            <wp:extent cx="5943600" cy="59436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manuscript_files/figure-docx/fig-s2-els-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bookmarkEnd w:id="33"/>
    <w:p w14:paraId="482A0A30" w14:textId="77777777" w:rsidR="008B36CB" w:rsidRDefault="00000000">
      <w:pPr>
        <w:pStyle w:val="FigureNote"/>
      </w:pPr>
      <w:r>
        <w:rPr>
          <w:i/>
          <w:iCs/>
        </w:rPr>
        <w:t>Note</w:t>
      </w:r>
      <w:r>
        <w:t>.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14:paraId="0FD5B61F" w14:textId="77777777" w:rsidR="008B36CB" w:rsidRDefault="00000000">
      <w:pPr>
        <w:pStyle w:val="BodyText"/>
      </w:pPr>
      <w:r>
        <w:lastRenderedPageBreak/>
        <w:t>We once again examined the effect of energy literacy on planning accuracy. A Bayesian linear regression model was fit with log-transformed absolute error as the outcome variable and energy literacy score as the predictor, controlling for random effects of participant and 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Figure 8</w:t>
        </w:r>
      </w:hyperlink>
      <w:r>
        <w:t>).</w:t>
      </w:r>
    </w:p>
    <w:p w14:paraId="14B87F35" w14:textId="77777777" w:rsidR="008B36CB" w:rsidRDefault="00000000">
      <w:pPr>
        <w:pStyle w:val="Heading2"/>
      </w:pPr>
      <w:bookmarkStart w:id="34" w:name="experiment-2-discussion"/>
      <w:bookmarkEnd w:id="25"/>
      <w:r>
        <w:t>Experiment 2: Discussion</w:t>
      </w:r>
    </w:p>
    <w:p w14:paraId="04F4D3B9" w14:textId="77777777" w:rsidR="008B36CB" w:rsidRDefault="00000000">
      <w:pPr>
        <w:pStyle w:val="FirstParagraph"/>
      </w:pPr>
      <w:r>
        <w:t>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14:paraId="3F6B0DEA" w14:textId="77777777" w:rsidR="008B36CB" w:rsidRDefault="00000000">
      <w:pPr>
        <w:pStyle w:val="BodyText"/>
      </w:pPr>
      <w:r>
        <w:t>Taken together, the results of Experiment 2 provide further support for the hypothesis that presenting energy reduction goals in absolute units (kWh) leads to more accurate planning compared to percentage-based or monetary formats.</w:t>
      </w:r>
    </w:p>
    <w:p w14:paraId="09019C35" w14:textId="77777777" w:rsidR="008B36CB" w:rsidRDefault="00000000">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confidently establish its existence. Furthermore, the magnitude of the effect size of this </w:t>
      </w:r>
      <w:r>
        <w:lastRenderedPageBreak/>
        <w:t>manipulation should be examined to better understand the practical implications of goal difficulty for energy conservation.</w:t>
      </w:r>
    </w:p>
    <w:p w14:paraId="1DD25AB3" w14:textId="77777777" w:rsidR="008B36CB" w:rsidRDefault="00000000">
      <w:pPr>
        <w:pStyle w:val="BodyText"/>
      </w:pPr>
      <w:r>
        <w:t>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p w14:paraId="29EE3668" w14:textId="77777777" w:rsidR="008B36CB" w:rsidRDefault="00000000">
      <w:pPr>
        <w:pStyle w:val="Heading1"/>
      </w:pPr>
      <w:bookmarkStart w:id="35" w:name="general-discussion"/>
      <w:bookmarkEnd w:id="22"/>
      <w:bookmarkEnd w:id="34"/>
      <w:r>
        <w:t>General Discussion</w:t>
      </w:r>
    </w:p>
    <w:p w14:paraId="32AA0228" w14:textId="77777777" w:rsidR="008B36CB" w:rsidRDefault="00000000">
      <w:pPr>
        <w:pStyle w:val="FirstParagraph"/>
      </w:pPr>
      <w:r>
        <w:t>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 (</w:t>
      </w:r>
      <w:hyperlink w:anchor="X48ee7d52bd4db5ee8bad5220fee5b9ac66ecac9">
        <w:r>
          <w:rPr>
            <w:rStyle w:val="Hyperlink"/>
          </w:rPr>
          <w:t>Gigerenzer &amp; Edwards, 2003</w:t>
        </w:r>
      </w:hyperlink>
      <w:r>
        <w:t xml:space="preserve">; </w:t>
      </w:r>
      <w:hyperlink w:anchor="ref-reimerNumericCommunicationRisk2015">
        <w:r>
          <w:rPr>
            <w:rStyle w:val="Hyperlink"/>
          </w:rPr>
          <w:t>Reimer et al., 2015</w:t>
        </w:r>
      </w:hyperlink>
      <w:r>
        <w:t>). But they move beyond simpler estimation tasks to show how these benefits persist in a goal-directed planning context. Notably, individuals with higher energy literacy performed better overall, a finding in line with previous work emphasizing the importance of domain knowledge for effective resource conservation (</w:t>
      </w:r>
      <w:hyperlink w:anchor="ref-attariPublicPerceptionsEnergy2010">
        <w:r>
          <w:rPr>
            <w:rStyle w:val="Hyperlink"/>
          </w:rPr>
          <w:t>Attari et al., 2010</w:t>
        </w:r>
      </w:hyperlink>
      <w:r>
        <w:t xml:space="preserve">; </w:t>
      </w:r>
      <w:hyperlink w:anchor="X583a2aeb73133489b1bca7034fc4c88220fccdb">
        <w:r>
          <w:rPr>
            <w:rStyle w:val="Hyperlink"/>
          </w:rPr>
          <w:t>Canfield et al., 2017</w:t>
        </w:r>
      </w:hyperlink>
      <w:r>
        <w:t>)</w:t>
      </w:r>
    </w:p>
    <w:p w14:paraId="3F219239" w14:textId="77777777" w:rsidR="008B36CB" w:rsidRDefault="00000000">
      <w:pPr>
        <w:pStyle w:val="BodyText"/>
      </w:pPr>
      <w:r>
        <w:t>While prior research has suggested that consumers sometimes prefer monetary formats (</w:t>
      </w:r>
      <w:hyperlink w:anchor="X227e3d6b85043161ccff60bb73ea027362781dc">
        <w:r>
          <w:rPr>
            <w:rStyle w:val="Hyperlink"/>
          </w:rPr>
          <w:t>Karjalainen, 2011</w:t>
        </w:r>
      </w:hyperlink>
      <w:r>
        <w:t xml:space="preserve">; </w:t>
      </w:r>
      <w:hyperlink w:anchor="X6b928f3b3d6d58eb00a6f05f7cc31476714d0fc">
        <w:r>
          <w:rPr>
            <w:rStyle w:val="Hyperlink"/>
          </w:rPr>
          <w:t>Nemati &amp; Penn, 2020</w:t>
        </w:r>
      </w:hyperlink>
      <w:r>
        <w:t>) or that monetary framing can improve appliance choices (</w:t>
      </w:r>
      <w:hyperlink w:anchor="ref-blaschBoundedlyRationalConsumers2019">
        <w:r>
          <w:rPr>
            <w:rStyle w:val="Hyperlink"/>
          </w:rPr>
          <w:t>Blasch et al., 2019</w:t>
        </w:r>
      </w:hyperlink>
      <w:r>
        <w:t xml:space="preserve">), our findings tentatively indicate that absolute energy units can facilitate the finer-grained calculations needed to plan specific usage cuts. This may be because kWh provide a more direct and less ambiguous representation of energy quantities, facilitating </w:t>
      </w:r>
      <w:r>
        <w:lastRenderedPageBreak/>
        <w:t>the necessary calculations for accurate planning. Moreover, although percentage-based targets might seem appealing from a goal-setting perspective, the additional step of converting percentages to tangible appliance reductions likely increases the chances for error (</w:t>
      </w:r>
      <w:hyperlink w:anchor="ref-fisher100BiasEffects2022">
        <w:r>
          <w:rPr>
            <w:rStyle w:val="Hyperlink"/>
          </w:rPr>
          <w:t>Fisher &amp; Mormann, 2022</w:t>
        </w:r>
      </w:hyperlink>
      <w:r>
        <w:t>). Research on consumer heuristics in energy judgments (</w:t>
      </w:r>
      <w:hyperlink w:anchor="Xb1100beca2d010ddfe6cd55e590057ba1b04648">
        <w:r>
          <w:rPr>
            <w:rStyle w:val="Hyperlink"/>
          </w:rPr>
          <w:t>Van Den Broek &amp; Walker, 2019</w:t>
        </w:r>
      </w:hyperlink>
      <w:r>
        <w:t>) suggests that individuals gravitate toward concrete cues, and the directness of absolute units may align well with these heuristics. Similarly, the concept of “default units” (</w:t>
      </w:r>
      <w:hyperlink w:anchor="ref-herberzKiloWhatDefault2020">
        <w:r>
          <w:rPr>
            <w:rStyle w:val="Hyperlink"/>
          </w:rPr>
          <w:t>Herberz et al., 2020</w:t>
        </w:r>
      </w:hyperlink>
      <w:r>
        <w:t>) further highlights how presenting energy data in a straightforward, standardized format can guide better consumer decisions. Nevertheless, it is unclear whether the observed benefits of absolute units (i.e., kWh) are genuinely attributable to their absolute nature, or if other characteristics of these units might be driving the effects (e.g., familiarity).</w:t>
      </w:r>
    </w:p>
    <w:p w14:paraId="05F35872" w14:textId="77777777" w:rsidR="008B36CB" w:rsidRDefault="00000000">
      <w:pPr>
        <w:pStyle w:val="Heading2"/>
      </w:pPr>
      <w:bookmarkStart w:id="36" w:name="limitations-and-future-directions"/>
      <w:r>
        <w:t>Limitations and Future Directions</w:t>
      </w:r>
    </w:p>
    <w:p w14:paraId="6394C8AE" w14:textId="77777777" w:rsidR="008B36CB" w:rsidRDefault="00000000">
      <w:pPr>
        <w:pStyle w:val="FirstParagraph"/>
      </w:pPr>
      <w:r>
        <w:t>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 (</w:t>
      </w:r>
      <w:hyperlink w:anchor="X5af67f995b39de65510a4284ea565163ed449fb">
        <w:r>
          <w:rPr>
            <w:rStyle w:val="Hyperlink"/>
          </w:rPr>
          <w:t>Fischer, 2008</w:t>
        </w:r>
      </w:hyperlink>
      <w:r>
        <w:t>).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 (</w:t>
      </w:r>
      <w:hyperlink w:anchor="Xd44db9aff911e722b730a7e513225ab165d3721">
        <w:r>
          <w:rPr>
            <w:rStyle w:val="Hyperlink"/>
          </w:rPr>
          <w:t>Tonke, 2024</w:t>
        </w:r>
      </w:hyperlink>
      <w:r>
        <w:t xml:space="preserve">) could clarify how best to translate high-level goals into tangible actions in diverse contexts. By </w:t>
      </w:r>
      <w:r>
        <w:lastRenderedPageBreak/>
        <w:t>building on these avenues, subsequent work can refine how energy information is formatted and delivered, ultimately enhancing both the precision and feasibility of conservation planning.</w:t>
      </w:r>
    </w:p>
    <w:p w14:paraId="5DE3AF0C" w14:textId="77777777" w:rsidR="008B36CB" w:rsidRDefault="00000000">
      <w:r>
        <w:br w:type="page"/>
      </w:r>
    </w:p>
    <w:p w14:paraId="02BF5886" w14:textId="77777777" w:rsidR="008B36CB" w:rsidRDefault="00000000">
      <w:pPr>
        <w:pStyle w:val="Heading1"/>
      </w:pPr>
      <w:bookmarkStart w:id="37" w:name="references"/>
      <w:bookmarkEnd w:id="35"/>
      <w:bookmarkEnd w:id="36"/>
      <w:r>
        <w:lastRenderedPageBreak/>
        <w:t>References</w:t>
      </w:r>
    </w:p>
    <w:p w14:paraId="01B3B525" w14:textId="77777777" w:rsidR="008B36CB" w:rsidRDefault="00000000">
      <w:pPr>
        <w:pStyle w:val="Bibliography"/>
      </w:pPr>
      <w:bookmarkStart w:id="38" w:name="X017f3aa19ce35c5f02a682eb2019dab7020f49c"/>
      <w:bookmarkStart w:id="39" w:name="refs"/>
      <w:r>
        <w:t xml:space="preserve">Abrahamse, W., Steg, L., Vlek, C., &amp; Rothengatter, T. (2005). A review of intervention studies aimed at household energy conservation. </w:t>
      </w:r>
      <w:r>
        <w:rPr>
          <w:i/>
          <w:iCs/>
        </w:rPr>
        <w:t>Journal of Environmental Psychology</w:t>
      </w:r>
      <w:r>
        <w:t xml:space="preserve">, </w:t>
      </w:r>
      <w:r>
        <w:rPr>
          <w:i/>
          <w:iCs/>
        </w:rPr>
        <w:t>25</w:t>
      </w:r>
      <w:r>
        <w:t xml:space="preserve">(3), 273–291. </w:t>
      </w:r>
      <w:hyperlink r:id="rId15">
        <w:r>
          <w:rPr>
            <w:rStyle w:val="Hyperlink"/>
          </w:rPr>
          <w:t>https://doi.org/10.1016/j.jenvp.2005.08.002</w:t>
        </w:r>
      </w:hyperlink>
    </w:p>
    <w:p w14:paraId="66390337" w14:textId="77777777" w:rsidR="008B36CB" w:rsidRDefault="00000000">
      <w:pPr>
        <w:pStyle w:val="Bibliography"/>
      </w:pPr>
      <w:bookmarkStart w:id="40" w:name="Xc77c1353231159de2b8cfbcbe6900637f731154"/>
      <w:bookmarkEnd w:id="38"/>
      <w:r>
        <w:t xml:space="preserve">Abrahamse, W., Steg, L., Vlek, C., &amp; Rothengatter, T. (2007). The effect of tailored information, goal setting, and tailored feedback on household energy use, energy-related behaviors, and behavioral antecedents. </w:t>
      </w:r>
      <w:r>
        <w:rPr>
          <w:i/>
          <w:iCs/>
        </w:rPr>
        <w:t>Journal of Environmental Psychology</w:t>
      </w:r>
      <w:r>
        <w:t xml:space="preserve">, </w:t>
      </w:r>
      <w:r>
        <w:rPr>
          <w:i/>
          <w:iCs/>
        </w:rPr>
        <w:t>27</w:t>
      </w:r>
      <w:r>
        <w:t xml:space="preserve">(4), 265–276. </w:t>
      </w:r>
      <w:hyperlink r:id="rId16">
        <w:r>
          <w:rPr>
            <w:rStyle w:val="Hyperlink"/>
          </w:rPr>
          <w:t>https://doi.org/10.1016/j.jenvp.2007.08.002</w:t>
        </w:r>
      </w:hyperlink>
    </w:p>
    <w:p w14:paraId="343D3D5A" w14:textId="77777777" w:rsidR="008B36CB" w:rsidRDefault="00000000">
      <w:pPr>
        <w:pStyle w:val="Bibliography"/>
      </w:pPr>
      <w:bookmarkStart w:id="41" w:name="ref-attariPublicPerceptionsEnergy2010"/>
      <w:bookmarkEnd w:id="40"/>
      <w:r>
        <w:t xml:space="preserve">Attari, S. Z., DeKay, M. L., Davidson, C. I., &amp; Bruine De Bruin, W. (2010). Public perceptions of energy consumption and savings. </w:t>
      </w:r>
      <w:r>
        <w:rPr>
          <w:i/>
          <w:iCs/>
        </w:rPr>
        <w:t>Proceedings of the National Academy of Sciences</w:t>
      </w:r>
      <w:r>
        <w:t xml:space="preserve">, </w:t>
      </w:r>
      <w:r>
        <w:rPr>
          <w:i/>
          <w:iCs/>
        </w:rPr>
        <w:t>107</w:t>
      </w:r>
      <w:r>
        <w:t xml:space="preserve">(37), 16054–16059. </w:t>
      </w:r>
      <w:hyperlink r:id="rId17">
        <w:r>
          <w:rPr>
            <w:rStyle w:val="Hyperlink"/>
          </w:rPr>
          <w:t>https://doi.org/10.1073/pnas.1001509107</w:t>
        </w:r>
      </w:hyperlink>
    </w:p>
    <w:p w14:paraId="2C6778DE" w14:textId="77777777" w:rsidR="008B36CB" w:rsidRDefault="00000000">
      <w:pPr>
        <w:pStyle w:val="Bibliography"/>
      </w:pPr>
      <w:bookmarkStart w:id="42" w:name="ref-bednarRecognitionResponseEnergy2020"/>
      <w:bookmarkEnd w:id="41"/>
      <w:r>
        <w:t xml:space="preserve">Bednar, D. J., &amp; Reames, T. G. (2020). Recognition of and response to energy poverty in the United States. </w:t>
      </w:r>
      <w:r>
        <w:rPr>
          <w:i/>
          <w:iCs/>
        </w:rPr>
        <w:t>Nature Energy</w:t>
      </w:r>
      <w:r>
        <w:t xml:space="preserve">, </w:t>
      </w:r>
      <w:r>
        <w:rPr>
          <w:i/>
          <w:iCs/>
        </w:rPr>
        <w:t>5</w:t>
      </w:r>
      <w:r>
        <w:t xml:space="preserve">(6), 432–439. </w:t>
      </w:r>
      <w:hyperlink r:id="rId18">
        <w:r>
          <w:rPr>
            <w:rStyle w:val="Hyperlink"/>
          </w:rPr>
          <w:t>https://doi.org/10.1038/s41560-020-0582-0</w:t>
        </w:r>
      </w:hyperlink>
    </w:p>
    <w:p w14:paraId="1894A7F4" w14:textId="77777777" w:rsidR="008B36CB" w:rsidRDefault="00000000">
      <w:pPr>
        <w:pStyle w:val="Bibliography"/>
      </w:pPr>
      <w:bookmarkStart w:id="43" w:name="ref-blaschBoundedlyRationalConsumers2019"/>
      <w:bookmarkEnd w:id="42"/>
      <w:r>
        <w:t xml:space="preserve">Blasch, J., Filippini, M., &amp; Kumar, N. (2019). Boundedly rational consumers, energy and investment literacy, and the display of information on household appliances. </w:t>
      </w:r>
      <w:r>
        <w:rPr>
          <w:i/>
          <w:iCs/>
        </w:rPr>
        <w:t>Resource and Energy Economics</w:t>
      </w:r>
      <w:r>
        <w:t xml:space="preserve">, </w:t>
      </w:r>
      <w:r>
        <w:rPr>
          <w:i/>
          <w:iCs/>
        </w:rPr>
        <w:t>56</w:t>
      </w:r>
      <w:r>
        <w:t xml:space="preserve">, 39–58. </w:t>
      </w:r>
      <w:hyperlink r:id="rId19">
        <w:r>
          <w:rPr>
            <w:rStyle w:val="Hyperlink"/>
          </w:rPr>
          <w:t>https://doi.org/10.1016/j.reseneeco.2017.06.001</w:t>
        </w:r>
      </w:hyperlink>
    </w:p>
    <w:p w14:paraId="19FC042D" w14:textId="77777777" w:rsidR="008B36CB" w:rsidRDefault="00000000">
      <w:pPr>
        <w:pStyle w:val="Bibliography"/>
      </w:pPr>
      <w:bookmarkStart w:id="44" w:name="ref-burknerBrmsPackageBayesian2017"/>
      <w:bookmarkEnd w:id="43"/>
      <w:r>
        <w:t xml:space="preserve">Bürkner, P.-C. (2017). Brms: An R Package for Bayesian Multilevel Models Using Stan. </w:t>
      </w:r>
      <w:r>
        <w:rPr>
          <w:i/>
          <w:iCs/>
        </w:rPr>
        <w:t>Journal of Statistical Software</w:t>
      </w:r>
      <w:r>
        <w:t xml:space="preserve">, </w:t>
      </w:r>
      <w:r>
        <w:rPr>
          <w:i/>
          <w:iCs/>
        </w:rPr>
        <w:t>80</w:t>
      </w:r>
      <w:r>
        <w:t xml:space="preserve">, 1–28. </w:t>
      </w:r>
      <w:hyperlink r:id="rId20">
        <w:r>
          <w:rPr>
            <w:rStyle w:val="Hyperlink"/>
          </w:rPr>
          <w:t>https://doi.org/10.18637/jss.v080.i01</w:t>
        </w:r>
      </w:hyperlink>
    </w:p>
    <w:p w14:paraId="7438DF3A" w14:textId="77777777" w:rsidR="008B36CB" w:rsidRDefault="00000000">
      <w:pPr>
        <w:pStyle w:val="Bibliography"/>
      </w:pPr>
      <w:bookmarkStart w:id="45" w:name="ref-burknerOrdinalRegressionModels2019"/>
      <w:bookmarkEnd w:id="44"/>
      <w:r>
        <w:t xml:space="preserve">Bürkner, P.-C., &amp; Vuorre, M. (2019). Ordinal Regression Models in Psychology: A Tutorial. </w:t>
      </w:r>
      <w:r>
        <w:rPr>
          <w:i/>
          <w:iCs/>
        </w:rPr>
        <w:t>Advances in Methods and Practices in Psychological Science</w:t>
      </w:r>
      <w:r>
        <w:t xml:space="preserve">, </w:t>
      </w:r>
      <w:r>
        <w:rPr>
          <w:i/>
          <w:iCs/>
        </w:rPr>
        <w:t>2</w:t>
      </w:r>
      <w:r>
        <w:t xml:space="preserve">(1), 77–101. </w:t>
      </w:r>
      <w:hyperlink r:id="rId21">
        <w:r>
          <w:rPr>
            <w:rStyle w:val="Hyperlink"/>
          </w:rPr>
          <w:t>https://doi.org/10.1177/2515245918823199</w:t>
        </w:r>
      </w:hyperlink>
    </w:p>
    <w:p w14:paraId="44D8ACB4" w14:textId="77777777" w:rsidR="008B36CB" w:rsidRDefault="00000000">
      <w:pPr>
        <w:pStyle w:val="Bibliography"/>
      </w:pPr>
      <w:bookmarkStart w:id="46" w:name="X583a2aeb73133489b1bca7034fc4c88220fccdb"/>
      <w:bookmarkEnd w:id="45"/>
      <w:r>
        <w:lastRenderedPageBreak/>
        <w:t xml:space="preserve">Canfield, C., Bruine De Bruin, W., &amp; Wong-Parodi, G. (2017). Perceptions of electricity-use communications: Effects of information, format, and individual differences. </w:t>
      </w:r>
      <w:r>
        <w:rPr>
          <w:i/>
          <w:iCs/>
        </w:rPr>
        <w:t>Journal of Risk Research</w:t>
      </w:r>
      <w:r>
        <w:t xml:space="preserve">, </w:t>
      </w:r>
      <w:r>
        <w:rPr>
          <w:i/>
          <w:iCs/>
        </w:rPr>
        <w:t>20</w:t>
      </w:r>
      <w:r>
        <w:t xml:space="preserve">(9), 1132–1153. </w:t>
      </w:r>
      <w:hyperlink r:id="rId22">
        <w:r>
          <w:rPr>
            <w:rStyle w:val="Hyperlink"/>
          </w:rPr>
          <w:t>https://doi.org/10.1080/13669877.2015.1121909</w:t>
        </w:r>
      </w:hyperlink>
    </w:p>
    <w:p w14:paraId="4766602A" w14:textId="77777777" w:rsidR="008B36CB" w:rsidRDefault="00000000">
      <w:pPr>
        <w:pStyle w:val="Bibliography"/>
      </w:pPr>
      <w:bookmarkStart w:id="47" w:name="ref-dewatersEnergyLiteracySecondary2011"/>
      <w:bookmarkEnd w:id="46"/>
      <w:r>
        <w:t xml:space="preserve">DeWaters, J. E., &amp; Powers, S. E. (2011). Energy literacy of secondary students in New York State (USA): A measure of knowledge, affect, and behavior. </w:t>
      </w:r>
      <w:r>
        <w:rPr>
          <w:i/>
          <w:iCs/>
        </w:rPr>
        <w:t>Energy Policy</w:t>
      </w:r>
      <w:r>
        <w:t xml:space="preserve">, </w:t>
      </w:r>
      <w:r>
        <w:rPr>
          <w:i/>
          <w:iCs/>
        </w:rPr>
        <w:t>39</w:t>
      </w:r>
      <w:r>
        <w:t xml:space="preserve">(3), 1699–1710. </w:t>
      </w:r>
      <w:hyperlink r:id="rId23">
        <w:r>
          <w:rPr>
            <w:rStyle w:val="Hyperlink"/>
          </w:rPr>
          <w:t>https://doi.org/10.1016/j.enpol.2010.12.049</w:t>
        </w:r>
      </w:hyperlink>
    </w:p>
    <w:p w14:paraId="3D83FEE1" w14:textId="77777777" w:rsidR="008B36CB" w:rsidRDefault="00000000">
      <w:pPr>
        <w:pStyle w:val="Bibliography"/>
      </w:pPr>
      <w:bookmarkStart w:id="48" w:name="ref-farghaliStrategiesEnergyContext2023"/>
      <w:bookmarkEnd w:id="47"/>
      <w:r>
        <w:t xml:space="preserve">Farghali, M., Osman, A. I., Mohamed, I. M. A., Chen, Z., Chen, L., Ihara, I., Yap, P.-S., &amp; Rooney, D. W. (2023). Strategies to save energy in the context of the energy crisis: A review. </w:t>
      </w:r>
      <w:r>
        <w:rPr>
          <w:i/>
          <w:iCs/>
        </w:rPr>
        <w:t>Environmental Chemistry Letters</w:t>
      </w:r>
      <w:r>
        <w:t xml:space="preserve">, </w:t>
      </w:r>
      <w:r>
        <w:rPr>
          <w:i/>
          <w:iCs/>
        </w:rPr>
        <w:t>21</w:t>
      </w:r>
      <w:r>
        <w:t xml:space="preserve">(4), 2003–2039. </w:t>
      </w:r>
      <w:hyperlink r:id="rId24">
        <w:r>
          <w:rPr>
            <w:rStyle w:val="Hyperlink"/>
          </w:rPr>
          <w:t>https://doi.org/10.1007/s10311-023-01591-5</w:t>
        </w:r>
      </w:hyperlink>
    </w:p>
    <w:p w14:paraId="0BD5CC7E" w14:textId="77777777" w:rsidR="008B36CB" w:rsidRDefault="00000000">
      <w:pPr>
        <w:pStyle w:val="Bibliography"/>
      </w:pPr>
      <w:bookmarkStart w:id="49" w:name="X5af67f995b39de65510a4284ea565163ed449fb"/>
      <w:bookmarkEnd w:id="48"/>
      <w:r>
        <w:t xml:space="preserve">Fischer, C. (2008). Feedback on household electricity consumption: A tool for saving energy? </w:t>
      </w:r>
      <w:r>
        <w:rPr>
          <w:i/>
          <w:iCs/>
        </w:rPr>
        <w:t>Energy Efficiency</w:t>
      </w:r>
      <w:r>
        <w:t xml:space="preserve">, </w:t>
      </w:r>
      <w:r>
        <w:rPr>
          <w:i/>
          <w:iCs/>
        </w:rPr>
        <w:t>1</w:t>
      </w:r>
      <w:r>
        <w:t xml:space="preserve">(1), 79–104. </w:t>
      </w:r>
      <w:hyperlink r:id="rId25">
        <w:r>
          <w:rPr>
            <w:rStyle w:val="Hyperlink"/>
          </w:rPr>
          <w:t>https://doi.org/10.1007/s12053-008-9009-7</w:t>
        </w:r>
      </w:hyperlink>
    </w:p>
    <w:p w14:paraId="2412AD94" w14:textId="77777777" w:rsidR="008B36CB" w:rsidRDefault="00000000">
      <w:pPr>
        <w:pStyle w:val="Bibliography"/>
      </w:pPr>
      <w:bookmarkStart w:id="50" w:name="ref-fisher100BiasEffects2022"/>
      <w:bookmarkEnd w:id="49"/>
      <w:r>
        <w:t xml:space="preserve">Fisher, M., &amp; Mormann, M. (2022). The Off by 100% Bias: The Effects of Percentage Changes Greater than 100% on Magnitude Judgments and Consumer Choice. </w:t>
      </w:r>
      <w:r>
        <w:rPr>
          <w:i/>
          <w:iCs/>
        </w:rPr>
        <w:t>Journal of Consumer Research</w:t>
      </w:r>
      <w:r>
        <w:t xml:space="preserve">, </w:t>
      </w:r>
      <w:r>
        <w:rPr>
          <w:i/>
          <w:iCs/>
        </w:rPr>
        <w:t>49</w:t>
      </w:r>
      <w:r>
        <w:t xml:space="preserve">(4), 561–573. </w:t>
      </w:r>
      <w:hyperlink r:id="rId26">
        <w:r>
          <w:rPr>
            <w:rStyle w:val="Hyperlink"/>
          </w:rPr>
          <w:t>https://doi.org/10.1093/jcr/ucac006</w:t>
        </w:r>
      </w:hyperlink>
    </w:p>
    <w:p w14:paraId="7B99DC41" w14:textId="77777777" w:rsidR="008B36CB" w:rsidRDefault="00000000">
      <w:pPr>
        <w:pStyle w:val="Bibliography"/>
      </w:pPr>
      <w:bookmarkStart w:id="51" w:name="X48ee7d52bd4db5ee8bad5220fee5b9ac66ecac9"/>
      <w:bookmarkEnd w:id="50"/>
      <w:r>
        <w:t xml:space="preserve">Gigerenzer, G., &amp; Edwards, A. (2003). Simple tools for understanding risks: From innumeracy to insight. </w:t>
      </w:r>
      <w:r>
        <w:rPr>
          <w:i/>
          <w:iCs/>
        </w:rPr>
        <w:t>BMJ</w:t>
      </w:r>
      <w:r>
        <w:t xml:space="preserve">, </w:t>
      </w:r>
      <w:r>
        <w:rPr>
          <w:i/>
          <w:iCs/>
        </w:rPr>
        <w:t>327</w:t>
      </w:r>
      <w:r>
        <w:t xml:space="preserve">(7417), 741–744. </w:t>
      </w:r>
      <w:hyperlink r:id="rId27">
        <w:r>
          <w:rPr>
            <w:rStyle w:val="Hyperlink"/>
          </w:rPr>
          <w:t>https://doi.org/10.1136/bmj.327.7417.741</w:t>
        </w:r>
      </w:hyperlink>
    </w:p>
    <w:p w14:paraId="58A3B37B" w14:textId="77777777" w:rsidR="008B36CB" w:rsidRDefault="00000000">
      <w:pPr>
        <w:pStyle w:val="Bibliography"/>
      </w:pPr>
      <w:bookmarkStart w:id="52" w:name="ref-gillConsumerMatchingCosts2022"/>
      <w:bookmarkEnd w:id="51"/>
      <w:r>
        <w:t xml:space="preserve">Gill, C. A., Atlas, S. A., Hardisty, D. J., &amp; Scott, S. P. (2022). Consumer matching costs to context: Status quo bias, temporal framing, and household energy decisions. </w:t>
      </w:r>
      <w:r>
        <w:rPr>
          <w:i/>
          <w:iCs/>
        </w:rPr>
        <w:t>Journal of Consumer Behaviour</w:t>
      </w:r>
      <w:r>
        <w:t xml:space="preserve">, </w:t>
      </w:r>
      <w:r>
        <w:rPr>
          <w:i/>
          <w:iCs/>
        </w:rPr>
        <w:t>21</w:t>
      </w:r>
      <w:r>
        <w:t xml:space="preserve">(5), 1018–1027. </w:t>
      </w:r>
      <w:hyperlink r:id="rId28">
        <w:r>
          <w:rPr>
            <w:rStyle w:val="Hyperlink"/>
          </w:rPr>
          <w:t>https://doi.org/10.1002/cb.2051</w:t>
        </w:r>
      </w:hyperlink>
    </w:p>
    <w:p w14:paraId="1B2957EB" w14:textId="77777777" w:rsidR="008B36CB" w:rsidRDefault="00000000">
      <w:pPr>
        <w:pStyle w:val="Bibliography"/>
      </w:pPr>
      <w:bookmarkStart w:id="53" w:name="ref-herberzKiloWhatDefault2020"/>
      <w:bookmarkEnd w:id="52"/>
      <w:r>
        <w:t xml:space="preserve">Herberz, M., Brosch, T., &amp; Hahnel, U. J. J. (2020). Kilo what? Default units increase value sensitivity in joint evaluations of energy efficiency. </w:t>
      </w:r>
      <w:r>
        <w:rPr>
          <w:i/>
          <w:iCs/>
        </w:rPr>
        <w:t>Judgment and Decision Making</w:t>
      </w:r>
      <w:r>
        <w:t xml:space="preserve">, </w:t>
      </w:r>
      <w:r>
        <w:rPr>
          <w:i/>
          <w:iCs/>
        </w:rPr>
        <w:t>15</w:t>
      </w:r>
      <w:r>
        <w:t xml:space="preserve">(6), 972–988. </w:t>
      </w:r>
      <w:hyperlink r:id="rId29">
        <w:r>
          <w:rPr>
            <w:rStyle w:val="Hyperlink"/>
          </w:rPr>
          <w:t>https://doi.org/10.1017/S1930297500008172</w:t>
        </w:r>
      </w:hyperlink>
    </w:p>
    <w:p w14:paraId="1C1E8ADF" w14:textId="77777777" w:rsidR="008B36CB" w:rsidRDefault="00000000">
      <w:pPr>
        <w:pStyle w:val="Bibliography"/>
      </w:pPr>
      <w:bookmarkStart w:id="54" w:name="X227e3d6b85043161ccff60bb73ea027362781dc"/>
      <w:bookmarkEnd w:id="53"/>
      <w:r>
        <w:lastRenderedPageBreak/>
        <w:t xml:space="preserve">Karjalainen, S. (2011). Consumer preferences for feedback on household electricity consumption. </w:t>
      </w:r>
      <w:r>
        <w:rPr>
          <w:i/>
          <w:iCs/>
        </w:rPr>
        <w:t>Energy and Buildings</w:t>
      </w:r>
      <w:r>
        <w:t xml:space="preserve">, </w:t>
      </w:r>
      <w:r>
        <w:rPr>
          <w:i/>
          <w:iCs/>
        </w:rPr>
        <w:t>43</w:t>
      </w:r>
      <w:r>
        <w:t xml:space="preserve">(2-3), 458–467. </w:t>
      </w:r>
      <w:hyperlink r:id="rId30">
        <w:r>
          <w:rPr>
            <w:rStyle w:val="Hyperlink"/>
          </w:rPr>
          <w:t>https://doi.org/10.1016/j.enbuild.2010.10.010</w:t>
        </w:r>
      </w:hyperlink>
    </w:p>
    <w:p w14:paraId="5AC23ED6" w14:textId="77777777" w:rsidR="008B36CB" w:rsidRDefault="00000000">
      <w:pPr>
        <w:pStyle w:val="Bibliography"/>
      </w:pPr>
      <w:bookmarkStart w:id="55" w:name="ref-kruschkeDoingBayesianData2014"/>
      <w:bookmarkEnd w:id="54"/>
      <w:r>
        <w:t xml:space="preserve">Kruschke, J. K. (2014). </w:t>
      </w:r>
      <w:r>
        <w:rPr>
          <w:i/>
          <w:iCs/>
        </w:rPr>
        <w:t>Doing Bayesian data analysis: A tutorial with R, JAGS, and Stan</w:t>
      </w:r>
      <w:r>
        <w:t xml:space="preserve"> (2nd ed.). Academic Press. </w:t>
      </w:r>
      <w:hyperlink r:id="rId31">
        <w:r>
          <w:rPr>
            <w:rStyle w:val="Hyperlink"/>
          </w:rPr>
          <w:t>https://doi.org/10.1016/B978-0-12-405888-0.09999-2</w:t>
        </w:r>
      </w:hyperlink>
    </w:p>
    <w:p w14:paraId="68F18FED" w14:textId="77777777" w:rsidR="008B36CB" w:rsidRDefault="00000000">
      <w:pPr>
        <w:pStyle w:val="Bibliography"/>
      </w:pPr>
      <w:bookmarkStart w:id="56" w:name="X3b6a1d5d45806e48bd092325245544cfc853796"/>
      <w:bookmarkEnd w:id="55"/>
      <w:r>
        <w:t xml:space="preserve">Memmott, T., Carley, S., Graff, M., &amp; Konisky, D. M. (2021). Sociodemographic disparities in energy insecurity among low-income households before and during the COVID-19 pandemic. </w:t>
      </w:r>
      <w:r>
        <w:rPr>
          <w:i/>
          <w:iCs/>
        </w:rPr>
        <w:t>Nature Energy</w:t>
      </w:r>
      <w:r>
        <w:t xml:space="preserve">, </w:t>
      </w:r>
      <w:r>
        <w:rPr>
          <w:i/>
          <w:iCs/>
        </w:rPr>
        <w:t>6</w:t>
      </w:r>
      <w:r>
        <w:t xml:space="preserve">(2), 186–193. </w:t>
      </w:r>
      <w:hyperlink r:id="rId32">
        <w:r>
          <w:rPr>
            <w:rStyle w:val="Hyperlink"/>
          </w:rPr>
          <w:t>https://doi.org/10.1038/s41560-020-00763-9</w:t>
        </w:r>
      </w:hyperlink>
    </w:p>
    <w:p w14:paraId="162B5E6D" w14:textId="77777777" w:rsidR="008B36CB" w:rsidRDefault="00000000">
      <w:pPr>
        <w:pStyle w:val="Bibliography"/>
      </w:pPr>
      <w:bookmarkStart w:id="57" w:name="X6b928f3b3d6d58eb00a6f05f7cc31476714d0fc"/>
      <w:bookmarkEnd w:id="56"/>
      <w:r>
        <w:t xml:space="preserve">Nemati, M., &amp; Penn, J. (2020). The impact of information-based interventions on conservation behavior: A meta-analysis. </w:t>
      </w:r>
      <w:r>
        <w:rPr>
          <w:i/>
          <w:iCs/>
        </w:rPr>
        <w:t>Resource and Energy Economics</w:t>
      </w:r>
      <w:r>
        <w:t xml:space="preserve">, </w:t>
      </w:r>
      <w:r>
        <w:rPr>
          <w:i/>
          <w:iCs/>
        </w:rPr>
        <w:t>62</w:t>
      </w:r>
      <w:r>
        <w:t xml:space="preserve">, 101201. </w:t>
      </w:r>
      <w:hyperlink r:id="rId33">
        <w:r>
          <w:rPr>
            <w:rStyle w:val="Hyperlink"/>
          </w:rPr>
          <w:t>https://doi.org/10.1016/j.reseneeco.2020.101201</w:t>
        </w:r>
      </w:hyperlink>
    </w:p>
    <w:p w14:paraId="18D24195" w14:textId="77777777" w:rsidR="008B36CB" w:rsidRDefault="00000000">
      <w:pPr>
        <w:pStyle w:val="Bibliography"/>
      </w:pPr>
      <w:bookmarkStart w:id="58" w:name="ref-reimerNumericCommunicationRisk2015"/>
      <w:bookmarkEnd w:id="57"/>
      <w:r>
        <w:t xml:space="preserve">Reimer, T., Jones, C., &amp; Skubisz, C. (2015). Numeric Communication of Risk. In </w:t>
      </w:r>
      <w:r>
        <w:rPr>
          <w:i/>
          <w:iCs/>
        </w:rPr>
        <w:t>The SAGE handbook of risk communication</w:t>
      </w:r>
      <w:r>
        <w:t xml:space="preserve"> (pp. 167–179).</w:t>
      </w:r>
    </w:p>
    <w:p w14:paraId="552ABDA1" w14:textId="77777777" w:rsidR="008B36CB" w:rsidRDefault="00000000">
      <w:pPr>
        <w:pStyle w:val="Bibliography"/>
      </w:pPr>
      <w:bookmarkStart w:id="59" w:name="X7b3c79bfb7654af1f4b03dba64dad1a6765c972"/>
      <w:bookmarkEnd w:id="58"/>
      <w:r>
        <w:t xml:space="preserve">Team, R. C. (2020). </w:t>
      </w:r>
      <w:r>
        <w:rPr>
          <w:i/>
          <w:iCs/>
        </w:rPr>
        <w:t>R: A Language and Environment for Statistical Computing</w:t>
      </w:r>
      <w:r>
        <w:t>. R: A Language and Environment for Statistical Computing.</w:t>
      </w:r>
    </w:p>
    <w:p w14:paraId="63B9B4C9" w14:textId="77777777" w:rsidR="008B36CB" w:rsidRDefault="00000000">
      <w:pPr>
        <w:pStyle w:val="Bibliography"/>
      </w:pPr>
      <w:bookmarkStart w:id="60" w:name="Xd44db9aff911e722b730a7e513225ab165d3721"/>
      <w:bookmarkEnd w:id="59"/>
      <w:r>
        <w:t xml:space="preserve">Tonke, S. (2024). Providing procedural knowledge: A field experiment to encourage resource conservation in Namibia. </w:t>
      </w:r>
      <w:r>
        <w:rPr>
          <w:i/>
          <w:iCs/>
        </w:rPr>
        <w:t>Journal of Development Economics</w:t>
      </w:r>
      <w:r>
        <w:t xml:space="preserve">, </w:t>
      </w:r>
      <w:r>
        <w:rPr>
          <w:i/>
          <w:iCs/>
        </w:rPr>
        <w:t>166</w:t>
      </w:r>
      <w:r>
        <w:t xml:space="preserve">, 103202. </w:t>
      </w:r>
      <w:hyperlink r:id="rId34">
        <w:r>
          <w:rPr>
            <w:rStyle w:val="Hyperlink"/>
          </w:rPr>
          <w:t>https://doi.org/10.1016/j.jdeveco.2023.103202</w:t>
        </w:r>
      </w:hyperlink>
    </w:p>
    <w:p w14:paraId="6659610D" w14:textId="77777777" w:rsidR="008B36CB" w:rsidRDefault="00000000">
      <w:pPr>
        <w:pStyle w:val="Bibliography"/>
      </w:pPr>
      <w:bookmarkStart w:id="61" w:name="Xb1100beca2d010ddfe6cd55e590057ba1b04648"/>
      <w:bookmarkEnd w:id="60"/>
      <w:r>
        <w:t xml:space="preserve">Van Den Broek, K. L., &amp; Walker, I. (2019). Heuristics in energy judgement tasks. </w:t>
      </w:r>
      <w:r>
        <w:rPr>
          <w:i/>
          <w:iCs/>
        </w:rPr>
        <w:t>Journal of Environmental Psychology</w:t>
      </w:r>
      <w:r>
        <w:t xml:space="preserve">, </w:t>
      </w:r>
      <w:r>
        <w:rPr>
          <w:i/>
          <w:iCs/>
        </w:rPr>
        <w:t>62</w:t>
      </w:r>
      <w:r>
        <w:t xml:space="preserve">, 95–104. </w:t>
      </w:r>
      <w:hyperlink r:id="rId35">
        <w:r>
          <w:rPr>
            <w:rStyle w:val="Hyperlink"/>
          </w:rPr>
          <w:t>https://doi.org/10.1016/j.jenvp.2019.02.008</w:t>
        </w:r>
      </w:hyperlink>
    </w:p>
    <w:p w14:paraId="0DED2E5B" w14:textId="77777777" w:rsidR="008B36CB" w:rsidRDefault="00000000">
      <w:pPr>
        <w:pStyle w:val="Bibliography"/>
      </w:pPr>
      <w:bookmarkStart w:id="62" w:name="ref-weberWhyCanOnly2018"/>
      <w:bookmarkEnd w:id="61"/>
      <w:r>
        <w:t xml:space="preserve">Weber, P., Binder, K., &amp; Krauss, S. (2018). Why Can Only 24% Solve Bayesian Reasoning Problems in Natural Frequencies: Frequency Phobia in Spite of Probability Blindness. </w:t>
      </w:r>
      <w:r>
        <w:rPr>
          <w:i/>
          <w:iCs/>
        </w:rPr>
        <w:t>Frontiers in Psychology</w:t>
      </w:r>
      <w:r>
        <w:t xml:space="preserve">, </w:t>
      </w:r>
      <w:r>
        <w:rPr>
          <w:i/>
          <w:iCs/>
        </w:rPr>
        <w:t>9</w:t>
      </w:r>
      <w:r>
        <w:t xml:space="preserve">, 1833. </w:t>
      </w:r>
      <w:hyperlink r:id="rId36">
        <w:r>
          <w:rPr>
            <w:rStyle w:val="Hyperlink"/>
          </w:rPr>
          <w:t>https://doi.org/10.3389/fpsyg.2018.01833</w:t>
        </w:r>
      </w:hyperlink>
    </w:p>
    <w:p w14:paraId="5F180B7C" w14:textId="77777777" w:rsidR="008B36CB" w:rsidRDefault="00000000">
      <w:pPr>
        <w:pStyle w:val="Bibliography"/>
      </w:pPr>
      <w:bookmarkStart w:id="63" w:name="ref-wickhamWelcomeTidyverse2019"/>
      <w:bookmarkEnd w:id="62"/>
      <w:r>
        <w:lastRenderedPageBreak/>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37">
        <w:r>
          <w:rPr>
            <w:rStyle w:val="Hyperlink"/>
          </w:rPr>
          <w:t>https://doi.org/10.21105/joss.01686</w:t>
        </w:r>
      </w:hyperlink>
      <w:bookmarkEnd w:id="37"/>
      <w:bookmarkEnd w:id="39"/>
      <w:bookmarkEnd w:id="63"/>
    </w:p>
    <w:sectPr w:rsidR="008B36CB">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695FB" w14:textId="77777777" w:rsidR="00643069" w:rsidRDefault="00643069">
      <w:pPr>
        <w:spacing w:line="240" w:lineRule="auto"/>
      </w:pPr>
      <w:r>
        <w:separator/>
      </w:r>
    </w:p>
  </w:endnote>
  <w:endnote w:type="continuationSeparator" w:id="0">
    <w:p w14:paraId="1204D503" w14:textId="77777777" w:rsidR="00643069" w:rsidRDefault="00643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C372F"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3BE6D"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C9261"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99244" w14:textId="77777777" w:rsidR="00643069" w:rsidRDefault="00643069">
      <w:pPr>
        <w:spacing w:line="240" w:lineRule="auto"/>
      </w:pPr>
      <w:r>
        <w:separator/>
      </w:r>
    </w:p>
  </w:footnote>
  <w:footnote w:type="continuationSeparator" w:id="0">
    <w:p w14:paraId="10B04580" w14:textId="77777777" w:rsidR="00643069" w:rsidRDefault="00643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71272"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B77DF"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106E2F">
          <w:t>HOW INFORMATION FORMAT AFFECTS ACCURACY</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152736A"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00AE6"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29CF71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2046321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2973"/>
    <w:rsid w:val="00025759"/>
    <w:rsid w:val="000262D9"/>
    <w:rsid w:val="00041AF0"/>
    <w:rsid w:val="00060379"/>
    <w:rsid w:val="00064E3B"/>
    <w:rsid w:val="00065938"/>
    <w:rsid w:val="00077AB1"/>
    <w:rsid w:val="0008575E"/>
    <w:rsid w:val="00090864"/>
    <w:rsid w:val="000D23CF"/>
    <w:rsid w:val="000D5C95"/>
    <w:rsid w:val="00101C59"/>
    <w:rsid w:val="00102C76"/>
    <w:rsid w:val="00106E2F"/>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0FD6"/>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43069"/>
    <w:rsid w:val="00661B64"/>
    <w:rsid w:val="00686950"/>
    <w:rsid w:val="006A7CEE"/>
    <w:rsid w:val="006C454F"/>
    <w:rsid w:val="006D3C7F"/>
    <w:rsid w:val="00717963"/>
    <w:rsid w:val="00772034"/>
    <w:rsid w:val="007868AB"/>
    <w:rsid w:val="007A1B2A"/>
    <w:rsid w:val="007C4E27"/>
    <w:rsid w:val="007E2A5D"/>
    <w:rsid w:val="00801C81"/>
    <w:rsid w:val="0083560B"/>
    <w:rsid w:val="00852D8C"/>
    <w:rsid w:val="0086288E"/>
    <w:rsid w:val="008B36CB"/>
    <w:rsid w:val="008F27BE"/>
    <w:rsid w:val="00932B9C"/>
    <w:rsid w:val="009638C5"/>
    <w:rsid w:val="009A40AF"/>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21B90"/>
    <w:rsid w:val="00C304F7"/>
    <w:rsid w:val="00C4693A"/>
    <w:rsid w:val="00C84525"/>
    <w:rsid w:val="00CA071F"/>
    <w:rsid w:val="00CB7758"/>
    <w:rsid w:val="00CE01EB"/>
    <w:rsid w:val="00D11429"/>
    <w:rsid w:val="00D630B7"/>
    <w:rsid w:val="00D6737D"/>
    <w:rsid w:val="00D807FA"/>
    <w:rsid w:val="00DA752F"/>
    <w:rsid w:val="00DB4D47"/>
    <w:rsid w:val="00DB6471"/>
    <w:rsid w:val="00DE772F"/>
    <w:rsid w:val="00E36A54"/>
    <w:rsid w:val="00E401D3"/>
    <w:rsid w:val="00E401FC"/>
    <w:rsid w:val="00E528E7"/>
    <w:rsid w:val="00E71E11"/>
    <w:rsid w:val="00E76EC1"/>
    <w:rsid w:val="00E868AE"/>
    <w:rsid w:val="00E90878"/>
    <w:rsid w:val="00EA4191"/>
    <w:rsid w:val="00EA785F"/>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F35A0E"/>
  <w15:docId w15:val="{C495BAD3-EA4C-674D-B439-90BBA63F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38/s41560-020-0582-0" TargetMode="External"/><Relationship Id="rId26" Type="http://schemas.openxmlformats.org/officeDocument/2006/relationships/hyperlink" Target="https://doi.org/10.1093/jcr/ucac006" TargetMode="External"/><Relationship Id="rId39" Type="http://schemas.openxmlformats.org/officeDocument/2006/relationships/header" Target="header2.xml"/><Relationship Id="rId21" Type="http://schemas.openxmlformats.org/officeDocument/2006/relationships/hyperlink" Target="https://doi.org/10.1177/2515245918823199" TargetMode="External"/><Relationship Id="rId34" Type="http://schemas.openxmlformats.org/officeDocument/2006/relationships/hyperlink" Target="https://doi.org/10.1016/j.jdeveco.2023.103202" TargetMode="External"/><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jenvp.2007.08.002" TargetMode="External"/><Relationship Id="rId29" Type="http://schemas.openxmlformats.org/officeDocument/2006/relationships/hyperlink" Target="https://doi.org/10.1017/S19302975000081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10311-023-01591-5" TargetMode="External"/><Relationship Id="rId32" Type="http://schemas.openxmlformats.org/officeDocument/2006/relationships/hyperlink" Target="https://doi.org/10.1038/s41560-020-00763-9" TargetMode="External"/><Relationship Id="rId37" Type="http://schemas.openxmlformats.org/officeDocument/2006/relationships/hyperlink" Target="https://doi.org/10.21105/joss.01686"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jenvp.2005.08.002" TargetMode="External"/><Relationship Id="rId23" Type="http://schemas.openxmlformats.org/officeDocument/2006/relationships/hyperlink" Target="https://doi.org/10.1016/j.enpol.2010.12.049" TargetMode="External"/><Relationship Id="rId28" Type="http://schemas.openxmlformats.org/officeDocument/2006/relationships/hyperlink" Target="https://doi.org/10.1002/cb.2051" TargetMode="External"/><Relationship Id="rId36" Type="http://schemas.openxmlformats.org/officeDocument/2006/relationships/hyperlink" Target="https://doi.org/10.3389/fpsyg.2018.01833" TargetMode="External"/><Relationship Id="rId10" Type="http://schemas.openxmlformats.org/officeDocument/2006/relationships/image" Target="media/image4.png"/><Relationship Id="rId19" Type="http://schemas.openxmlformats.org/officeDocument/2006/relationships/hyperlink" Target="https://doi.org/10.1016/j.reseneeco.2017.06.001" TargetMode="External"/><Relationship Id="rId31" Type="http://schemas.openxmlformats.org/officeDocument/2006/relationships/hyperlink" Target="https://doi.org/10.1016/B978-0-12-405888-0.09999-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80/13669877.2015.1121909" TargetMode="External"/><Relationship Id="rId27" Type="http://schemas.openxmlformats.org/officeDocument/2006/relationships/hyperlink" Target="https://doi.org/10.1136/bmj.327.7417.741" TargetMode="External"/><Relationship Id="rId30" Type="http://schemas.openxmlformats.org/officeDocument/2006/relationships/hyperlink" Target="https://doi.org/10.1016/j.enbuild.2010.10.010" TargetMode="External"/><Relationship Id="rId35" Type="http://schemas.openxmlformats.org/officeDocument/2006/relationships/hyperlink" Target="https://doi.org/10.1016/j.jenvp.2019.02.008" TargetMode="External"/><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73/pnas.1001509107" TargetMode="External"/><Relationship Id="rId25" Type="http://schemas.openxmlformats.org/officeDocument/2006/relationships/hyperlink" Target="https://doi.org/10.1007/s12053-008-9009-7" TargetMode="External"/><Relationship Id="rId33" Type="http://schemas.openxmlformats.org/officeDocument/2006/relationships/hyperlink" Target="https://doi.org/10.1016/j.reseneeco.2020.101201" TargetMode="External"/><Relationship Id="rId38" Type="http://schemas.openxmlformats.org/officeDocument/2006/relationships/header" Target="header1.xml"/><Relationship Id="rId20" Type="http://schemas.openxmlformats.org/officeDocument/2006/relationships/hyperlink" Target="https://doi.org/10.18637/jss.v080.i01"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35</Pages>
  <Words>7217</Words>
  <Characters>41138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48259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energy literacy, information format, planning accuracy, decision making</cp:keywords>
  <dc:description>HOW INFORMATION FORMAT AFFECTS ACCURACY</dc:description>
  <cp:lastModifiedBy>Thomas Eagan Gorman</cp:lastModifiedBy>
  <cp:revision>13</cp:revision>
  <dcterms:created xsi:type="dcterms:W3CDTF">2025-03-31T23:25:00Z</dcterms:created>
  <dcterms:modified xsi:type="dcterms:W3CDTF">2025-03-31T23:33:00Z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2025-03-31</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HOW INFORMATION FORMAT AFFECTS ACCURACY</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y fmtid="{D5CDD505-2E9C-101B-9397-08002B2CF9AE}" pid="60" name="MSIP_Label_f7606f69-b0ae-4874-be30-7d43a3c7be10_Enabled">
    <vt:lpwstr>true</vt:lpwstr>
  </property>
  <property fmtid="{D5CDD505-2E9C-101B-9397-08002B2CF9AE}" pid="61" name="MSIP_Label_f7606f69-b0ae-4874-be30-7d43a3c7be10_SetDate">
    <vt:lpwstr>2025-03-31T23:27:44Z</vt:lpwstr>
  </property>
  <property fmtid="{D5CDD505-2E9C-101B-9397-08002B2CF9AE}" pid="62" name="MSIP_Label_f7606f69-b0ae-4874-be30-7d43a3c7be10_Method">
    <vt:lpwstr>Standard</vt:lpwstr>
  </property>
  <property fmtid="{D5CDD505-2E9C-101B-9397-08002B2CF9AE}" pid="63" name="MSIP_Label_f7606f69-b0ae-4874-be30-7d43a3c7be10_Name">
    <vt:lpwstr>defa4170-0d19-0005-0001-bc88714345d2</vt:lpwstr>
  </property>
  <property fmtid="{D5CDD505-2E9C-101B-9397-08002B2CF9AE}" pid="64" name="MSIP_Label_f7606f69-b0ae-4874-be30-7d43a3c7be10_SiteId">
    <vt:lpwstr>4130bd39-7c53-419c-b1e5-8758d6d63f21</vt:lpwstr>
  </property>
  <property fmtid="{D5CDD505-2E9C-101B-9397-08002B2CF9AE}" pid="65" name="MSIP_Label_f7606f69-b0ae-4874-be30-7d43a3c7be10_ActionId">
    <vt:lpwstr>ef4bc14a-33f1-4329-b2b2-0741292c9569</vt:lpwstr>
  </property>
  <property fmtid="{D5CDD505-2E9C-101B-9397-08002B2CF9AE}" pid="66" name="MSIP_Label_f7606f69-b0ae-4874-be30-7d43a3c7be10_ContentBits">
    <vt:lpwstr>0</vt:lpwstr>
  </property>
  <property fmtid="{D5CDD505-2E9C-101B-9397-08002B2CF9AE}" pid="67" name="MSIP_Label_f7606f69-b0ae-4874-be30-7d43a3c7be10_Tag">
    <vt:lpwstr>50, 3, 0, 1</vt:lpwstr>
  </property>
</Properties>
</file>