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Tuesday, December 3, 2024</w:t>
      </w:r>
    </w:p>
    <w:p>
      <w:pPr>
        <w:pStyle w:val="AbstractTitle"/>
      </w:pPr>
      <w:r>
        <w:t xml:space="preserve">Abstract</w:t>
      </w:r>
    </w:p>
    <w:p>
      <w:pPr>
        <w:pStyle w:val="Abstract"/>
      </w:pPr>
      <w:r>
        <w:t xml:space="preserve">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w:t>
      </w:r>
    </w:p>
    <w:bookmarkStart w:id="22" w:name="introduction"/>
    <w:p>
      <w:pPr>
        <w:pStyle w:val="Heading1"/>
      </w:pPr>
      <w:r>
        <w:t xml:space="preserve">Introduction</w:t>
      </w:r>
    </w:p>
    <w:p>
      <w:pPr>
        <w:numPr>
          <w:ilvl w:val="0"/>
          <w:numId w:val="1001"/>
        </w:numPr>
      </w:pPr>
      <w:r>
        <w:t xml:space="preserve">highlight the significant contribution of residential energy consumption to carbon emissions and the potential for substantial reductions. Make point about urgency of climate change? (IPCC (2014) and EIA (2012) ).</w:t>
      </w:r>
    </w:p>
    <w:p>
      <w:pPr>
        <w:numPr>
          <w:ilvl w:val="0"/>
          <w:numId w:val="1001"/>
        </w:numPr>
      </w:pPr>
      <w:r>
        <w:t xml:space="preserve">Electricity bills are a primary source of energy-use information for consumers and offer a promising avenue for enhancing communication about energy consumption</w:t>
      </w:r>
      <w:r>
        <w:t xml:space="preserve"> </w:t>
      </w:r>
      <w:r>
        <w:t xml:space="preserve">(Fischer, 2008)</w:t>
      </w:r>
    </w:p>
    <w:bookmarkStart w:id="20" w:name="literature-review"/>
    <w:p>
      <w:pPr>
        <w:pStyle w:val="Heading3"/>
      </w:pPr>
      <w:r>
        <w:t xml:space="preserve">Literature Review</w:t>
      </w:r>
    </w:p>
    <w:p>
      <w:pPr>
        <w:numPr>
          <w:ilvl w:val="0"/>
          <w:numId w:val="1002"/>
        </w:numPr>
      </w:pPr>
      <w:r>
        <w:t xml:space="preserve">Canfield et al. (2017)</w:t>
      </w:r>
      <w:r>
        <w:t xml:space="preserve"> </w:t>
      </w:r>
      <w:r>
        <w:t xml:space="preserve">found that tables were more effective than graphs for conveying specific electricity usage data, likely because tables facilitate straightforward point reading. However, they also noted that individuals with lower energy literacy had reduced comprehension across all formats.</w:t>
      </w:r>
    </w:p>
    <w:p>
      <w:pPr>
        <w:numPr>
          <w:ilvl w:val="0"/>
          <w:numId w:val="1002"/>
        </w:numPr>
      </w:pPr>
      <w:r>
        <w:t xml:space="preserve">Canfield et al. (2017)</w:t>
      </w:r>
      <w:r>
        <w:t xml:space="preserve">’s findings on preferences for historical use information and the impact of neighbor comparisons</w:t>
      </w:r>
    </w:p>
    <w:p>
      <w:pPr>
        <w:numPr>
          <w:ilvl w:val="0"/>
          <w:numId w:val="1002"/>
        </w:numPr>
      </w:pPr>
      <w:r>
        <w:t xml:space="preserve">alignment can reduce cognitive load and enhance accuracy in planning</w:t>
      </w:r>
      <w:r>
        <w:t xml:space="preserve"> </w:t>
      </w:r>
      <w:r>
        <w:t xml:space="preserve">(Shah &amp; Freedman, 2011)</w:t>
      </w:r>
    </w:p>
    <w:p>
      <w:pPr>
        <w:numPr>
          <w:ilvl w:val="0"/>
          <w:numId w:val="1002"/>
        </w:numPr>
      </w:pPr>
      <w:r>
        <w:t xml:space="preserve">Reimer et al. (2015) provide context on how numerical formats affect risk perception, the reference class problem, and the benefits of natural frequencies.</w:t>
      </w:r>
    </w:p>
    <w:p>
      <w:pPr>
        <w:pStyle w:val="FirstParagraph"/>
      </w:pPr>
      <w:r>
        <w:t xml:space="preserve">Energy poverty continues to be a pervasive issue in the United States</w:t>
      </w:r>
      <w:r>
        <w:t xml:space="preserve"> </w:t>
      </w:r>
      <w:r>
        <w:t xml:space="preserve">Memmott et al. (2021)</w:t>
      </w:r>
      <w:r>
        <w:t xml:space="preserve">. This challenge partly arises from difficulties in converting information across numerical formats, impeding the development of precise energy reduction plans</w:t>
      </w:r>
      <w:r>
        <w:t xml:space="preserve"> </w:t>
      </w:r>
      <w:r>
        <w:t xml:space="preserve">Reimer et al. (2015)</w:t>
      </w:r>
      <w:r>
        <w:t xml:space="preserve">. Prior research by</w:t>
      </w:r>
      <w:r>
        <w:t xml:space="preserve"> </w:t>
      </w:r>
      <w:r>
        <w:t xml:space="preserve">Canfield et al. (2017)</w:t>
      </w:r>
      <w:r>
        <w:t xml:space="preserve"> </w:t>
      </w:r>
      <w:r>
        <w:t xml:space="preserve">demonstrated that presenting energy information in tabular formats enhances comprehension relative to graphs.</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Addressing this gap is crucial for developing effective interventions that promote energy conservation behaviors.</w:t>
      </w:r>
    </w:p>
    <w:p>
      <w:pPr>
        <w:pStyle w:val="BodyText"/>
      </w:pPr>
      <w:r>
        <w:t xml:space="preserve">Abrahamse et al. (2005)</w:t>
      </w:r>
    </w:p>
    <w:p>
      <w:pPr>
        <w:pStyle w:val="BodyText"/>
      </w:pPr>
      <w:r>
        <w:t xml:space="preserve">Attari &amp; Rajagopal (2015)</w:t>
      </w:r>
    </w:p>
    <w:p>
      <w:pPr>
        <w:pStyle w:val="BodyText"/>
      </w:pPr>
      <w:r>
        <w:t xml:space="preserve">DeWaters &amp; Powers (2011)</w:t>
      </w:r>
    </w:p>
    <w:p>
      <w:pPr>
        <w:pStyle w:val="BodyText"/>
      </w:pPr>
      <w:r>
        <w:t xml:space="preserve">Gigerenzer &amp; Edwards (2003)</w:t>
      </w:r>
    </w:p>
    <w:p>
      <w:pPr>
        <w:pStyle w:val="BodyText"/>
      </w:pPr>
      <w:r>
        <w:t xml:space="preserve">Larrick &amp; Soll (2008)</w:t>
      </w:r>
    </w:p>
    <w:p>
      <w:pPr>
        <w:pStyle w:val="BodyText"/>
      </w:pPr>
      <w:r>
        <w:t xml:space="preserve">Blasch et al. (2019)</w:t>
      </w:r>
    </w:p>
    <w:p>
      <w:pPr>
        <w:pStyle w:val="BodyText"/>
      </w:pPr>
      <w:r>
        <w:t xml:space="preserve">Fischer (2008)</w:t>
      </w:r>
    </w:p>
    <w:p>
      <w:pPr>
        <w:pStyle w:val="BodyText"/>
      </w:pPr>
      <w:r>
        <w:t xml:space="preserve">Schwartz et al. (2015)</w:t>
      </w:r>
    </w:p>
    <w:p>
      <w:pPr>
        <w:pStyle w:val="BodyText"/>
      </w:pPr>
      <w:r>
        <w:t xml:space="preserve">von Grabe (2020)</w:t>
      </w:r>
    </w:p>
    <w:p>
      <w:pPr>
        <w:pStyle w:val="BodyText"/>
      </w:pPr>
      <w:r>
        <w:t xml:space="preserve">Gigerenzer &amp; Hoffrage (1995)</w:t>
      </w:r>
    </w:p>
    <w:p>
      <w:pPr>
        <w:pStyle w:val="BodyText"/>
      </w:pPr>
      <w:r>
        <w:t xml:space="preserve">Attari et al. (2010)</w:t>
      </w:r>
    </w:p>
    <w:p>
      <w:pPr>
        <w:pStyle w:val="BodyText"/>
      </w:pPr>
      <w:r>
        <w:t xml:space="preserve">Herrmann et al. (2018)</w:t>
      </w:r>
    </w:p>
    <w:p>
      <w:pPr>
        <w:pStyle w:val="BodyText"/>
      </w:pPr>
      <w:r>
        <w:t xml:space="preserve">Van Den Broek &amp; Walker (2019)</w:t>
      </w:r>
    </w:p>
    <w:p>
      <w:pPr>
        <w:pStyle w:val="BodyText"/>
      </w:pPr>
      <w:r>
        <w:t xml:space="preserve">Herberz et al. (2020)</w:t>
      </w:r>
    </w:p>
    <w:p>
      <w:pPr>
        <w:pStyle w:val="BodyText"/>
      </w:pPr>
      <w:r>
        <w:t xml:space="preserve">Marghetis et al. (2019)</w:t>
      </w:r>
    </w:p>
    <w:p>
      <w:pPr>
        <w:pStyle w:val="BodyText"/>
      </w:pPr>
      <w:r>
        <w:t xml:space="preserve">Lagomarsino et al. (2022)</w:t>
      </w:r>
    </w:p>
    <w:p>
      <w:pPr>
        <w:pStyle w:val="BodyText"/>
      </w:pPr>
      <w:r>
        <w:t xml:space="preserve">Hahnel et al. (2020)</w:t>
      </w:r>
    </w:p>
    <w:p>
      <w:pPr>
        <w:pStyle w:val="BodyText"/>
      </w:pPr>
      <w:r>
        <w:t xml:space="preserve">(</w:t>
      </w:r>
      <w:r>
        <w:rPr>
          <w:b/>
          <w:bCs/>
        </w:rPr>
        <w:t xml:space="preserve">delgadoOpportunitiesGreaterEnergy2018?</w:t>
      </w:r>
      <w:r>
        <w:t xml:space="preserve">)</w:t>
      </w:r>
    </w:p>
    <w:p>
      <w:pPr>
        <w:pStyle w:val="BodyText"/>
      </w:pPr>
      <w:r>
        <w:t xml:space="preserve">Schley &amp; DeKay (2015)</w:t>
      </w:r>
    </w:p>
    <w:p>
      <w:pPr>
        <w:pStyle w:val="BodyText"/>
      </w:pPr>
      <w:r>
        <w:t xml:space="preserve">Lange &amp; Dewitte (2021)</w:t>
      </w:r>
    </w:p>
    <w:p>
      <w:pPr>
        <w:pStyle w:val="BodyText"/>
      </w:pPr>
      <w:r>
        <w:t xml:space="preserve">Tiede et al. (2022)</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76" w:name="experiment-1"/>
    <w:p>
      <w:pPr>
        <w:pStyle w:val="Heading1"/>
      </w:pPr>
      <w:r>
        <w:t xml:space="preserve">Experiment 1</w:t>
      </w:r>
    </w:p>
    <w:p>
      <w:pPr>
        <w:pStyle w:val="FirstParagraph"/>
      </w:pPr>
      <w:r>
        <w:t xml:space="preserve">See</w:t>
      </w:r>
      <w:r>
        <w:t xml:space="preserve"> </w:t>
      </w:r>
      <w:r>
        <w:rPr>
          <w:b/>
          <w:bCs/>
        </w:rPr>
        <w:t xml:space="preserve">?@fig-task</w:t>
      </w:r>
      <w:r>
        <w:t xml:space="preserve"> </w:t>
      </w:r>
      <w:r>
        <w:t xml:space="preserve">for an example of a planning trial as it was seen by participants.</w:t>
      </w:r>
    </w:p>
    <w:bookmarkStart w:id="75"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74"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 other appliances (e.g., TV, lighting).</w:t>
      </w:r>
    </w:p>
    <w:p>
      <w:pPr>
        <w:pStyle w:val="BodyText"/>
      </w:pPr>
      <w:r>
        <w:t xml:space="preserve">Additional data collected included:</w:t>
      </w:r>
    </w:p>
    <w:p>
      <w:pPr>
        <w:pStyle w:val="Compact"/>
        <w:numPr>
          <w:ilvl w:val="0"/>
          <w:numId w:val="1003"/>
        </w:numPr>
      </w:pPr>
      <w:r>
        <w:rPr>
          <w:b/>
          <w:bCs/>
        </w:rPr>
        <w:t xml:space="preserve">Energy Literacy Quiz</w:t>
      </w:r>
      <w:r>
        <w:t xml:space="preserve">: An 8-item questionnaire assessing participants’ knowledge of energy consumption and conversion.</w:t>
      </w:r>
    </w:p>
    <w:p>
      <w:pPr>
        <w:pStyle w:val="Compact"/>
        <w:numPr>
          <w:ilvl w:val="0"/>
          <w:numId w:val="1003"/>
        </w:numPr>
      </w:pPr>
      <w:r>
        <w:rPr>
          <w:b/>
          <w:bCs/>
        </w:rPr>
        <w:t xml:space="preserve">Calculator Usage Tracking</w:t>
      </w:r>
      <w:r>
        <w:t xml:space="preserve">: Questions determined whether participants used a calculator, paper/pen, or other methods to complete the tasks.</w:t>
      </w:r>
    </w:p>
    <w:p>
      <w:pPr>
        <w:pStyle w:val="Compact"/>
        <w:numPr>
          <w:ilvl w:val="0"/>
          <w:numId w:val="1003"/>
        </w:numPr>
      </w:pPr>
      <w:r>
        <w:rPr>
          <w:b/>
          <w:bCs/>
        </w:rPr>
        <w:t xml:space="preserve">Demographic Survey</w:t>
      </w:r>
      <w:r>
        <w:t xml:space="preserve">: Collected information on gender, age, income, education, employment status, and state of residence.</w:t>
      </w:r>
    </w:p>
    <w:p>
      <w:pPr>
        <w:pStyle w:val="Compact"/>
        <w:numPr>
          <w:ilvl w:val="0"/>
          <w:numId w:val="1003"/>
        </w:numPr>
      </w:pPr>
      <w:r>
        <w:rPr>
          <w:b/>
          <w:bCs/>
        </w:rPr>
        <w:t xml:space="preserve">Environmental Attitudes Survey</w:t>
      </w:r>
      <w:r>
        <w:t xml:space="preserve">: Assessed participants’ pro-environmental attitudes and perceived importance of energy conservation.</w:t>
      </w:r>
    </w:p>
    <w:bookmarkStart w:id="73" w:name="refs"/>
    <w:bookmarkStart w:id="26"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25">
        <w:r>
          <w:rPr>
            <w:rStyle w:val="Hyperlink"/>
          </w:rPr>
          <w:t xml:space="preserve">https://doi.org/10.1016/j.jenvp.2005.08.002</w:t>
        </w:r>
      </w:hyperlink>
    </w:p>
    <w:bookmarkEnd w:id="26"/>
    <w:bookmarkStart w:id="28"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27">
        <w:r>
          <w:rPr>
            <w:rStyle w:val="Hyperlink"/>
          </w:rPr>
          <w:t xml:space="preserve">https://doi.org/10.1073/pnas.1001509107</w:t>
        </w:r>
      </w:hyperlink>
    </w:p>
    <w:bookmarkEnd w:id="28"/>
    <w:bookmarkStart w:id="29" w:name="ref-attariEnablingEnergyConservation2015"/>
    <w:p>
      <w:pPr>
        <w:pStyle w:val="Bibliography"/>
      </w:pPr>
      <w:r>
        <w:t xml:space="preserve">Attari, S. Z., &amp; Rajagopal, D. (2015). Enabling energy conservation through effective decision aids.</w:t>
      </w:r>
      <w:r>
        <w:t xml:space="preserve"> </w:t>
      </w:r>
      <w:r>
        <w:rPr>
          <w:i/>
          <w:iCs/>
        </w:rPr>
        <w:t xml:space="preserve">Journal of Sustainability Education</w:t>
      </w:r>
      <w:r>
        <w:t xml:space="preserve">,</w:t>
      </w:r>
      <w:r>
        <w:t xml:space="preserve"> </w:t>
      </w:r>
      <w:r>
        <w:rPr>
          <w:i/>
          <w:iCs/>
        </w:rPr>
        <w:t xml:space="preserve">8</w:t>
      </w:r>
      <w:r>
        <w:t xml:space="preserve">, 1–15.</w:t>
      </w:r>
    </w:p>
    <w:bookmarkEnd w:id="29"/>
    <w:bookmarkStart w:id="31"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30">
        <w:r>
          <w:rPr>
            <w:rStyle w:val="Hyperlink"/>
          </w:rPr>
          <w:t xml:space="preserve">https://doi.org/10.1016/j.reseneeco.2017.06.001</w:t>
        </w:r>
      </w:hyperlink>
    </w:p>
    <w:bookmarkEnd w:id="31"/>
    <w:bookmarkStart w:id="33"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32">
        <w:r>
          <w:rPr>
            <w:rStyle w:val="Hyperlink"/>
          </w:rPr>
          <w:t xml:space="preserve">https://doi.org/10.1080/13669877.2015.1121909</w:t>
        </w:r>
      </w:hyperlink>
    </w:p>
    <w:bookmarkEnd w:id="33"/>
    <w:bookmarkStart w:id="35"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34">
        <w:r>
          <w:rPr>
            <w:rStyle w:val="Hyperlink"/>
          </w:rPr>
          <w:t xml:space="preserve">https://doi.org/10.1016/j.enpol.2010.12.049</w:t>
        </w:r>
      </w:hyperlink>
    </w:p>
    <w:bookmarkEnd w:id="35"/>
    <w:bookmarkStart w:id="37"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36">
        <w:r>
          <w:rPr>
            <w:rStyle w:val="Hyperlink"/>
          </w:rPr>
          <w:t xml:space="preserve">https://doi.org/10.1007/s12053-008-9009-7</w:t>
        </w:r>
      </w:hyperlink>
    </w:p>
    <w:bookmarkEnd w:id="37"/>
    <w:bookmarkStart w:id="39"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38">
        <w:r>
          <w:rPr>
            <w:rStyle w:val="Hyperlink"/>
          </w:rPr>
          <w:t xml:space="preserve">https://doi.org/10.1136/bmj.327.7417.741</w:t>
        </w:r>
      </w:hyperlink>
    </w:p>
    <w:bookmarkEnd w:id="39"/>
    <w:bookmarkStart w:id="41"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40">
        <w:r>
          <w:rPr>
            <w:rStyle w:val="Hyperlink"/>
          </w:rPr>
          <w:t xml:space="preserve">https://doi.org/10.1037/0033-295X.102.4.684</w:t>
        </w:r>
      </w:hyperlink>
    </w:p>
    <w:bookmarkEnd w:id="41"/>
    <w:bookmarkStart w:id="43"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42">
        <w:r>
          <w:rPr>
            <w:rStyle w:val="Hyperlink"/>
          </w:rPr>
          <w:t xml:space="preserve">https://doi.org/10.1038/s41560-020-00704-6</w:t>
        </w:r>
      </w:hyperlink>
    </w:p>
    <w:bookmarkEnd w:id="43"/>
    <w:bookmarkStart w:id="45"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44">
        <w:r>
          <w:rPr>
            <w:rStyle w:val="Hyperlink"/>
          </w:rPr>
          <w:t xml:space="preserve">https://doi.org/10.1017/S1930297500008172</w:t>
        </w:r>
      </w:hyperlink>
    </w:p>
    <w:bookmarkEnd w:id="45"/>
    <w:bookmarkStart w:id="47" w:name="ref-herrmannDoesDataVisualization2018"/>
    <w:p>
      <w:pPr>
        <w:pStyle w:val="Bibliography"/>
      </w:pPr>
      <w:r>
        <w:t xml:space="preserve">Herrmann, M. R., Brumby, D. P., Oreszczyn, T., &amp; Gilbert, X. M. P. (2018). Does data visualization affect users’ understanding of electricity consumption?</w:t>
      </w:r>
      <w:r>
        <w:t xml:space="preserve"> </w:t>
      </w:r>
      <w:r>
        <w:rPr>
          <w:i/>
          <w:iCs/>
        </w:rPr>
        <w:t xml:space="preserve">Building Research &amp; Information</w:t>
      </w:r>
      <w:r>
        <w:t xml:space="preserve">,</w:t>
      </w:r>
      <w:r>
        <w:t xml:space="preserve"> </w:t>
      </w:r>
      <w:r>
        <w:rPr>
          <w:i/>
          <w:iCs/>
        </w:rPr>
        <w:t xml:space="preserve">46</w:t>
      </w:r>
      <w:r>
        <w:t xml:space="preserve">(3), 238–250.</w:t>
      </w:r>
      <w:r>
        <w:t xml:space="preserve"> </w:t>
      </w:r>
      <w:hyperlink r:id="rId46">
        <w:r>
          <w:rPr>
            <w:rStyle w:val="Hyperlink"/>
          </w:rPr>
          <w:t xml:space="preserve">https://doi.org/10.1080/09613218.2017.1356164</w:t>
        </w:r>
      </w:hyperlink>
    </w:p>
    <w:bookmarkEnd w:id="47"/>
    <w:bookmarkStart w:id="49"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48">
        <w:r>
          <w:rPr>
            <w:rStyle w:val="Hyperlink"/>
          </w:rPr>
          <w:t xml:space="preserve">https://doi.org/10.1126/science.290.5500.2261</w:t>
        </w:r>
      </w:hyperlink>
    </w:p>
    <w:bookmarkEnd w:id="49"/>
    <w:bookmarkStart w:id="51" w:name="ref-lagomarsinoNeedChargeRight2022"/>
    <w:p>
      <w:pPr>
        <w:pStyle w:val="Bibliography"/>
      </w:pPr>
      <w:r>
        <w:t xml:space="preserve">Lagomarsino, M., van der Kam, M., Parra, D., &amp; Hahnel, U. J. J. (2022). Do</w:t>
      </w:r>
      <w:r>
        <w:t xml:space="preserve"> </w:t>
      </w:r>
      <w:r>
        <w:t xml:space="preserve">I</w:t>
      </w:r>
      <w:r>
        <w:t xml:space="preserve"> </w:t>
      </w:r>
      <w:r>
        <w:t xml:space="preserve">need to charge right now?</w:t>
      </w:r>
      <w:r>
        <w:t xml:space="preserve"> </w:t>
      </w:r>
      <w:r>
        <w:t xml:space="preserve">Tailored</w:t>
      </w:r>
      <w:r>
        <w:t xml:space="preserve"> </w:t>
      </w:r>
      <w:r>
        <w:t xml:space="preserve">choice architecture design can increase preferences for electric vehicle smart charging.</w:t>
      </w:r>
      <w:r>
        <w:t xml:space="preserve"> </w:t>
      </w:r>
      <w:r>
        <w:rPr>
          <w:i/>
          <w:iCs/>
        </w:rPr>
        <w:t xml:space="preserve">Energy Policy</w:t>
      </w:r>
      <w:r>
        <w:t xml:space="preserve">,</w:t>
      </w:r>
      <w:r>
        <w:t xml:space="preserve"> </w:t>
      </w:r>
      <w:r>
        <w:rPr>
          <w:i/>
          <w:iCs/>
        </w:rPr>
        <w:t xml:space="preserve">162</w:t>
      </w:r>
      <w:r>
        <w:t xml:space="preserve">, 112818.</w:t>
      </w:r>
      <w:r>
        <w:t xml:space="preserve"> </w:t>
      </w:r>
      <w:hyperlink r:id="rId50">
        <w:r>
          <w:rPr>
            <w:rStyle w:val="Hyperlink"/>
          </w:rPr>
          <w:t xml:space="preserve">https://doi.org/10.1016/j.enpol.2022.112818</w:t>
        </w:r>
      </w:hyperlink>
    </w:p>
    <w:bookmarkEnd w:id="51"/>
    <w:bookmarkStart w:id="53" w:name="ref-langeWorkEnvironmentalProtection2021"/>
    <w:p>
      <w:pPr>
        <w:pStyle w:val="Bibliography"/>
      </w:pPr>
      <w:r>
        <w:t xml:space="preserve">Lange, F., &amp; Dewitte, S. (2021). The</w:t>
      </w:r>
      <w:r>
        <w:t xml:space="preserve"> </w:t>
      </w:r>
      <w:r>
        <w:t xml:space="preserve">Work</w:t>
      </w:r>
      <w:r>
        <w:t xml:space="preserve"> </w:t>
      </w:r>
      <w:r>
        <w:t xml:space="preserve">for</w:t>
      </w:r>
      <w:r>
        <w:t xml:space="preserve"> </w:t>
      </w:r>
      <w:r>
        <w:t xml:space="preserve">Environmental Protection Task</w:t>
      </w:r>
      <w:r>
        <w:t xml:space="preserve">:</w:t>
      </w:r>
      <w:r>
        <w:t xml:space="preserve"> </w:t>
      </w:r>
      <w:r>
        <w:t xml:space="preserve">A</w:t>
      </w:r>
      <w:r>
        <w:t xml:space="preserve"> </w:t>
      </w:r>
      <w:r>
        <w:t xml:space="preserve">consequential web-based procedure for studying pro-environmental behavior.</w:t>
      </w:r>
      <w:r>
        <w:t xml:space="preserve"> </w:t>
      </w:r>
      <w:r>
        <w:rPr>
          <w:i/>
          <w:iCs/>
        </w:rPr>
        <w:t xml:space="preserve">Behavior Research Methods</w:t>
      </w:r>
      <w:r>
        <w:t xml:space="preserve">,</w:t>
      </w:r>
      <w:r>
        <w:t xml:space="preserve"> </w:t>
      </w:r>
      <w:r>
        <w:rPr>
          <w:i/>
          <w:iCs/>
        </w:rPr>
        <w:t xml:space="preserve">54</w:t>
      </w:r>
      <w:r>
        <w:t xml:space="preserve">(1), 133–145.</w:t>
      </w:r>
      <w:r>
        <w:t xml:space="preserve"> </w:t>
      </w:r>
      <w:hyperlink r:id="rId52">
        <w:r>
          <w:rPr>
            <w:rStyle w:val="Hyperlink"/>
          </w:rPr>
          <w:t xml:space="preserve">https://doi.org/10.3758/s13428-021-01617-2</w:t>
        </w:r>
      </w:hyperlink>
    </w:p>
    <w:bookmarkEnd w:id="53"/>
    <w:bookmarkStart w:id="55"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54">
        <w:r>
          <w:rPr>
            <w:rStyle w:val="Hyperlink"/>
          </w:rPr>
          <w:t xml:space="preserve">https://doi.org/10.1126/science.1154983</w:t>
        </w:r>
      </w:hyperlink>
    </w:p>
    <w:bookmarkEnd w:id="55"/>
    <w:bookmarkStart w:id="57" w:name="ref-marghetisSimpleInterventionsCan2019"/>
    <w:p>
      <w:pPr>
        <w:pStyle w:val="Bibliography"/>
      </w:pPr>
      <w:r>
        <w:t xml:space="preserve">Marghetis, T., Attari, S. Z., &amp; Landy, D. (2019). Simple interventions can correct misperceptions of home energy use.</w:t>
      </w:r>
      <w:r>
        <w:t xml:space="preserve"> </w:t>
      </w:r>
      <w:r>
        <w:rPr>
          <w:i/>
          <w:iCs/>
        </w:rPr>
        <w:t xml:space="preserve">Nature Energy</w:t>
      </w:r>
      <w:r>
        <w:t xml:space="preserve">,</w:t>
      </w:r>
      <w:r>
        <w:t xml:space="preserve"> </w:t>
      </w:r>
      <w:r>
        <w:rPr>
          <w:i/>
          <w:iCs/>
        </w:rPr>
        <w:t xml:space="preserve">4</w:t>
      </w:r>
      <w:r>
        <w:t xml:space="preserve">(10), 874–881.</w:t>
      </w:r>
      <w:r>
        <w:t xml:space="preserve"> </w:t>
      </w:r>
      <w:hyperlink r:id="rId56">
        <w:r>
          <w:rPr>
            <w:rStyle w:val="Hyperlink"/>
          </w:rPr>
          <w:t xml:space="preserve">https://doi.org/10.1038/s41560-019-0467-2</w:t>
        </w:r>
      </w:hyperlink>
    </w:p>
    <w:bookmarkEnd w:id="57"/>
    <w:bookmarkStart w:id="59"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58">
        <w:r>
          <w:rPr>
            <w:rStyle w:val="Hyperlink"/>
          </w:rPr>
          <w:t xml:space="preserve">https://doi.org/10.1038/s41560-020-00763-9</w:t>
        </w:r>
      </w:hyperlink>
    </w:p>
    <w:bookmarkEnd w:id="59"/>
    <w:bookmarkStart w:id="60"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60"/>
    <w:bookmarkStart w:id="62" w:name="Xaf81d66a6e0f01741779bd4eb6aec672eb4a039"/>
    <w:p>
      <w:pPr>
        <w:pStyle w:val="Bibliography"/>
      </w:pPr>
      <w:r>
        <w:t xml:space="preserve">Schley, D. R., &amp; DeKay, M. L. (2015). Cognitive accessibility in judgments of household energy consumption.</w:t>
      </w:r>
      <w:r>
        <w:t xml:space="preserve"> </w:t>
      </w:r>
      <w:r>
        <w:rPr>
          <w:i/>
          <w:iCs/>
        </w:rPr>
        <w:t xml:space="preserve">Journal of Environmental Psychology</w:t>
      </w:r>
      <w:r>
        <w:t xml:space="preserve">,</w:t>
      </w:r>
      <w:r>
        <w:t xml:space="preserve"> </w:t>
      </w:r>
      <w:r>
        <w:rPr>
          <w:i/>
          <w:iCs/>
        </w:rPr>
        <w:t xml:space="preserve">43</w:t>
      </w:r>
      <w:r>
        <w:t xml:space="preserve">, 30–41.</w:t>
      </w:r>
      <w:r>
        <w:t xml:space="preserve"> </w:t>
      </w:r>
      <w:hyperlink r:id="rId61">
        <w:r>
          <w:rPr>
            <w:rStyle w:val="Hyperlink"/>
          </w:rPr>
          <w:t xml:space="preserve">https://doi.org/10.1016/j.jenvp.2015.05.004</w:t>
        </w:r>
      </w:hyperlink>
    </w:p>
    <w:bookmarkEnd w:id="62"/>
    <w:bookmarkStart w:id="64"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63">
        <w:r>
          <w:rPr>
            <w:rStyle w:val="Hyperlink"/>
          </w:rPr>
          <w:t xml:space="preserve">https://doi.org/10.1093/iwc/iwu009</w:t>
        </w:r>
      </w:hyperlink>
    </w:p>
    <w:bookmarkEnd w:id="64"/>
    <w:bookmarkStart w:id="66"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65">
        <w:r>
          <w:rPr>
            <w:rStyle w:val="Hyperlink"/>
          </w:rPr>
          <w:t xml:space="preserve">https://doi.org/10.1111/j.1756-8765.2009.01066.x</w:t>
        </w:r>
      </w:hyperlink>
    </w:p>
    <w:bookmarkEnd w:id="66"/>
    <w:bookmarkStart w:id="68" w:name="ref-tiedeNumeracyNumericAttention2022"/>
    <w:p>
      <w:pPr>
        <w:pStyle w:val="Bibliography"/>
      </w:pPr>
      <w:r>
        <w:t xml:space="preserve">Tiede, K. E., Bjälkebring, P., &amp; Peters, E. (2022). Numeracy, numeric attention, and number use in judgment and choice.</w:t>
      </w:r>
      <w:r>
        <w:t xml:space="preserve"> </w:t>
      </w:r>
      <w:r>
        <w:rPr>
          <w:i/>
          <w:iCs/>
        </w:rPr>
        <w:t xml:space="preserve">Journal of Behavioral Decision Making</w:t>
      </w:r>
      <w:r>
        <w:t xml:space="preserve">,</w:t>
      </w:r>
      <w:r>
        <w:t xml:space="preserve"> </w:t>
      </w:r>
      <w:r>
        <w:rPr>
          <w:i/>
          <w:iCs/>
        </w:rPr>
        <w:t xml:space="preserve">35</w:t>
      </w:r>
      <w:r>
        <w:t xml:space="preserve">(3), e2264.</w:t>
      </w:r>
      <w:r>
        <w:t xml:space="preserve"> </w:t>
      </w:r>
      <w:hyperlink r:id="rId67">
        <w:r>
          <w:rPr>
            <w:rStyle w:val="Hyperlink"/>
          </w:rPr>
          <w:t xml:space="preserve">https://doi.org/10.1002/bdm.2264</w:t>
        </w:r>
      </w:hyperlink>
    </w:p>
    <w:bookmarkEnd w:id="68"/>
    <w:bookmarkStart w:id="70"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69">
        <w:r>
          <w:rPr>
            <w:rStyle w:val="Hyperlink"/>
          </w:rPr>
          <w:t xml:space="preserve">https://doi.org/10.1016/j.jenvp.2019.02.008</w:t>
        </w:r>
      </w:hyperlink>
    </w:p>
    <w:bookmarkEnd w:id="70"/>
    <w:bookmarkStart w:id="72" w:name="Xd78aa78bdbe28d15504bf4bc2d47bc6bf838c9f"/>
    <w:p>
      <w:pPr>
        <w:pStyle w:val="Bibliography"/>
      </w:pPr>
      <w:r>
        <w:t xml:space="preserve">von Grabe, J. (2020). Using the</w:t>
      </w:r>
      <w:r>
        <w:t xml:space="preserve"> </w:t>
      </w:r>
      <w:r>
        <w:t xml:space="preserve">Instance-Based Learning Paradigm</w:t>
      </w:r>
      <w:r>
        <w:t xml:space="preserve"> </w:t>
      </w:r>
      <w:r>
        <w:t xml:space="preserve">to</w:t>
      </w:r>
      <w:r>
        <w:t xml:space="preserve"> </w:t>
      </w:r>
      <w:r>
        <w:t xml:space="preserve">Model Energy-Relevant Occupant Behaviors</w:t>
      </w:r>
      <w:r>
        <w:t xml:space="preserve"> </w:t>
      </w:r>
      <w:r>
        <w:t xml:space="preserve">in</w:t>
      </w:r>
      <w:r>
        <w:t xml:space="preserve"> </w:t>
      </w:r>
      <w:r>
        <w:t xml:space="preserve">Buildings</w:t>
      </w:r>
      <w:r>
        <w:t xml:space="preserve">.</w:t>
      </w:r>
      <w:r>
        <w:t xml:space="preserve"> </w:t>
      </w:r>
      <w:r>
        <w:rPr>
          <w:i/>
          <w:iCs/>
        </w:rPr>
        <w:t xml:space="preserve">Cognitive Computation</w:t>
      </w:r>
      <w:r>
        <w:t xml:space="preserve">,</w:t>
      </w:r>
      <w:r>
        <w:t xml:space="preserve"> </w:t>
      </w:r>
      <w:r>
        <w:rPr>
          <w:i/>
          <w:iCs/>
        </w:rPr>
        <w:t xml:space="preserve">12</w:t>
      </w:r>
      <w:r>
        <w:t xml:space="preserve">(1), 71–99.</w:t>
      </w:r>
      <w:r>
        <w:t xml:space="preserve"> </w:t>
      </w:r>
      <w:hyperlink r:id="rId71">
        <w:r>
          <w:rPr>
            <w:rStyle w:val="Hyperlink"/>
          </w:rPr>
          <w:t xml:space="preserve">https://doi.org/10.1007/s12559-019-09672-w</w:t>
        </w:r>
      </w:hyperlink>
    </w:p>
    <w:bookmarkEnd w:id="72"/>
    <w:bookmarkEnd w:id="73"/>
    <w:bookmarkEnd w:id="74"/>
    <w:bookmarkEnd w:id="75"/>
    <w:bookmarkEnd w:id="76"/>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950616"/>
    <w:rsid w:val="00CA66A9"/>
    <w:rsid w:val="00F1135C"/>
    <w:rsid w:val="00F63C83"/>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135C"/>
    <w:pPr>
      <w:ind w:firstLine="720"/>
    </w:pPr>
  </w:style>
  <w:style w:customStyle="1" w:styleId="FirstParagraph" w:type="paragraph">
    <w:name w:val="First Paragraph"/>
    <w:basedOn w:val="BodyText"/>
    <w:next w:val="BodyText"/>
    <w:qFormat/>
    <w:rsid w:val="00F1135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1135C"/>
    <w:rPr>
      <w:rFonts w:ascii="Times New Roman" w:hAnsi="Times New Roman"/>
    </w:rPr>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2/bdm.2264" TargetMode="External" /><Relationship Type="http://schemas.openxmlformats.org/officeDocument/2006/relationships/hyperlink" Id="rId36" Target="https://doi.org/10.1007/s12053-008-9009-7" TargetMode="External" /><Relationship Type="http://schemas.openxmlformats.org/officeDocument/2006/relationships/hyperlink" Id="rId71" Target="https://doi.org/10.1007/s12559-019-09672-w" TargetMode="External" /><Relationship Type="http://schemas.openxmlformats.org/officeDocument/2006/relationships/hyperlink" Id="rId34" Target="https://doi.org/10.1016/j.enpol.2010.12.049" TargetMode="External" /><Relationship Type="http://schemas.openxmlformats.org/officeDocument/2006/relationships/hyperlink" Id="rId50" Target="https://doi.org/10.1016/j.enpol.2022.112818" TargetMode="External" /><Relationship Type="http://schemas.openxmlformats.org/officeDocument/2006/relationships/hyperlink" Id="rId25" Target="https://doi.org/10.1016/j.jenvp.2005.08.002" TargetMode="External" /><Relationship Type="http://schemas.openxmlformats.org/officeDocument/2006/relationships/hyperlink" Id="rId61" Target="https://doi.org/10.1016/j.jenvp.2015.05.004" TargetMode="External" /><Relationship Type="http://schemas.openxmlformats.org/officeDocument/2006/relationships/hyperlink" Id="rId69" Target="https://doi.org/10.1016/j.jenvp.2019.02.008" TargetMode="External" /><Relationship Type="http://schemas.openxmlformats.org/officeDocument/2006/relationships/hyperlink" Id="rId30" Target="https://doi.org/10.1016/j.reseneeco.2017.06.001" TargetMode="External" /><Relationship Type="http://schemas.openxmlformats.org/officeDocument/2006/relationships/hyperlink" Id="rId44" Target="https://doi.org/10.1017/S1930297500008172" TargetMode="External" /><Relationship Type="http://schemas.openxmlformats.org/officeDocument/2006/relationships/hyperlink" Id="rId40" Target="https://doi.org/10.1037/0033-295X.102.4.684" TargetMode="External" /><Relationship Type="http://schemas.openxmlformats.org/officeDocument/2006/relationships/hyperlink" Id="rId56" Target="https://doi.org/10.1038/s41560-019-0467-2" TargetMode="External" /><Relationship Type="http://schemas.openxmlformats.org/officeDocument/2006/relationships/hyperlink" Id="rId42" Target="https://doi.org/10.1038/s41560-020-00704-6" TargetMode="External" /><Relationship Type="http://schemas.openxmlformats.org/officeDocument/2006/relationships/hyperlink" Id="rId58" Target="https://doi.org/10.1038/s41560-020-00763-9" TargetMode="External" /><Relationship Type="http://schemas.openxmlformats.org/officeDocument/2006/relationships/hyperlink" Id="rId27" Target="https://doi.org/10.1073/pnas.1001509107" TargetMode="External" /><Relationship Type="http://schemas.openxmlformats.org/officeDocument/2006/relationships/hyperlink" Id="rId46" Target="https://doi.org/10.1080/09613218.2017.1356164" TargetMode="External" /><Relationship Type="http://schemas.openxmlformats.org/officeDocument/2006/relationships/hyperlink" Id="rId32" Target="https://doi.org/10.1080/13669877.2015.1121909" TargetMode="External" /><Relationship Type="http://schemas.openxmlformats.org/officeDocument/2006/relationships/hyperlink" Id="rId63" Target="https://doi.org/10.1093/iwc/iwu009" TargetMode="External" /><Relationship Type="http://schemas.openxmlformats.org/officeDocument/2006/relationships/hyperlink" Id="rId65" Target="https://doi.org/10.1111/j.1756-8765.2009.01066.x" TargetMode="External" /><Relationship Type="http://schemas.openxmlformats.org/officeDocument/2006/relationships/hyperlink" Id="rId54" Target="https://doi.org/10.1126/science.1154983" TargetMode="External" /><Relationship Type="http://schemas.openxmlformats.org/officeDocument/2006/relationships/hyperlink" Id="rId48" Target="https://doi.org/10.1126/science.290.5500.2261" TargetMode="External" /><Relationship Type="http://schemas.openxmlformats.org/officeDocument/2006/relationships/hyperlink" Id="rId38" Target="https://doi.org/10.1136/bmj.327.7417.741" TargetMode="External" /><Relationship Type="http://schemas.openxmlformats.org/officeDocument/2006/relationships/hyperlink" Id="rId52" Target="https://doi.org/10.3758/s13428-021-01617-2"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2/bdm.2264" TargetMode="External" /><Relationship Type="http://schemas.openxmlformats.org/officeDocument/2006/relationships/hyperlink" Id="rId36" Target="https://doi.org/10.1007/s12053-008-9009-7" TargetMode="External" /><Relationship Type="http://schemas.openxmlformats.org/officeDocument/2006/relationships/hyperlink" Id="rId71" Target="https://doi.org/10.1007/s12559-019-09672-w" TargetMode="External" /><Relationship Type="http://schemas.openxmlformats.org/officeDocument/2006/relationships/hyperlink" Id="rId34" Target="https://doi.org/10.1016/j.enpol.2010.12.049" TargetMode="External" /><Relationship Type="http://schemas.openxmlformats.org/officeDocument/2006/relationships/hyperlink" Id="rId50" Target="https://doi.org/10.1016/j.enpol.2022.112818" TargetMode="External" /><Relationship Type="http://schemas.openxmlformats.org/officeDocument/2006/relationships/hyperlink" Id="rId25" Target="https://doi.org/10.1016/j.jenvp.2005.08.002" TargetMode="External" /><Relationship Type="http://schemas.openxmlformats.org/officeDocument/2006/relationships/hyperlink" Id="rId61" Target="https://doi.org/10.1016/j.jenvp.2015.05.004" TargetMode="External" /><Relationship Type="http://schemas.openxmlformats.org/officeDocument/2006/relationships/hyperlink" Id="rId69" Target="https://doi.org/10.1016/j.jenvp.2019.02.008" TargetMode="External" /><Relationship Type="http://schemas.openxmlformats.org/officeDocument/2006/relationships/hyperlink" Id="rId30" Target="https://doi.org/10.1016/j.reseneeco.2017.06.001" TargetMode="External" /><Relationship Type="http://schemas.openxmlformats.org/officeDocument/2006/relationships/hyperlink" Id="rId44" Target="https://doi.org/10.1017/S1930297500008172" TargetMode="External" /><Relationship Type="http://schemas.openxmlformats.org/officeDocument/2006/relationships/hyperlink" Id="rId40" Target="https://doi.org/10.1037/0033-295X.102.4.684" TargetMode="External" /><Relationship Type="http://schemas.openxmlformats.org/officeDocument/2006/relationships/hyperlink" Id="rId56" Target="https://doi.org/10.1038/s41560-019-0467-2" TargetMode="External" /><Relationship Type="http://schemas.openxmlformats.org/officeDocument/2006/relationships/hyperlink" Id="rId42" Target="https://doi.org/10.1038/s41560-020-00704-6" TargetMode="External" /><Relationship Type="http://schemas.openxmlformats.org/officeDocument/2006/relationships/hyperlink" Id="rId58" Target="https://doi.org/10.1038/s41560-020-00763-9" TargetMode="External" /><Relationship Type="http://schemas.openxmlformats.org/officeDocument/2006/relationships/hyperlink" Id="rId27" Target="https://doi.org/10.1073/pnas.1001509107" TargetMode="External" /><Relationship Type="http://schemas.openxmlformats.org/officeDocument/2006/relationships/hyperlink" Id="rId46" Target="https://doi.org/10.1080/09613218.2017.1356164" TargetMode="External" /><Relationship Type="http://schemas.openxmlformats.org/officeDocument/2006/relationships/hyperlink" Id="rId32" Target="https://doi.org/10.1080/13669877.2015.1121909" TargetMode="External" /><Relationship Type="http://schemas.openxmlformats.org/officeDocument/2006/relationships/hyperlink" Id="rId63" Target="https://doi.org/10.1093/iwc/iwu009" TargetMode="External" /><Relationship Type="http://schemas.openxmlformats.org/officeDocument/2006/relationships/hyperlink" Id="rId65" Target="https://doi.org/10.1111/j.1756-8765.2009.01066.x" TargetMode="External" /><Relationship Type="http://schemas.openxmlformats.org/officeDocument/2006/relationships/hyperlink" Id="rId54" Target="https://doi.org/10.1126/science.1154983" TargetMode="External" /><Relationship Type="http://schemas.openxmlformats.org/officeDocument/2006/relationships/hyperlink" Id="rId48" Target="https://doi.org/10.1126/science.290.5500.2261" TargetMode="External" /><Relationship Type="http://schemas.openxmlformats.org/officeDocument/2006/relationships/hyperlink" Id="rId38" Target="https://doi.org/10.1136/bmj.327.7417.741" TargetMode="External" /><Relationship Type="http://schemas.openxmlformats.org/officeDocument/2006/relationships/hyperlink" Id="rId52" Target="https://doi.org/10.3758/s13428-021-0161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2024-12-16T04:22:25Z</dcterms:created>
  <dcterms:modified xsi:type="dcterms:W3CDTF">2024-12-16T04:22:25Z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
    <vt:lpwstr>Tuesday, December 3, 2024</vt:lpwstr>
  </property>
  <property fmtid="{D5CDD505-2E9C-101B-9397-08002B2CF9AE}" pid="11" name="date-format">
    <vt:lpwstr>full</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toc-title">
    <vt:lpwstr>Table of contents</vt:lpwstr>
  </property>
</Properties>
</file>