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Compact"/>
        <w:numPr>
          <w:ilvl w:val="0"/>
          <w:numId w:val="1001"/>
        </w:numPr>
      </w:pPr>
      <w:r>
        <w:t xml:space="preserve">(Steyvers &amp; Kumar, 2024)</w:t>
      </w:r>
    </w:p>
    <w:p>
      <w:pPr>
        <w:pStyle w:val="Compact"/>
        <w:numPr>
          <w:ilvl w:val="0"/>
          <w:numId w:val="1001"/>
        </w:numPr>
      </w:pPr>
      <w:r>
        <w:t xml:space="preserve">(Lai et al., 2023)</w:t>
      </w:r>
    </w:p>
    <w:p>
      <w:pPr>
        <w:pStyle w:val="Compact"/>
        <w:numPr>
          <w:ilvl w:val="0"/>
          <w:numId w:val="1001"/>
        </w:numPr>
      </w:pPr>
      <w:r>
        <w:t xml:space="preserve">(Burton et al., 2024)</w:t>
      </w:r>
    </w:p>
    <w:p>
      <w:pPr>
        <w:pStyle w:val="Compact"/>
        <w:numPr>
          <w:ilvl w:val="0"/>
          <w:numId w:val="1001"/>
        </w:numPr>
      </w:pPr>
      <w:r>
        <w:t xml:space="preserve">(Rastogi et al., 2023)</w:t>
      </w:r>
    </w:p>
    <w:p>
      <w:pPr>
        <w:pStyle w:val="FirstParagraph"/>
      </w:pPr>
      <w:r>
        <w:t xml:space="preserve">….</w:t>
      </w:r>
    </w:p>
    <w:bookmarkEnd w:id="20"/>
    <w:bookmarkStart w:id="22" w:name="inputs"/>
    <w:p>
      <w:pPr>
        <w:pStyle w:val="Heading2"/>
      </w:pPr>
      <w:r>
        <w:t xml:space="preserve">Inputs</w:t>
      </w:r>
    </w:p>
    <w:p>
      <w:pPr>
        <w:pStyle w:val="FirstParagraph"/>
      </w:pPr>
      <w:r>
        <w:t xml:space="preserve">..</w:t>
      </w:r>
    </w:p>
    <w:bookmarkStart w:id="21"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reccomendation AI model (RiskComp). Participants were then sorted into groups of three, where they reviewed and discussed novel defendant profiles, before making a group recidivism assessment. In the group stage, the reccomendations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2"/>
        </w:numPr>
      </w:pPr>
      <w:r>
        <w:t xml:space="preserve">(Marjieh et al., 2024)</w:t>
      </w:r>
    </w:p>
    <w:p>
      <w:pPr>
        <w:pStyle w:val="Compact"/>
        <w:numPr>
          <w:ilvl w:val="0"/>
          <w:numId w:val="1002"/>
        </w:numPr>
      </w:pPr>
      <w:r>
        <w:t xml:space="preserve">(Kumar et al., 2024)</w:t>
      </w:r>
    </w:p>
    <w:p>
      <w:pPr>
        <w:pStyle w:val="Compact"/>
        <w:numPr>
          <w:ilvl w:val="0"/>
          <w:numId w:val="1002"/>
        </w:numPr>
      </w:pPr>
      <w:r>
        <w:t xml:space="preserve">(Lu et al., 2024)</w:t>
      </w:r>
    </w:p>
    <w:p>
      <w:pPr>
        <w:pStyle w:val="Compact"/>
        <w:numPr>
          <w:ilvl w:val="0"/>
          <w:numId w:val="1002"/>
        </w:numPr>
      </w:pPr>
      <w:r>
        <w:t xml:space="preserve">(McNeese et al., 2023)</w:t>
      </w:r>
    </w:p>
    <w:bookmarkEnd w:id="21"/>
    <w:bookmarkEnd w:id="22"/>
    <w:bookmarkStart w:id="27" w:name="information-processing"/>
    <w:p>
      <w:pPr>
        <w:pStyle w:val="Heading2"/>
      </w:pPr>
      <w:r>
        <w:t xml:space="preserve">Information Processing</w:t>
      </w:r>
    </w:p>
    <w:bookmarkStart w:id="23" w:name="information-search"/>
    <w:p>
      <w:pPr>
        <w:pStyle w:val="Heading3"/>
      </w:pPr>
      <w:r>
        <w:t xml:space="preserve">Information Search</w:t>
      </w:r>
    </w:p>
    <w:p>
      <w:pPr>
        <w:pStyle w:val="Compact"/>
        <w:numPr>
          <w:ilvl w:val="0"/>
          <w:numId w:val="1003"/>
        </w:numPr>
      </w:pPr>
      <w:r>
        <w:t xml:space="preserve">(Gao &amp; Zhang, 2024)</w:t>
      </w:r>
    </w:p>
    <w:p>
      <w:pPr>
        <w:pStyle w:val="FirstParagraph"/>
      </w:pPr>
      <w:r>
        <w:t xml:space="preserve">…</w:t>
      </w:r>
    </w:p>
    <w:bookmarkEnd w:id="23"/>
    <w:bookmarkStart w:id="24"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Compact"/>
        <w:numPr>
          <w:ilvl w:val="0"/>
          <w:numId w:val="1004"/>
        </w:numPr>
      </w:pPr>
      <w:r>
        <w:t xml:space="preserve">(Yang et al., 2024)</w:t>
      </w:r>
    </w:p>
    <w:p>
      <w:pPr>
        <w:pStyle w:val="Compact"/>
        <w:numPr>
          <w:ilvl w:val="0"/>
          <w:numId w:val="1004"/>
        </w:numPr>
      </w:pPr>
      <w:r>
        <w:t xml:space="preserve">(Ma et al., 2024)</w:t>
      </w:r>
    </w:p>
    <w:p>
      <w:pPr>
        <w:pStyle w:val="Compact"/>
        <w:numPr>
          <w:ilvl w:val="0"/>
          <w:numId w:val="1004"/>
        </w:numPr>
      </w:pPr>
      <w:r>
        <w:t xml:space="preserve">(Radivojevic et al., 2024)</w:t>
      </w:r>
    </w:p>
    <w:p>
      <w:pPr>
        <w:pStyle w:val="Compact"/>
        <w:numPr>
          <w:ilvl w:val="0"/>
          <w:numId w:val="1004"/>
        </w:numPr>
      </w:pPr>
      <w:r>
        <w:t xml:space="preserve">(Sidji et al., 2024)</w:t>
      </w:r>
    </w:p>
    <w:p>
      <w:pPr>
        <w:pStyle w:val="Compact"/>
        <w:numPr>
          <w:ilvl w:val="0"/>
          <w:numId w:val="1004"/>
        </w:numPr>
      </w:pPr>
      <w:r>
        <w:t xml:space="preserve">(Nishida et al., 2024)</w:t>
      </w:r>
    </w:p>
    <w:p>
      <w:pPr>
        <w:pStyle w:val="Compact"/>
        <w:numPr>
          <w:ilvl w:val="0"/>
          <w:numId w:val="1004"/>
        </w:numPr>
      </w:pPr>
      <w:r>
        <w:t xml:space="preserve">(Chuang et al., 2024)</w:t>
      </w:r>
    </w:p>
    <w:bookmarkEnd w:id="24"/>
    <w:bookmarkStart w:id="25" w:name="shared-mental-models"/>
    <w:p>
      <w:pPr>
        <w:pStyle w:val="Heading3"/>
      </w:pPr>
      <w:r>
        <w:t xml:space="preserve">Shared Mental Models</w:t>
      </w:r>
    </w:p>
    <w:p>
      <w:pPr>
        <w:pStyle w:val="Compact"/>
        <w:numPr>
          <w:ilvl w:val="0"/>
          <w:numId w:val="1005"/>
        </w:numPr>
      </w:pPr>
      <w:r>
        <w:t xml:space="preserve">(Collins et al., 2024)</w:t>
      </w:r>
    </w:p>
    <w:p>
      <w:pPr>
        <w:pStyle w:val="FirstParagraph"/>
      </w:pPr>
      <w:r>
        <w:t xml:space="preserve">…</w:t>
      </w:r>
    </w:p>
    <w:bookmarkEnd w:id="25"/>
    <w:bookmarkStart w:id="26"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bookmarkEnd w:id="26"/>
    <w:bookmarkEnd w:id="27"/>
    <w:bookmarkStart w:id="30" w:name="decision-making-output"/>
    <w:p>
      <w:pPr>
        <w:pStyle w:val="Heading2"/>
      </w:pPr>
      <w:r>
        <w:t xml:space="preserve">Decision-Making Output</w:t>
      </w:r>
    </w:p>
    <w:p>
      <w:pPr>
        <w:pStyle w:val="FirstParagraph"/>
      </w:pPr>
      <w:r>
        <w:t xml:space="preserve">..</w:t>
      </w:r>
    </w:p>
    <w:bookmarkStart w:id="28"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28"/>
    <w:bookmarkStart w:id="29" w:name="decision-accuracy-and-confidence"/>
    <w:p>
      <w:pPr>
        <w:pStyle w:val="Heading3"/>
      </w:pPr>
      <w:r>
        <w:t xml:space="preserve">Decision Accuracy and Confidence</w:t>
      </w:r>
    </w:p>
    <w:p>
      <w:pPr>
        <w:pStyle w:val="Compact"/>
        <w:numPr>
          <w:ilvl w:val="0"/>
          <w:numId w:val="1006"/>
        </w:numPr>
      </w:pPr>
      <w:r>
        <w:t xml:space="preserve">(Becker et al., 2022)</w:t>
      </w:r>
    </w:p>
    <w:p>
      <w:pPr>
        <w:pStyle w:val="Compact"/>
        <w:numPr>
          <w:ilvl w:val="0"/>
          <w:numId w:val="1006"/>
        </w:numPr>
      </w:pPr>
      <w:r>
        <w:t xml:space="preserve">…</w:t>
      </w:r>
    </w:p>
    <w:bookmarkEnd w:id="29"/>
    <w:bookmarkEnd w:id="30"/>
    <w:bookmarkStart w:id="35" w:name="trust-risk-and-reliance"/>
    <w:p>
      <w:pPr>
        <w:pStyle w:val="Heading2"/>
      </w:pPr>
      <w:r>
        <w:t xml:space="preserve">Trust, Risk and Reliance</w:t>
      </w:r>
    </w:p>
    <w:bookmarkStart w:id="31" w:name="trust-in-ai"/>
    <w:p>
      <w:pPr>
        <w:pStyle w:val="Heading3"/>
      </w:pPr>
      <w:r>
        <w:t xml:space="preserve">Trust in AI</w:t>
      </w:r>
    </w:p>
    <w:p>
      <w:pPr>
        <w:pStyle w:val="Compact"/>
        <w:numPr>
          <w:ilvl w:val="0"/>
          <w:numId w:val="1007"/>
        </w:numPr>
      </w:pPr>
      <w:r>
        <w:t xml:space="preserve">Westphal et al. (2023)</w:t>
      </w:r>
    </w:p>
    <w:p>
      <w:pPr>
        <w:pStyle w:val="Compact"/>
        <w:numPr>
          <w:ilvl w:val="0"/>
          <w:numId w:val="1007"/>
        </w:numPr>
      </w:pPr>
      <w:r>
        <w:t xml:space="preserve">(Koehl &amp; Vangsness, 2023)</w:t>
      </w:r>
    </w:p>
    <w:p>
      <w:pPr>
        <w:pStyle w:val="Compact"/>
        <w:numPr>
          <w:ilvl w:val="0"/>
          <w:numId w:val="1007"/>
        </w:numPr>
      </w:pPr>
      <w:r>
        <w:t xml:space="preserve">(Banerjee et al., 2024)</w:t>
      </w:r>
    </w:p>
    <w:bookmarkEnd w:id="31"/>
    <w:bookmarkStart w:id="32" w:name="reliance"/>
    <w:p>
      <w:pPr>
        <w:pStyle w:val="Heading3"/>
      </w:pPr>
      <w:r>
        <w:t xml:space="preserve">Reliance</w:t>
      </w:r>
    </w:p>
    <w:p>
      <w:pPr>
        <w:pStyle w:val="Compact"/>
        <w:numPr>
          <w:ilvl w:val="0"/>
          <w:numId w:val="1008"/>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2"/>
    <w:bookmarkStart w:id="33" w:name="utilization"/>
    <w:p>
      <w:pPr>
        <w:pStyle w:val="Heading3"/>
      </w:pPr>
      <w:r>
        <w:t xml:space="preserve">Utilization</w:t>
      </w:r>
    </w:p>
    <w:p>
      <w:pPr>
        <w:pStyle w:val="FirstParagraph"/>
      </w:pPr>
      <w:r>
        <w:t xml:space="preserve">Recent work by Buçinca et al. (2021) 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p>
      <w:pPr>
        <w:pStyle w:val="Compact"/>
        <w:numPr>
          <w:ilvl w:val="0"/>
          <w:numId w:val="1009"/>
        </w:numPr>
      </w:pPr>
      <w:r>
        <w:t xml:space="preserve">(Cui &amp; Yasseri, 2024)</w:t>
      </w:r>
    </w:p>
    <w:p>
      <w:pPr>
        <w:pStyle w:val="Compact"/>
        <w:numPr>
          <w:ilvl w:val="0"/>
          <w:numId w:val="1009"/>
        </w:numPr>
      </w:pPr>
      <w:r>
        <w:t xml:space="preserve">(Stadler et al., 2024)</w:t>
      </w:r>
    </w:p>
    <w:bookmarkEnd w:id="33"/>
    <w:bookmarkStart w:id="34" w:name="risk"/>
    <w:p>
      <w:pPr>
        <w:pStyle w:val="Heading3"/>
      </w:pPr>
      <w:r>
        <w:t xml:space="preserve">Risk</w:t>
      </w:r>
    </w:p>
    <w:p>
      <w:pPr>
        <w:pStyle w:val="Compact"/>
        <w:numPr>
          <w:ilvl w:val="0"/>
          <w:numId w:val="1010"/>
        </w:numPr>
      </w:pPr>
      <w:r>
        <w:t xml:space="preserve">(Bhatia, 2024)</w:t>
      </w:r>
    </w:p>
    <w:p>
      <w:pPr>
        <w:pStyle w:val="Compact"/>
        <w:numPr>
          <w:ilvl w:val="0"/>
          <w:numId w:val="1010"/>
        </w:numPr>
      </w:pPr>
      <w:r>
        <w:t xml:space="preserve">(Zhu et al., 2024)</w:t>
      </w:r>
    </w:p>
    <w:p>
      <w:r>
        <w:br w:type="page"/>
      </w:r>
    </w:p>
    <w:bookmarkEnd w:id="34"/>
    <w:bookmarkEnd w:id="35"/>
    <w:bookmarkStart w:id="36" w:name="tables"/>
    <w:p>
      <w:pPr>
        <w:pStyle w:val="Heading2"/>
      </w:pPr>
      <w:r>
        <w:t xml:space="preserve">Tables</w:t>
      </w:r>
    </w:p>
    <w:bookmarkEnd w:id="36"/>
    <w:bookmarkStart w:id="39" w:name="section"/>
    <w:p>
      <w:pPr>
        <w:pStyle w:val="Heading1"/>
      </w:pPr>
    </w:p>
    <w:bookmarkStart w:id="37" w:name="X169d8cba857217915fde382b01eb23e27131415"/>
    <w:p>
      <w:pPr>
        <w:pStyle w:val="Heading3"/>
      </w:pPr>
      <w:r>
        <w:t xml:space="preserve">Table 1: Research Methods in Human-AI Group Decision-Making</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Research Method</w:t>
            </w:r>
          </w:p>
        </w:tc>
        <w:tc>
          <w:tcPr/>
          <w:p>
            <w:pPr>
              <w:pStyle w:val="Compact"/>
            </w:pPr>
            <w:r>
              <w:t xml:space="preserve">Task Types</w:t>
            </w:r>
          </w:p>
        </w:tc>
        <w:tc>
          <w:tcPr/>
          <w:p>
            <w:pPr>
              <w:pStyle w:val="Compact"/>
            </w:pPr>
            <w:r>
              <w:t xml:space="preserve">Key Measures</w:t>
            </w:r>
          </w:p>
        </w:tc>
        <w:tc>
          <w:tcPr/>
          <w:p>
            <w:pPr>
              <w:pStyle w:val="Compact"/>
            </w:pPr>
            <w:r>
              <w:t xml:space="preserve">Example Studies</w:t>
            </w:r>
          </w:p>
        </w:tc>
        <w:tc>
          <w:tcPr/>
          <w:p>
            <w:pPr>
              <w:pStyle w:val="Compact"/>
            </w:pPr>
            <w:r>
              <w:t xml:space="preserve">Strengths</w:t>
            </w:r>
          </w:p>
        </w:tc>
        <w:tc>
          <w:tcPr/>
          <w:p>
            <w:pPr>
              <w:pStyle w:val="Compact"/>
            </w:pPr>
            <w:r>
              <w:t xml:space="preserve">Limitations</w:t>
            </w:r>
          </w:p>
        </w:tc>
      </w:tr>
      <w:tr>
        <w:tc>
          <w:tcPr/>
          <w:p>
            <w:pPr>
              <w:pStyle w:val="Compact"/>
            </w:pPr>
            <w:r>
              <w:rPr>
                <w:b/>
                <w:bCs/>
              </w:rPr>
              <w:t xml:space="preserve">Laboratory Experiments</w:t>
            </w:r>
          </w:p>
        </w:tc>
        <w:tc>
          <w:tcPr/>
          <w:p>
            <w:pPr>
              <w:pStyle w:val="Compact"/>
            </w:pPr>
            <w:r>
              <w:t xml:space="preserve">Simplified, controlled tasks (e.g., classification, judgment, resource allocation, logic puzzles)</w:t>
            </w:r>
          </w:p>
        </w:tc>
        <w:tc>
          <w:tcPr/>
          <w:p>
            <w:pPr>
              <w:pStyle w:val="Compact"/>
            </w:pPr>
            <w:r>
              <w:t xml:space="preserve">Decision accuracy, response time, trust ratings, reliance on AI, eye-tracking, think-aloud protocols, physiological measures</w:t>
            </w:r>
          </w:p>
        </w:tc>
        <w:tc>
          <w:tcPr/>
          <w:p>
            <w:pPr>
              <w:pStyle w:val="Compact"/>
            </w:pPr>
            <w:r>
              <w:t xml:space="preserve">Chiang et al. (2024); Buçinca et al. (2021); Swaroop et al. (2024)</w:t>
            </w:r>
          </w:p>
        </w:tc>
        <w:tc>
          <w:tcPr/>
          <w:p>
            <w:pPr>
              <w:pStyle w:val="Compact"/>
            </w:pPr>
            <w:r>
              <w:t xml:space="preserve">High control, causal inference, precise measurement of behavior</w:t>
            </w:r>
          </w:p>
        </w:tc>
        <w:tc>
          <w:tcPr/>
          <w:p>
            <w:pPr>
              <w:pStyle w:val="Compact"/>
            </w:pPr>
            <w:r>
              <w:t xml:space="preserve">Limited ecological validity, often simplified tasks, potential for demand characteristics, limited generalizability</w:t>
            </w:r>
          </w:p>
        </w:tc>
      </w:tr>
      <w:tr>
        <w:tc>
          <w:tcPr/>
          <w:p>
            <w:pPr>
              <w:pStyle w:val="Compact"/>
            </w:pPr>
            <w:r>
              <w:rPr>
                <w:b/>
                <w:bCs/>
              </w:rPr>
              <w:t xml:space="preserve">Field Studies</w:t>
            </w:r>
          </w:p>
        </w:tc>
        <w:tc>
          <w:tcPr/>
          <w:p>
            <w:pPr>
              <w:pStyle w:val="Compact"/>
            </w:pPr>
            <w:r>
              <w:t xml:space="preserve">Complex, real-world tasks (e.g., medical diagnosis, emergency response, project planning, incident response)</w:t>
            </w:r>
          </w:p>
        </w:tc>
        <w:tc>
          <w:tcPr/>
          <w:p>
            <w:pPr>
              <w:pStyle w:val="Compact"/>
            </w:pPr>
            <w:r>
              <w:t xml:space="preserve">Team performance, communication patterns, system adoption, qualitative observations (interviews, focus groups), workflow analysis</w:t>
            </w:r>
          </w:p>
        </w:tc>
        <w:tc>
          <w:tcPr/>
          <w:p>
            <w:pPr>
              <w:pStyle w:val="Compact"/>
            </w:pPr>
            <w:r>
              <w:t xml:space="preserve">Bienefeld et al. (2023); Yang et al. (2024)</w:t>
            </w:r>
          </w:p>
        </w:tc>
        <w:tc>
          <w:tcPr/>
          <w:p>
            <w:pPr>
              <w:pStyle w:val="Compact"/>
            </w:pPr>
            <w:r>
              <w:t xml:space="preserve">High ecological validity, real-world outcomes</w:t>
            </w:r>
          </w:p>
        </w:tc>
        <w:tc>
          <w:tcPr/>
          <w:p>
            <w:pPr>
              <w:pStyle w:val="Compact"/>
            </w:pPr>
            <w:r>
              <w:t xml:space="preserve">Less experimental control, smaller sample sizes, difficult to isolate specific AI effects, potential for confounding variables</w:t>
            </w:r>
          </w:p>
        </w:tc>
      </w:tr>
      <w:tr>
        <w:tc>
          <w:tcPr/>
          <w:p>
            <w:pPr>
              <w:pStyle w:val="Compact"/>
            </w:pPr>
            <w:r>
              <w:rPr>
                <w:b/>
                <w:bCs/>
              </w:rPr>
              <w:t xml:space="preserve">Online Experiments</w:t>
            </w:r>
          </w:p>
        </w:tc>
        <w:tc>
          <w:tcPr/>
          <w:p>
            <w:pPr>
              <w:pStyle w:val="Compact"/>
            </w:pPr>
            <w:r>
              <w:t xml:space="preserve">Varied tasks (e.g., text analysis, opinion formation, consensus building, games, surveys, simulated work tasks)</w:t>
            </w:r>
          </w:p>
        </w:tc>
        <w:tc>
          <w:tcPr/>
          <w:p>
            <w:pPr>
              <w:pStyle w:val="Compact"/>
            </w:pPr>
            <w:r>
              <w:t xml:space="preserve">Group agreement, information sharing, bias measures, survey responses, behavioral logs, communication content analysis</w:t>
            </w:r>
          </w:p>
        </w:tc>
        <w:tc>
          <w:tcPr/>
          <w:p>
            <w:pPr>
              <w:pStyle w:val="Compact"/>
            </w:pPr>
            <w:r>
              <w:t xml:space="preserve">Tessler et al. (2024); Chuang et al. (2024); Sidji et al. (2024); Nishida et al. (2024)</w:t>
            </w:r>
          </w:p>
        </w:tc>
        <w:tc>
          <w:tcPr/>
          <w:p>
            <w:pPr>
              <w:pStyle w:val="Compact"/>
            </w:pPr>
            <w:r>
              <w:t xml:space="preserve">Large samples, cost-effective, access to diverse populations, can study large-scale dynamics</w:t>
            </w:r>
          </w:p>
        </w:tc>
        <w:tc>
          <w:tcPr/>
          <w:p>
            <w:pPr>
              <w:pStyle w:val="Compact"/>
            </w:pPr>
            <w:r>
              <w:t xml:space="preserve">Less control over participation, limited interaction depth, potential for self-selection bias, difficulty ensuring data quality</w:t>
            </w:r>
          </w:p>
        </w:tc>
      </w:tr>
      <w:tr>
        <w:tc>
          <w:tcPr/>
          <w:p>
            <w:pPr>
              <w:pStyle w:val="Compact"/>
            </w:pPr>
            <w:r>
              <w:rPr>
                <w:b/>
                <w:bCs/>
              </w:rPr>
              <w:t xml:space="preserve">Observational Studies</w:t>
            </w:r>
          </w:p>
        </w:tc>
        <w:tc>
          <w:tcPr/>
          <w:p>
            <w:pPr>
              <w:pStyle w:val="Compact"/>
            </w:pPr>
            <w:r>
              <w:t xml:space="preserve">Real-world collaborative activities (e.g., collaborative writing, decision support usage, team coordination, online discussions)</w:t>
            </w:r>
          </w:p>
        </w:tc>
        <w:tc>
          <w:tcPr/>
          <w:p>
            <w:pPr>
              <w:pStyle w:val="Compact"/>
            </w:pPr>
            <w:r>
              <w:t xml:space="preserve">Usage patterns, adaptation over time, natural behaviors, communication analysis, qualitative observations</w:t>
            </w:r>
          </w:p>
        </w:tc>
        <w:tc>
          <w:tcPr/>
          <w:p>
            <w:pPr>
              <w:pStyle w:val="Compact"/>
            </w:pPr>
            <w:r>
              <w:t xml:space="preserve">Radivojevic et al. (2024); Ma et al. (2024)</w:t>
            </w:r>
          </w:p>
        </w:tc>
        <w:tc>
          <w:tcPr/>
          <w:p>
            <w:pPr>
              <w:pStyle w:val="Compact"/>
            </w:pPr>
            <w:r>
              <w:t xml:space="preserve">Natural behavior, temporal dynamics, rich qualitative data, can study evolving interactions</w:t>
            </w:r>
          </w:p>
        </w:tc>
        <w:tc>
          <w:tcPr/>
          <w:p>
            <w:pPr>
              <w:pStyle w:val="Compact"/>
            </w:pPr>
            <w:r>
              <w:t xml:space="preserve">No experimental manipulation, selection effects, difficulty in establishing causality, observer bias</w:t>
            </w:r>
          </w:p>
        </w:tc>
      </w:tr>
    </w:tbl>
    <w:p>
      <w:pPr>
        <w:pStyle w:val="BodyText"/>
      </w:pPr>
    </w:p>
    <w:bookmarkEnd w:id="37"/>
    <w:bookmarkStart w:id="38" w:name="X0c4381078795255393c17ad3a430a304addd891"/>
    <w:p>
      <w:pPr>
        <w:pStyle w:val="Heading3"/>
      </w:pPr>
      <w:r>
        <w:t xml:space="preserve">Table 2: Types of AI Used in Decision-Making Tasks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AI Type</w:t>
            </w:r>
          </w:p>
        </w:tc>
        <w:tc>
          <w:tcPr/>
          <w:p>
            <w:pPr>
              <w:pStyle w:val="Compact"/>
            </w:pPr>
            <w:r>
              <w:t xml:space="preserve">Key Capabilities</w:t>
            </w:r>
          </w:p>
        </w:tc>
        <w:tc>
          <w:tcPr/>
          <w:p>
            <w:pPr>
              <w:pStyle w:val="Compact"/>
            </w:pPr>
            <w:r>
              <w:t xml:space="preserve">Limitations</w:t>
            </w:r>
          </w:p>
        </w:tc>
        <w:tc>
          <w:tcPr/>
          <w:p>
            <w:pPr>
              <w:pStyle w:val="Compact"/>
            </w:pPr>
            <w:r>
              <w:t xml:space="preserve">Primary Applications</w:t>
            </w:r>
          </w:p>
        </w:tc>
        <w:tc>
          <w:tcPr/>
          <w:p>
            <w:pPr>
              <w:pStyle w:val="Compact"/>
            </w:pPr>
            <w:r>
              <w:t xml:space="preserve">Representative Studies</w:t>
            </w:r>
          </w:p>
        </w:tc>
      </w:tr>
      <w:tr>
        <w:tc>
          <w:tcPr/>
          <w:p>
            <w:pPr>
              <w:pStyle w:val="Compact"/>
            </w:pPr>
            <w:r>
              <w:rPr>
                <w:b/>
                <w:bCs/>
              </w:rPr>
              <w:t xml:space="preserve">Large Language Models</w:t>
            </w:r>
          </w:p>
        </w:tc>
        <w:tc>
          <w:tcPr/>
          <w:p>
            <w:pPr>
              <w:pStyle w:val="Compact"/>
            </w:pPr>
            <w:r>
              <w:t xml:space="preserve">Natural language understanding; Open-ended dialogue; Context adaptation; Knowledge synthesis; Abstract reasoning</w:t>
            </w:r>
          </w:p>
        </w:tc>
        <w:tc>
          <w:tcPr/>
          <w:p>
            <w:pPr>
              <w:pStyle w:val="Compact"/>
            </w:pPr>
            <w:r>
              <w:t xml:space="preserve">Hallucinations; Inconsistency; Limited causal reasoning; Training data cutoff</w:t>
            </w:r>
          </w:p>
        </w:tc>
        <w:tc>
          <w:tcPr/>
          <w:p>
            <w:pPr>
              <w:pStyle w:val="Compact"/>
            </w:pPr>
            <w:r>
              <w:t xml:space="preserve">Group facilitation; Information synthesis; Creative ideation; Deliberation support</w:t>
            </w:r>
          </w:p>
        </w:tc>
        <w:tc>
          <w:tcPr/>
          <w:p>
            <w:pPr>
              <w:pStyle w:val="Compact"/>
            </w:pPr>
            <w:r>
              <w:t xml:space="preserve">Tessler et al. (2024); Chiang et al. (2024); Collins et al. (2024); Du et al. (2024)</w:t>
            </w:r>
          </w:p>
        </w:tc>
      </w:tr>
      <w:tr>
        <w:tc>
          <w:tcPr/>
          <w:p>
            <w:pPr>
              <w:pStyle w:val="Compact"/>
            </w:pPr>
            <w:r>
              <w:rPr>
                <w:b/>
                <w:bCs/>
              </w:rPr>
              <w:t xml:space="preserve">Domain-Specific AI</w:t>
            </w:r>
          </w:p>
        </w:tc>
        <w:tc>
          <w:tcPr/>
          <w:p>
            <w:pPr>
              <w:pStyle w:val="Compact"/>
            </w:pPr>
            <w:r>
              <w:t xml:space="preserve">Expert knowledge; Precise calculations; Consistent performance; Real-time processing; Specialized optimization</w:t>
            </w:r>
          </w:p>
        </w:tc>
        <w:tc>
          <w:tcPr/>
          <w:p>
            <w:pPr>
              <w:pStyle w:val="Compact"/>
            </w:pPr>
            <w:r>
              <w:t xml:space="preserve">Limited generalization; Rigid decision rules; Poor adaptation to novel scenarios</w:t>
            </w:r>
          </w:p>
        </w:tc>
        <w:tc>
          <w:tcPr/>
          <w:p>
            <w:pPr>
              <w:pStyle w:val="Compact"/>
            </w:pPr>
            <w:r>
              <w:t xml:space="preserve">Medical diagnosis; Resource allocation; Risk assessment; Pattern detection</w:t>
            </w:r>
          </w:p>
        </w:tc>
        <w:tc>
          <w:tcPr/>
          <w:p>
            <w:pPr>
              <w:pStyle w:val="Compact"/>
            </w:pPr>
            <w:r>
              <w:t xml:space="preserve">Bienefeld et al. (2023); Marjieh et al. (2024); Yang et al. (2024)</w:t>
            </w:r>
          </w:p>
        </w:tc>
      </w:tr>
      <w:tr>
        <w:tc>
          <w:tcPr/>
          <w:p>
            <w:pPr>
              <w:pStyle w:val="Compact"/>
            </w:pPr>
            <w:r>
              <w:rPr>
                <w:b/>
                <w:bCs/>
              </w:rPr>
              <w:t xml:space="preserve">Hybrid Systems</w:t>
            </w:r>
          </w:p>
        </w:tc>
        <w:tc>
          <w:tcPr/>
          <w:p>
            <w:pPr>
              <w:pStyle w:val="Compact"/>
            </w:pPr>
            <w:r>
              <w:t xml:space="preserve">Combined generalist/specialist capabilities; Integrated expertise; Adaptive reasoning; Multi-modal processing</w:t>
            </w:r>
          </w:p>
        </w:tc>
        <w:tc>
          <w:tcPr/>
          <w:p>
            <w:pPr>
              <w:pStyle w:val="Compact"/>
            </w:pPr>
            <w:r>
              <w:t xml:space="preserve">Integration complexity; System conflicts; Higher computational needs</w:t>
            </w:r>
          </w:p>
        </w:tc>
        <w:tc>
          <w:tcPr/>
          <w:p>
            <w:pPr>
              <w:pStyle w:val="Compact"/>
            </w:pPr>
            <w:r>
              <w:t xml:space="preserve">Complex decision-making; Strategic planning; Knowledge management</w:t>
            </w:r>
          </w:p>
        </w:tc>
        <w:tc>
          <w:tcPr/>
          <w:p>
            <w:pPr>
              <w:pStyle w:val="Compact"/>
            </w:pPr>
            <w:r>
              <w:t xml:space="preserve">Burton et al. (2024); Ma et al. (2024); Gao et al. (2024)</w:t>
            </w:r>
          </w:p>
        </w:tc>
      </w:tr>
      <w:tr>
        <w:tc>
          <w:tcPr/>
          <w:p>
            <w:pPr>
              <w:pStyle w:val="Compact"/>
            </w:pPr>
            <w:r>
              <w:rPr>
                <w:b/>
                <w:bCs/>
              </w:rPr>
              <w:t xml:space="preserve">Autonomous Agents</w:t>
            </w:r>
          </w:p>
        </w:tc>
        <w:tc>
          <w:tcPr/>
          <w:p>
            <w:pPr>
              <w:pStyle w:val="Compact"/>
            </w:pPr>
            <w:r>
              <w:t xml:space="preserve">Independent operation; Goal-directed behavior; Environmental interaction; Continuous learning</w:t>
            </w:r>
          </w:p>
        </w:tc>
        <w:tc>
          <w:tcPr/>
          <w:p>
            <w:pPr>
              <w:pStyle w:val="Compact"/>
            </w:pPr>
            <w:r>
              <w:t xml:space="preserve">Limited social awareness; Trust-building challenges; Coordination issues</w:t>
            </w:r>
          </w:p>
        </w:tc>
        <w:tc>
          <w:tcPr/>
          <w:p>
            <w:pPr>
              <w:pStyle w:val="Compact"/>
            </w:pPr>
            <w:r>
              <w:t xml:space="preserve">Team collaboration; Process automation; Distributed tasks</w:t>
            </w:r>
          </w:p>
        </w:tc>
        <w:tc>
          <w:tcPr/>
          <w:p>
            <w:pPr>
              <w:pStyle w:val="Compact"/>
            </w:pPr>
            <w:r>
              <w:t xml:space="preserve">McNeese et al. (2023); Guo et al. (2024); Zhang et al. (2024)</w:t>
            </w:r>
          </w:p>
        </w:tc>
      </w:tr>
      <w:tr>
        <w:tc>
          <w:tcPr/>
          <w:p>
            <w:pPr>
              <w:pStyle w:val="Compact"/>
            </w:pPr>
            <w:r>
              <w:rPr>
                <w:b/>
                <w:bCs/>
              </w:rPr>
              <w:t xml:space="preserve">Recommender Systems</w:t>
            </w:r>
          </w:p>
        </w:tc>
        <w:tc>
          <w:tcPr/>
          <w:p>
            <w:pPr>
              <w:pStyle w:val="Compact"/>
            </w:pPr>
            <w:r>
              <w:t xml:space="preserve">Personalization; Pattern recognition; Preference learning; Information filtering</w:t>
            </w:r>
          </w:p>
        </w:tc>
        <w:tc>
          <w:tcPr/>
          <w:p>
            <w:pPr>
              <w:pStyle w:val="Compact"/>
            </w:pPr>
            <w:r>
              <w:t xml:space="preserve">Cold start problems; Filter bubbles; Limited context awareness</w:t>
            </w:r>
          </w:p>
        </w:tc>
        <w:tc>
          <w:tcPr/>
          <w:p>
            <w:pPr>
              <w:pStyle w:val="Compact"/>
            </w:pPr>
            <w:r>
              <w:t xml:space="preserve">Information curation; Decision support; Resource suggestions</w:t>
            </w:r>
          </w:p>
        </w:tc>
        <w:tc>
          <w:tcPr/>
          <w:p>
            <w:pPr>
              <w:pStyle w:val="Compact"/>
            </w:pPr>
            <w:r>
              <w:t xml:space="preserve">Stadler et al. (2024); Kumar et al. (2024); Swaroop et al. (2024)</w:t>
            </w:r>
          </w:p>
        </w:tc>
      </w:tr>
    </w:tbl>
    <w:bookmarkEnd w:id="38"/>
    <w:bookmarkEnd w:id="39"/>
    <w:p>
      <w:r>
        <w:br w:type="page"/>
      </w:r>
    </w:p>
    <w:bookmarkStart w:id="101" w:name="references"/>
    <w:p>
      <w:pPr>
        <w:pStyle w:val="Heading2"/>
      </w:pPr>
      <w:r>
        <w:t xml:space="preserve">References</w:t>
      </w:r>
    </w:p>
    <w:bookmarkStart w:id="100" w:name="refs"/>
    <w:bookmarkStart w:id="41" w:name="ref-banerjeeLearningGuideHuman2024"/>
    <w:p>
      <w:pPr>
        <w:pStyle w:val="Bibliography"/>
      </w:pPr>
      <w:r>
        <w:t xml:space="preserve">Banerjee, D., Teso, S., Sayin, B., &amp; Passerini, A. (2024).</w:t>
      </w:r>
      <w:r>
        <w:t xml:space="preserve"> </w:t>
      </w:r>
      <w:r>
        <w:rPr>
          <w:i/>
          <w:iCs/>
        </w:rPr>
        <w:t xml:space="preserve">Learning</w:t>
      </w:r>
      <w:r>
        <w:rPr>
          <w:i/>
          <w:iCs/>
        </w:rPr>
        <w:t xml:space="preserve"> </w:t>
      </w:r>
      <w:r>
        <w:rPr>
          <w:i/>
          <w:iCs/>
        </w:rPr>
        <w:t xml:space="preserve">To Guide Human Decision Makers With Vision-Language Models</w:t>
      </w:r>
      <w:r>
        <w:t xml:space="preserve"> </w:t>
      </w:r>
      <w:r>
        <w:t xml:space="preserve">(arXiv:2403.16501). arXiv.</w:t>
      </w:r>
      <w:r>
        <w:t xml:space="preserve"> </w:t>
      </w:r>
      <w:hyperlink r:id="rId40">
        <w:r>
          <w:rPr>
            <w:rStyle w:val="Hyperlink"/>
          </w:rPr>
          <w:t xml:space="preserve">https://arxiv.org/abs/2403.16501</w:t>
        </w:r>
      </w:hyperlink>
    </w:p>
    <w:bookmarkEnd w:id="41"/>
    <w:bookmarkStart w:id="43"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42">
        <w:r>
          <w:rPr>
            <w:rStyle w:val="Hyperlink"/>
          </w:rPr>
          <w:t xml:space="preserve">https://doi.org/10.1007/s42113-022-00149-y</w:t>
        </w:r>
      </w:hyperlink>
    </w:p>
    <w:bookmarkEnd w:id="43"/>
    <w:bookmarkStart w:id="45"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44">
        <w:r>
          <w:rPr>
            <w:rStyle w:val="Hyperlink"/>
          </w:rPr>
          <w:t xml:space="preserve">https://doi.org/10.1037/xge0001607</w:t>
        </w:r>
      </w:hyperlink>
    </w:p>
    <w:bookmarkEnd w:id="45"/>
    <w:bookmarkStart w:id="47"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46">
        <w:r>
          <w:rPr>
            <w:rStyle w:val="Hyperlink"/>
          </w:rPr>
          <w:t xml:space="preserve">https://doi.org/10.3389/fpsyg.2023.1208019</w:t>
        </w:r>
      </w:hyperlink>
    </w:p>
    <w:bookmarkEnd w:id="47"/>
    <w:bookmarkStart w:id="49"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48">
        <w:r>
          <w:rPr>
            <w:rStyle w:val="Hyperlink"/>
          </w:rPr>
          <w:t xml:space="preserve">https://doi.org/10.1145/3449287</w:t>
        </w:r>
      </w:hyperlink>
    </w:p>
    <w:bookmarkEnd w:id="49"/>
    <w:bookmarkStart w:id="51"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50">
        <w:r>
          <w:rPr>
            <w:rStyle w:val="Hyperlink"/>
          </w:rPr>
          <w:t xml:space="preserve">https://doi.org/10.1038/s41562-024-01959-9</w:t>
        </w:r>
      </w:hyperlink>
    </w:p>
    <w:bookmarkEnd w:id="51"/>
    <w:bookmarkStart w:id="53"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52">
        <w:r>
          <w:rPr>
            <w:rStyle w:val="Hyperlink"/>
          </w:rPr>
          <w:t xml:space="preserve">https://doi.org/10.1145/3640543.3645199</w:t>
        </w:r>
      </w:hyperlink>
    </w:p>
    <w:bookmarkEnd w:id="53"/>
    <w:bookmarkStart w:id="54"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54"/>
    <w:bookmarkStart w:id="56"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55">
        <w:r>
          <w:rPr>
            <w:rStyle w:val="Hyperlink"/>
          </w:rPr>
          <w:t xml:space="preserve">https://doi.org/10.1038/s41562-024-01991-9</w:t>
        </w:r>
      </w:hyperlink>
    </w:p>
    <w:bookmarkEnd w:id="56"/>
    <w:bookmarkStart w:id="58"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57">
        <w:r>
          <w:rPr>
            <w:rStyle w:val="Hyperlink"/>
          </w:rPr>
          <w:t xml:space="preserve">https://doi.org/10.1016/j.patter.2024.101074</w:t>
        </w:r>
      </w:hyperlink>
    </w:p>
    <w:bookmarkEnd w:id="58"/>
    <w:bookmarkStart w:id="60" w:name="ref-gaoMemorySharingLarge2024"/>
    <w:p>
      <w:pPr>
        <w:pStyle w:val="Bibliography"/>
      </w:pPr>
      <w:r>
        <w:t xml:space="preserve">Gao, H., &amp; Zhang, Y. (2024).</w:t>
      </w:r>
      <w:r>
        <w:t xml:space="preserve"> </w:t>
      </w:r>
      <w:r>
        <w:rPr>
          <w:i/>
          <w:iCs/>
        </w:rPr>
        <w:t xml:space="preserve">Memory</w:t>
      </w:r>
      <w:r>
        <w:rPr>
          <w:i/>
          <w:iCs/>
        </w:rPr>
        <w:t xml:space="preserve"> </w:t>
      </w:r>
      <w:r>
        <w:rPr>
          <w:i/>
          <w:iCs/>
        </w:rPr>
        <w:t xml:space="preserve">Sharing</w:t>
      </w:r>
      <w:r>
        <w:rPr>
          <w:i/>
          <w:iCs/>
        </w:rPr>
        <w:t xml:space="preserve"> </w:t>
      </w:r>
      <w:r>
        <w:rPr>
          <w:i/>
          <w:iCs/>
        </w:rPr>
        <w:t xml:space="preserve">for</w:t>
      </w:r>
      <w:r>
        <w:rPr>
          <w:i/>
          <w:iCs/>
        </w:rPr>
        <w:t xml:space="preserve"> </w:t>
      </w:r>
      <w:r>
        <w:rPr>
          <w:i/>
          <w:iCs/>
        </w:rPr>
        <w:t xml:space="preserve">Large Language Model</w:t>
      </w:r>
      <w:r>
        <w:rPr>
          <w:i/>
          <w:iCs/>
        </w:rPr>
        <w:t xml:space="preserve"> </w:t>
      </w:r>
      <w:r>
        <w:rPr>
          <w:i/>
          <w:iCs/>
        </w:rPr>
        <w:t xml:space="preserve">based</w:t>
      </w:r>
      <w:r>
        <w:rPr>
          <w:i/>
          <w:iCs/>
        </w:rPr>
        <w:t xml:space="preserve"> </w:t>
      </w:r>
      <w:r>
        <w:rPr>
          <w:i/>
          <w:iCs/>
        </w:rPr>
        <w:t xml:space="preserve">Agents</w:t>
      </w:r>
      <w:r>
        <w:t xml:space="preserve"> </w:t>
      </w:r>
      <w:r>
        <w:t xml:space="preserve">(arXiv:2404.09982). arXiv.</w:t>
      </w:r>
      <w:r>
        <w:t xml:space="preserve"> </w:t>
      </w:r>
      <w:hyperlink r:id="rId59">
        <w:r>
          <w:rPr>
            <w:rStyle w:val="Hyperlink"/>
          </w:rPr>
          <w:t xml:space="preserve">https://arxiv.org/abs/2404.09982</w:t>
        </w:r>
      </w:hyperlink>
    </w:p>
    <w:bookmarkEnd w:id="60"/>
    <w:bookmarkStart w:id="62" w:name="ref-koehlMeasuringLatentTrust2023"/>
    <w:p>
      <w:pPr>
        <w:pStyle w:val="Bibliography"/>
      </w:pPr>
      <w:r>
        <w:t xml:space="preserve">Koehl, D., &amp; Vangsness, L. (2023). Measuring</w:t>
      </w:r>
      <w:r>
        <w:t xml:space="preserve"> </w:t>
      </w:r>
      <w:r>
        <w:t xml:space="preserve">Latent Trust Patterns</w:t>
      </w:r>
      <w:r>
        <w:t xml:space="preserve"> </w:t>
      </w:r>
      <w:r>
        <w:t xml:space="preserve">in</w:t>
      </w:r>
      <w:r>
        <w:t xml:space="preserve"> </w:t>
      </w:r>
      <w:r>
        <w:t xml:space="preserve">Large Language Models</w:t>
      </w:r>
      <w:r>
        <w:t xml:space="preserve"> </w:t>
      </w:r>
      <w:r>
        <w:t xml:space="preserve">in the</w:t>
      </w:r>
      <w:r>
        <w:t xml:space="preserve"> </w:t>
      </w:r>
      <w:r>
        <w:t xml:space="preserve">Context</w:t>
      </w:r>
      <w:r>
        <w:t xml:space="preserve"> </w:t>
      </w:r>
      <w:r>
        <w:t xml:space="preserve">of</w:t>
      </w:r>
      <w:r>
        <w:t xml:space="preserve"> </w:t>
      </w:r>
      <w:r>
        <w:t xml:space="preserve">Human-AI Teaming</w:t>
      </w:r>
      <w:r>
        <w:t xml:space="preserve">.</w:t>
      </w:r>
      <w:r>
        <w:t xml:space="preserve"> </w:t>
      </w:r>
      <w:r>
        <w:rPr>
          <w:i/>
          <w:iCs/>
        </w:rPr>
        <w:t xml:space="preserve">Proceedings of the Human Factors and Ergonomics Society Annual Meeting</w:t>
      </w:r>
      <w:r>
        <w:t xml:space="preserve">,</w:t>
      </w:r>
      <w:r>
        <w:t xml:space="preserve"> </w:t>
      </w:r>
      <w:r>
        <w:rPr>
          <w:i/>
          <w:iCs/>
        </w:rPr>
        <w:t xml:space="preserve">67</w:t>
      </w:r>
      <w:r>
        <w:t xml:space="preserve">.</w:t>
      </w:r>
      <w:r>
        <w:t xml:space="preserve"> </w:t>
      </w:r>
      <w:hyperlink r:id="rId61">
        <w:r>
          <w:rPr>
            <w:rStyle w:val="Hyperlink"/>
          </w:rPr>
          <w:t xml:space="preserve">https://doi.org/10.1177/21695067231192869</w:t>
        </w:r>
      </w:hyperlink>
    </w:p>
    <w:bookmarkEnd w:id="62"/>
    <w:bookmarkStart w:id="64"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63">
        <w:r>
          <w:rPr>
            <w:rStyle w:val="Hyperlink"/>
          </w:rPr>
          <w:t xml:space="preserve">https://doi.org/10.31234/osf.io/seqjr</w:t>
        </w:r>
      </w:hyperlink>
    </w:p>
    <w:bookmarkEnd w:id="64"/>
    <w:bookmarkStart w:id="66" w:name="ref-laiScienceHumanAIDecision2023"/>
    <w:p>
      <w:pPr>
        <w:pStyle w:val="Bibliography"/>
      </w:pPr>
      <w:r>
        <w:t xml:space="preserve">Lai, V., Chen, C., Smith-Renner, A., Liao, Q. V., &amp; Tan, C. (2023). Towards a</w:t>
      </w:r>
      <w:r>
        <w:t xml:space="preserve"> </w:t>
      </w:r>
      <w:r>
        <w:t xml:space="preserve">Science</w:t>
      </w:r>
      <w:r>
        <w:t xml:space="preserve"> </w:t>
      </w:r>
      <w:r>
        <w:t xml:space="preserve">of</w:t>
      </w:r>
      <w:r>
        <w:t xml:space="preserve"> </w:t>
      </w:r>
      <w:r>
        <w:t xml:space="preserve">Human-AI Decision Making</w:t>
      </w:r>
      <w:r>
        <w:t xml:space="preserve">:</w:t>
      </w:r>
      <w:r>
        <w:t xml:space="preserve"> </w:t>
      </w:r>
      <w:r>
        <w:t xml:space="preserve">An Overview</w:t>
      </w:r>
      <w:r>
        <w:t xml:space="preserve"> </w:t>
      </w:r>
      <w:r>
        <w:t xml:space="preserve">of</w:t>
      </w:r>
      <w:r>
        <w:t xml:space="preserve"> </w:t>
      </w:r>
      <w:r>
        <w:t xml:space="preserve">Design Space</w:t>
      </w:r>
      <w:r>
        <w:t xml:space="preserve"> </w:t>
      </w:r>
      <w:r>
        <w:t xml:space="preserve">in</w:t>
      </w:r>
      <w:r>
        <w:t xml:space="preserve"> </w:t>
      </w:r>
      <w:r>
        <w:t xml:space="preserve">Empirical Human-Subject Studies</w:t>
      </w:r>
      <w:r>
        <w:t xml:space="preserve">.</w:t>
      </w:r>
      <w:r>
        <w:t xml:space="preserve"> </w:t>
      </w:r>
      <w:r>
        <w:rPr>
          <w:i/>
          <w:iCs/>
        </w:rPr>
        <w:t xml:space="preserve">2023</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1369–1385.</w:t>
      </w:r>
      <w:r>
        <w:t xml:space="preserve"> </w:t>
      </w:r>
      <w:hyperlink r:id="rId65">
        <w:r>
          <w:rPr>
            <w:rStyle w:val="Hyperlink"/>
          </w:rPr>
          <w:t xml:space="preserve">https://doi.org/10.1145/3593013.3594087</w:t>
        </w:r>
      </w:hyperlink>
    </w:p>
    <w:bookmarkEnd w:id="66"/>
    <w:bookmarkStart w:id="68"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67">
        <w:r>
          <w:rPr>
            <w:rStyle w:val="Hyperlink"/>
          </w:rPr>
          <w:t xml:space="preserve">https://doi.org/10.1609/hcomp.v12i1.31604</w:t>
        </w:r>
      </w:hyperlink>
    </w:p>
    <w:bookmarkEnd w:id="68"/>
    <w:bookmarkStart w:id="70"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69">
        <w:r>
          <w:rPr>
            <w:rStyle w:val="Hyperlink"/>
          </w:rPr>
          <w:t xml:space="preserve">https://arxiv.org/abs/2403.16812</w:t>
        </w:r>
      </w:hyperlink>
    </w:p>
    <w:bookmarkEnd w:id="70"/>
    <w:bookmarkStart w:id="71"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71"/>
    <w:bookmarkStart w:id="73"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72">
        <w:r>
          <w:rPr>
            <w:rStyle w:val="Hyperlink"/>
          </w:rPr>
          <w:t xml:space="preserve">https://doi.org/10.1016/j.chb.2023.107874</w:t>
        </w:r>
      </w:hyperlink>
    </w:p>
    <w:bookmarkEnd w:id="73"/>
    <w:bookmarkStart w:id="75"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74">
        <w:r>
          <w:rPr>
            <w:rStyle w:val="Hyperlink"/>
          </w:rPr>
          <w:t xml:space="preserve">https://doi.org/10.1145/3600211.3604709</w:t>
        </w:r>
      </w:hyperlink>
    </w:p>
    <w:bookmarkEnd w:id="75"/>
    <w:bookmarkStart w:id="77"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76">
        <w:r>
          <w:rPr>
            <w:rStyle w:val="Hyperlink"/>
          </w:rPr>
          <w:t xml:space="preserve">https://doi.org/10.1111/jpr.12552</w:t>
        </w:r>
      </w:hyperlink>
    </w:p>
    <w:bookmarkEnd w:id="77"/>
    <w:bookmarkStart w:id="79"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78">
        <w:r>
          <w:rPr>
            <w:rStyle w:val="Hyperlink"/>
          </w:rPr>
          <w:t xml:space="preserve">https://doi.org/10.1609/aaaiss.v3i1.31202</w:t>
        </w:r>
      </w:hyperlink>
    </w:p>
    <w:bookmarkEnd w:id="79"/>
    <w:bookmarkStart w:id="81"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80">
        <w:r>
          <w:rPr>
            <w:rStyle w:val="Hyperlink"/>
          </w:rPr>
          <w:t xml:space="preserve">https://doi.org/10.1609/hcomp.v11i1.27554</w:t>
        </w:r>
      </w:hyperlink>
    </w:p>
    <w:bookmarkEnd w:id="81"/>
    <w:bookmarkStart w:id="83"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82">
        <w:r>
          <w:rPr>
            <w:rStyle w:val="Hyperlink"/>
          </w:rPr>
          <w:t xml:space="preserve">https://doi.org/10.1145/3677081</w:t>
        </w:r>
      </w:hyperlink>
    </w:p>
    <w:bookmarkEnd w:id="83"/>
    <w:bookmarkStart w:id="85"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84">
        <w:r>
          <w:rPr>
            <w:rStyle w:val="Hyperlink"/>
          </w:rPr>
          <w:t xml:space="preserve">https://doi.org/10.1016/j.chb.2024.108386</w:t>
        </w:r>
      </w:hyperlink>
    </w:p>
    <w:bookmarkEnd w:id="85"/>
    <w:bookmarkStart w:id="87" w:name="Xe4585d6c15d75f97831572521e6227dd81d6115"/>
    <w:p>
      <w:pPr>
        <w:pStyle w:val="Bibliography"/>
      </w:pPr>
      <w:r>
        <w:t xml:space="preserve">Steyvers, M., &amp; Kumar, A. (2024). Three</w:t>
      </w:r>
      <w:r>
        <w:t xml:space="preserve"> </w:t>
      </w:r>
      <w:r>
        <w:t xml:space="preserve">Challenges</w:t>
      </w:r>
      <w:r>
        <w:t xml:space="preserve"> </w:t>
      </w:r>
      <w:r>
        <w:t xml:space="preserve">for</w:t>
      </w:r>
      <w:r>
        <w:t xml:space="preserve"> </w:t>
      </w:r>
      <w:r>
        <w:t xml:space="preserve">AI-Assisted Decision-Making</w:t>
      </w:r>
      <w:r>
        <w:t xml:space="preserve">.</w:t>
      </w:r>
      <w:r>
        <w:t xml:space="preserve"> </w:t>
      </w:r>
      <w:r>
        <w:rPr>
          <w:i/>
          <w:iCs/>
        </w:rPr>
        <w:t xml:space="preserve">Perspectives on Psychological Science</w:t>
      </w:r>
      <w:r>
        <w:t xml:space="preserve">,</w:t>
      </w:r>
      <w:r>
        <w:t xml:space="preserve"> </w:t>
      </w:r>
      <w:r>
        <w:rPr>
          <w:i/>
          <w:iCs/>
        </w:rPr>
        <w:t xml:space="preserve">19</w:t>
      </w:r>
      <w:r>
        <w:t xml:space="preserve">(5), 722–734.</w:t>
      </w:r>
      <w:r>
        <w:t xml:space="preserve"> </w:t>
      </w:r>
      <w:hyperlink r:id="rId86">
        <w:r>
          <w:rPr>
            <w:rStyle w:val="Hyperlink"/>
          </w:rPr>
          <w:t xml:space="preserve">https://doi.org/10.1177/17456916231181102</w:t>
        </w:r>
      </w:hyperlink>
    </w:p>
    <w:bookmarkEnd w:id="87"/>
    <w:bookmarkStart w:id="89"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88">
        <w:r>
          <w:rPr>
            <w:rStyle w:val="Hyperlink"/>
          </w:rPr>
          <w:t xml:space="preserve">https://doi.org/10.1126/science.adq2852</w:t>
        </w:r>
      </w:hyperlink>
    </w:p>
    <w:bookmarkEnd w:id="89"/>
    <w:bookmarkStart w:id="91"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90">
        <w:r>
          <w:rPr>
            <w:rStyle w:val="Hyperlink"/>
          </w:rPr>
          <w:t xml:space="preserve">https://doi.org/10.31234/osf.io/m4yad</w:t>
        </w:r>
      </w:hyperlink>
    </w:p>
    <w:bookmarkEnd w:id="91"/>
    <w:bookmarkStart w:id="93"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92">
        <w:r>
          <w:rPr>
            <w:rStyle w:val="Hyperlink"/>
          </w:rPr>
          <w:t xml:space="preserve">https://doi.org/10.1007/978-1-4612-4634-3_9</w:t>
        </w:r>
      </w:hyperlink>
    </w:p>
    <w:bookmarkEnd w:id="93"/>
    <w:bookmarkStart w:id="95"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94">
        <w:r>
          <w:rPr>
            <w:rStyle w:val="Hyperlink"/>
          </w:rPr>
          <w:t xml:space="preserve">https://doi.org/10.1016/j.chb.2023.107714</w:t>
        </w:r>
      </w:hyperlink>
    </w:p>
    <w:bookmarkEnd w:id="95"/>
    <w:bookmarkStart w:id="97"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96">
        <w:r>
          <w:rPr>
            <w:rStyle w:val="Hyperlink"/>
          </w:rPr>
          <w:t xml:space="preserve">https://doi.org/10.1145/3659625</w:t>
        </w:r>
      </w:hyperlink>
    </w:p>
    <w:bookmarkEnd w:id="97"/>
    <w:bookmarkStart w:id="99"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98">
        <w:r>
          <w:rPr>
            <w:rStyle w:val="Hyperlink"/>
          </w:rPr>
          <w:t xml:space="preserve">https://arxiv.org/abs/2405.19313</w:t>
        </w:r>
      </w:hyperlink>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arxiv.org/abs/2403.16501" TargetMode="External" /><Relationship Type="http://schemas.openxmlformats.org/officeDocument/2006/relationships/hyperlink" Id="rId69" Target="https://arxiv.org/abs/2403.16812" TargetMode="External" /><Relationship Type="http://schemas.openxmlformats.org/officeDocument/2006/relationships/hyperlink" Id="rId59" Target="https://arxiv.org/abs/2404.09982" TargetMode="External" /><Relationship Type="http://schemas.openxmlformats.org/officeDocument/2006/relationships/hyperlink" Id="rId98" Target="https://arxiv.org/abs/2405.19313" TargetMode="External" /><Relationship Type="http://schemas.openxmlformats.org/officeDocument/2006/relationships/hyperlink" Id="rId92" Target="https://doi.org/10.1007/978-1-4612-4634-3_9" TargetMode="External" /><Relationship Type="http://schemas.openxmlformats.org/officeDocument/2006/relationships/hyperlink" Id="rId42" Target="https://doi.org/10.1007/s42113-022-00149-y" TargetMode="External" /><Relationship Type="http://schemas.openxmlformats.org/officeDocument/2006/relationships/hyperlink" Id="rId94" Target="https://doi.org/10.1016/j.chb.2023.107714" TargetMode="External" /><Relationship Type="http://schemas.openxmlformats.org/officeDocument/2006/relationships/hyperlink" Id="rId72" Target="https://doi.org/10.1016/j.chb.2023.107874" TargetMode="External" /><Relationship Type="http://schemas.openxmlformats.org/officeDocument/2006/relationships/hyperlink" Id="rId84" Target="https://doi.org/10.1016/j.chb.2024.108386" TargetMode="External" /><Relationship Type="http://schemas.openxmlformats.org/officeDocument/2006/relationships/hyperlink" Id="rId57" Target="https://doi.org/10.1016/j.patter.2024.101074" TargetMode="External" /><Relationship Type="http://schemas.openxmlformats.org/officeDocument/2006/relationships/hyperlink" Id="rId44" Target="https://doi.org/10.1037/xge0001607" TargetMode="External" /><Relationship Type="http://schemas.openxmlformats.org/officeDocument/2006/relationships/hyperlink" Id="rId50" Target="https://doi.org/10.1038/s41562-024-01959-9" TargetMode="External" /><Relationship Type="http://schemas.openxmlformats.org/officeDocument/2006/relationships/hyperlink" Id="rId55" Target="https://doi.org/10.1038/s41562-024-01991-9" TargetMode="External" /><Relationship Type="http://schemas.openxmlformats.org/officeDocument/2006/relationships/hyperlink" Id="rId76" Target="https://doi.org/10.1111/jpr.12552" TargetMode="External" /><Relationship Type="http://schemas.openxmlformats.org/officeDocument/2006/relationships/hyperlink" Id="rId88" Target="https://doi.org/10.1126/science.adq2852" TargetMode="External" /><Relationship Type="http://schemas.openxmlformats.org/officeDocument/2006/relationships/hyperlink" Id="rId48" Target="https://doi.org/10.1145/3449287" TargetMode="External" /><Relationship Type="http://schemas.openxmlformats.org/officeDocument/2006/relationships/hyperlink" Id="rId65" Target="https://doi.org/10.1145/3593013.3594087" TargetMode="External" /><Relationship Type="http://schemas.openxmlformats.org/officeDocument/2006/relationships/hyperlink" Id="rId74" Target="https://doi.org/10.1145/3600211.3604709" TargetMode="External" /><Relationship Type="http://schemas.openxmlformats.org/officeDocument/2006/relationships/hyperlink" Id="rId52" Target="https://doi.org/10.1145/3640543.3645199" TargetMode="External" /><Relationship Type="http://schemas.openxmlformats.org/officeDocument/2006/relationships/hyperlink" Id="rId96" Target="https://doi.org/10.1145/3659625" TargetMode="External" /><Relationship Type="http://schemas.openxmlformats.org/officeDocument/2006/relationships/hyperlink" Id="rId82" Target="https://doi.org/10.1145/3677081" TargetMode="External" /><Relationship Type="http://schemas.openxmlformats.org/officeDocument/2006/relationships/hyperlink" Id="rId86" Target="https://doi.org/10.1177/17456916231181102" TargetMode="External" /><Relationship Type="http://schemas.openxmlformats.org/officeDocument/2006/relationships/hyperlink" Id="rId61" Target="https://doi.org/10.1177/21695067231192869" TargetMode="External" /><Relationship Type="http://schemas.openxmlformats.org/officeDocument/2006/relationships/hyperlink" Id="rId78" Target="https://doi.org/10.1609/aaaiss.v3i1.31202" TargetMode="External" /><Relationship Type="http://schemas.openxmlformats.org/officeDocument/2006/relationships/hyperlink" Id="rId80" Target="https://doi.org/10.1609/hcomp.v11i1.27554" TargetMode="External" /><Relationship Type="http://schemas.openxmlformats.org/officeDocument/2006/relationships/hyperlink" Id="rId67" Target="https://doi.org/10.1609/hcomp.v12i1.31604" TargetMode="External" /><Relationship Type="http://schemas.openxmlformats.org/officeDocument/2006/relationships/hyperlink" Id="rId90" Target="https://doi.org/10.31234/osf.io/m4yad" TargetMode="External" /><Relationship Type="http://schemas.openxmlformats.org/officeDocument/2006/relationships/hyperlink" Id="rId63" Target="https://doi.org/10.31234/osf.io/seqjr" TargetMode="External" /><Relationship Type="http://schemas.openxmlformats.org/officeDocument/2006/relationships/hyperlink" Id="rId46" Target="https://doi.org/10.3389/fpsyg.2023.1208019" TargetMode="External" /></Relationships>
</file>

<file path=word/_rels/footnotes.xml.rels><?xml version="1.0" encoding="UTF-8"?><Relationships xmlns="http://schemas.openxmlformats.org/package/2006/relationships"><Relationship Type="http://schemas.openxmlformats.org/officeDocument/2006/relationships/hyperlink" Id="rId40" Target="https://arxiv.org/abs/2403.16501" TargetMode="External" /><Relationship Type="http://schemas.openxmlformats.org/officeDocument/2006/relationships/hyperlink" Id="rId69" Target="https://arxiv.org/abs/2403.16812" TargetMode="External" /><Relationship Type="http://schemas.openxmlformats.org/officeDocument/2006/relationships/hyperlink" Id="rId59" Target="https://arxiv.org/abs/2404.09982" TargetMode="External" /><Relationship Type="http://schemas.openxmlformats.org/officeDocument/2006/relationships/hyperlink" Id="rId98" Target="https://arxiv.org/abs/2405.19313" TargetMode="External" /><Relationship Type="http://schemas.openxmlformats.org/officeDocument/2006/relationships/hyperlink" Id="rId92" Target="https://doi.org/10.1007/978-1-4612-4634-3_9" TargetMode="External" /><Relationship Type="http://schemas.openxmlformats.org/officeDocument/2006/relationships/hyperlink" Id="rId42" Target="https://doi.org/10.1007/s42113-022-00149-y" TargetMode="External" /><Relationship Type="http://schemas.openxmlformats.org/officeDocument/2006/relationships/hyperlink" Id="rId94" Target="https://doi.org/10.1016/j.chb.2023.107714" TargetMode="External" /><Relationship Type="http://schemas.openxmlformats.org/officeDocument/2006/relationships/hyperlink" Id="rId72" Target="https://doi.org/10.1016/j.chb.2023.107874" TargetMode="External" /><Relationship Type="http://schemas.openxmlformats.org/officeDocument/2006/relationships/hyperlink" Id="rId84" Target="https://doi.org/10.1016/j.chb.2024.108386" TargetMode="External" /><Relationship Type="http://schemas.openxmlformats.org/officeDocument/2006/relationships/hyperlink" Id="rId57" Target="https://doi.org/10.1016/j.patter.2024.101074" TargetMode="External" /><Relationship Type="http://schemas.openxmlformats.org/officeDocument/2006/relationships/hyperlink" Id="rId44" Target="https://doi.org/10.1037/xge0001607" TargetMode="External" /><Relationship Type="http://schemas.openxmlformats.org/officeDocument/2006/relationships/hyperlink" Id="rId50" Target="https://doi.org/10.1038/s41562-024-01959-9" TargetMode="External" /><Relationship Type="http://schemas.openxmlformats.org/officeDocument/2006/relationships/hyperlink" Id="rId55" Target="https://doi.org/10.1038/s41562-024-01991-9" TargetMode="External" /><Relationship Type="http://schemas.openxmlformats.org/officeDocument/2006/relationships/hyperlink" Id="rId76" Target="https://doi.org/10.1111/jpr.12552" TargetMode="External" /><Relationship Type="http://schemas.openxmlformats.org/officeDocument/2006/relationships/hyperlink" Id="rId88" Target="https://doi.org/10.1126/science.adq2852" TargetMode="External" /><Relationship Type="http://schemas.openxmlformats.org/officeDocument/2006/relationships/hyperlink" Id="rId48" Target="https://doi.org/10.1145/3449287" TargetMode="External" /><Relationship Type="http://schemas.openxmlformats.org/officeDocument/2006/relationships/hyperlink" Id="rId65" Target="https://doi.org/10.1145/3593013.3594087" TargetMode="External" /><Relationship Type="http://schemas.openxmlformats.org/officeDocument/2006/relationships/hyperlink" Id="rId74" Target="https://doi.org/10.1145/3600211.3604709" TargetMode="External" /><Relationship Type="http://schemas.openxmlformats.org/officeDocument/2006/relationships/hyperlink" Id="rId52" Target="https://doi.org/10.1145/3640543.3645199" TargetMode="External" /><Relationship Type="http://schemas.openxmlformats.org/officeDocument/2006/relationships/hyperlink" Id="rId96" Target="https://doi.org/10.1145/3659625" TargetMode="External" /><Relationship Type="http://schemas.openxmlformats.org/officeDocument/2006/relationships/hyperlink" Id="rId82" Target="https://doi.org/10.1145/3677081" TargetMode="External" /><Relationship Type="http://schemas.openxmlformats.org/officeDocument/2006/relationships/hyperlink" Id="rId86" Target="https://doi.org/10.1177/17456916231181102" TargetMode="External" /><Relationship Type="http://schemas.openxmlformats.org/officeDocument/2006/relationships/hyperlink" Id="rId61" Target="https://doi.org/10.1177/21695067231192869" TargetMode="External" /><Relationship Type="http://schemas.openxmlformats.org/officeDocument/2006/relationships/hyperlink" Id="rId78" Target="https://doi.org/10.1609/aaaiss.v3i1.31202" TargetMode="External" /><Relationship Type="http://schemas.openxmlformats.org/officeDocument/2006/relationships/hyperlink" Id="rId80" Target="https://doi.org/10.1609/hcomp.v11i1.27554" TargetMode="External" /><Relationship Type="http://schemas.openxmlformats.org/officeDocument/2006/relationships/hyperlink" Id="rId67" Target="https://doi.org/10.1609/hcomp.v12i1.31604" TargetMode="External" /><Relationship Type="http://schemas.openxmlformats.org/officeDocument/2006/relationships/hyperlink" Id="rId90" Target="https://doi.org/10.31234/osf.io/m4yad" TargetMode="External" /><Relationship Type="http://schemas.openxmlformats.org/officeDocument/2006/relationships/hyperlink" Id="rId63" Target="https://doi.org/10.31234/osf.io/seqjr" TargetMode="External" /><Relationship Type="http://schemas.openxmlformats.org/officeDocument/2006/relationships/hyperlink" Id="rId46" Target="https://doi.org/10.3389/fpsyg.2023.1208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2024-11-18T10:46:15Z</dcterms:created>
  <dcterms:modified xsi:type="dcterms:W3CDTF">2024-11-18T10:46:15Z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