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bookmarkEnd w:id="20"/>
    <w:bookmarkStart w:id="28" w:name="inputs"/>
    <w:p>
      <w:pPr>
        <w:pStyle w:val="Heading2"/>
      </w:pPr>
      <w:r>
        <w:t xml:space="preserve">Inputs</w:t>
      </w:r>
    </w:p>
    <w:bookmarkStart w:id="24"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numPr>
          <w:ilvl w:val="0"/>
          <w:numId w:val="1002"/>
        </w:numPr>
      </w:pPr>
      <w:r>
        <w:t xml:space="preserve">AI can help identify missing expertise or knowledge within a group</w:t>
      </w:r>
    </w:p>
    <w:p>
      <w:pPr>
        <w:numPr>
          <w:ilvl w:val="0"/>
          <w:numId w:val="1002"/>
        </w:numPr>
      </w:pPr>
      <w:r>
        <w:t xml:space="preserve">diversity in human-AI teams, considering both human and AI characteristics (Cui &amp; Yasseri, 2024).</w:t>
      </w:r>
    </w:p>
    <w:p>
      <w:pPr>
        <w:numPr>
          <w:ilvl w:val="0"/>
          <w:numId w:val="1002"/>
        </w:numPr>
      </w:pPr>
      <w:r>
        <w:t xml:space="preserve">When and how AI might be assigned leadership or specialized roles (Guo et al., 2024)</w:t>
      </w:r>
    </w:p>
    <w:p>
      <w:pPr>
        <w:pStyle w:val="CaptionedFigure"/>
      </w:pPr>
      <w:r>
        <w:drawing>
          <wp:inline>
            <wp:extent cx="5600700" cy="2874228"/>
            <wp:effectExtent b="0" l="0" r="0" t="0"/>
            <wp:docPr descr="Framework" title="" id="22" name="Picture"/>
            <a:graphic>
              <a:graphicData uri="http://schemas.openxmlformats.org/drawingml/2006/picture">
                <pic:pic>
                  <pic:nvPicPr>
                    <pic:cNvPr descr="Assets/ipo.png" id="23" name="Picture"/>
                    <pic:cNvPicPr>
                      <a:picLocks noChangeArrowheads="1" noChangeAspect="1"/>
                    </pic:cNvPicPr>
                  </pic:nvPicPr>
                  <pic:blipFill>
                    <a:blip r:embed="rId21"/>
                    <a:stretch>
                      <a:fillRect/>
                    </a:stretch>
                  </pic:blipFill>
                  <pic:spPr bwMode="auto">
                    <a:xfrm>
                      <a:off x="0" y="0"/>
                      <a:ext cx="5600700" cy="2874228"/>
                    </a:xfrm>
                    <a:prstGeom prst="rect">
                      <a:avLst/>
                    </a:prstGeom>
                    <a:noFill/>
                    <a:ln w="9525">
                      <a:noFill/>
                      <a:headEnd/>
                      <a:tailEnd/>
                    </a:ln>
                  </pic:spPr>
                </pic:pic>
              </a:graphicData>
            </a:graphic>
          </wp:inline>
        </w:drawing>
      </w:r>
    </w:p>
    <w:p>
      <w:pPr>
        <w:pStyle w:val="ImageCaption"/>
      </w:pPr>
      <w:r>
        <w:t xml:space="preserve">Framework</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3"/>
        </w:numPr>
      </w:pPr>
      <w:r>
        <w:t xml:space="preserve">(A. Kumar et al., 2024)</w:t>
      </w:r>
    </w:p>
    <w:p>
      <w:pPr>
        <w:pStyle w:val="Compact"/>
        <w:numPr>
          <w:ilvl w:val="0"/>
          <w:numId w:val="1003"/>
        </w:numPr>
      </w:pPr>
      <w:r>
        <w:t xml:space="preserve">(Lu et al., 2024)</w:t>
      </w:r>
    </w:p>
    <w:p>
      <w:pPr>
        <w:pStyle w:val="Compact"/>
        <w:numPr>
          <w:ilvl w:val="0"/>
          <w:numId w:val="1003"/>
        </w:numPr>
      </w:pPr>
      <w:r>
        <w:t xml:space="preserve">(McNeese et al., 2023)</w:t>
      </w:r>
    </w:p>
    <w:bookmarkEnd w:id="24"/>
    <w:bookmarkStart w:id="26"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5"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5"/>
    <w:bookmarkEnd w:id="26"/>
    <w:bookmarkStart w:id="27" w:name="Xdd531b6bee7bd44ebfe9cfc26e9bfde195ff1cd"/>
    <w:p>
      <w:pPr>
        <w:pStyle w:val="Heading3"/>
      </w:pPr>
      <w:r>
        <w:t xml:space="preserve">Initial Trust, Expertise Assumptions, and Biases</w:t>
      </w:r>
    </w:p>
    <w:p>
      <w:pPr>
        <w:numPr>
          <w:ilvl w:val="0"/>
          <w:numId w:val="1004"/>
        </w:numPr>
      </w:pPr>
      <w:r>
        <w:t xml:space="preserve">Trust Baselines: Pre-existing attitudes toward AI, perceived reliability, anthropomorphism (Cui &amp; Yasseri, 2024)</w:t>
      </w:r>
    </w:p>
    <w:p>
      <w:pPr>
        <w:numPr>
          <w:ilvl w:val="0"/>
          <w:numId w:val="1004"/>
        </w:numPr>
      </w:pPr>
      <w:r>
        <w:t xml:space="preserve">Bias and Training Data: Potential for AI to introduce or amplify biases from training corpora (Cecil et al., 2024; Bhatia, 2024)</w:t>
      </w:r>
    </w:p>
    <w:bookmarkEnd w:id="27"/>
    <w:bookmarkEnd w:id="28"/>
    <w:bookmarkStart w:id="34" w:name="information-processing"/>
    <w:p>
      <w:pPr>
        <w:pStyle w:val="Heading2"/>
      </w:pPr>
      <w:r>
        <w:t xml:space="preserve">Information Processing</w:t>
      </w:r>
    </w:p>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Start w:id="30"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5"/>
        </w:numPr>
      </w:pPr>
      <w:r>
        <w:t xml:space="preserve">(Yang et al., 2024)</w:t>
      </w:r>
    </w:p>
    <w:p>
      <w:pPr>
        <w:numPr>
          <w:ilvl w:val="0"/>
          <w:numId w:val="1005"/>
        </w:numPr>
      </w:pPr>
      <w:r>
        <w:t xml:space="preserve">(Ma et al., 2024)</w:t>
      </w:r>
    </w:p>
    <w:p>
      <w:pPr>
        <w:numPr>
          <w:ilvl w:val="0"/>
          <w:numId w:val="1005"/>
        </w:numPr>
      </w:pPr>
      <w:r>
        <w:t xml:space="preserve">(Radivojevic et al., 2024)</w:t>
      </w:r>
    </w:p>
    <w:p>
      <w:pPr>
        <w:numPr>
          <w:ilvl w:val="0"/>
          <w:numId w:val="1005"/>
        </w:numPr>
      </w:pPr>
      <w:r>
        <w:t xml:space="preserve">(Sidji et al., 2024)</w:t>
      </w:r>
    </w:p>
    <w:p>
      <w:pPr>
        <w:numPr>
          <w:ilvl w:val="0"/>
          <w:numId w:val="1005"/>
        </w:numPr>
      </w:pPr>
      <w:r>
        <w:t xml:space="preserve">(Nishida et al., 2024)</w:t>
      </w:r>
    </w:p>
    <w:p>
      <w:pPr>
        <w:numPr>
          <w:ilvl w:val="0"/>
          <w:numId w:val="1005"/>
        </w:numPr>
      </w:pPr>
      <w:r>
        <w:t xml:space="preserve">(Chuang et al., 2024)</w:t>
      </w:r>
    </w:p>
    <w:p>
      <w:pPr>
        <w:numPr>
          <w:ilvl w:val="0"/>
          <w:numId w:val="1005"/>
        </w:numPr>
      </w:pPr>
      <w:r>
        <w:t xml:space="preserve">AI-Mediated Communication: Smart replies, devil’s advocacy, and AI as a discussion facilitator (Chiang et al., 2024; Duan et al., 2025)</w:t>
      </w:r>
    </w:p>
    <w:p>
      <w:pPr>
        <w:numPr>
          <w:ilvl w:val="0"/>
          <w:numId w:val="1005"/>
        </w:numPr>
      </w:pPr>
      <w:r>
        <w:t xml:space="preserve">Transactive Memory and Shared Mental Models: How AI systems function as external knowledge repositories (Bienefeld et al., 2023; Narayanan &amp; Feigh, 2024)</w:t>
      </w:r>
    </w:p>
    <w:p>
      <w:pPr>
        <w:numPr>
          <w:ilvl w:val="0"/>
          <w:numId w:val="1005"/>
        </w:numPr>
      </w:pPr>
      <w:r>
        <w:t xml:space="preserve">chat-based collaboration (ChatCollab, Klieger et al., 2024)</w:t>
      </w:r>
    </w:p>
    <w:bookmarkEnd w:id="30"/>
    <w:bookmarkStart w:id="31" w:name="shared-mental-models"/>
    <w:p>
      <w:pPr>
        <w:pStyle w:val="Heading3"/>
      </w:pPr>
      <w:r>
        <w:t xml:space="preserve">Shared Mental Models</w:t>
      </w:r>
    </w:p>
    <w:p>
      <w:pPr>
        <w:numPr>
          <w:ilvl w:val="0"/>
          <w:numId w:val="1006"/>
        </w:numPr>
      </w:pPr>
      <w:r>
        <w:t xml:space="preserve">(Collins et al., 2024)</w:t>
      </w:r>
    </w:p>
    <w:p>
      <w:pPr>
        <w:numPr>
          <w:ilvl w:val="0"/>
          <w:numId w:val="1006"/>
        </w:numPr>
      </w:pPr>
      <w:r>
        <w:t xml:space="preserve">role of shared mental models in effective teamwork (N. J. McNeese et al., 2023; Narayanan &amp; Feigh, 2024).</w:t>
      </w:r>
    </w:p>
    <w:p>
      <w:pPr>
        <w:numPr>
          <w:ilvl w:val="0"/>
          <w:numId w:val="1006"/>
        </w:numPr>
      </w:pPr>
      <w:r>
        <w:t xml:space="preserve">challenge of developing shared mental models in human-AI teams due to the opacity of AI reasoning (Collins et al., 2024; S. Zhang et al., 2024).</w:t>
      </w:r>
    </w:p>
    <w:p>
      <w:pPr>
        <w:numPr>
          <w:ilvl w:val="0"/>
          <w:numId w:val="1006"/>
        </w:numPr>
      </w:pPr>
      <w:r>
        <w:t xml:space="preserve">potential solutions, such as increasing AI transparency, providing explanations, or using interactive interfaces (Chiang et al., 2024; Klieger et al., 2024; Ma et al., 2024; Sidji et al., 2024).</w:t>
      </w:r>
    </w:p>
    <w:p>
      <w:pPr>
        <w:numPr>
          <w:ilvl w:val="0"/>
          <w:numId w:val="1006"/>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p>
      <w:pPr>
        <w:pStyle w:val="BodyText"/>
      </w:pPr>
      <w:r>
        <w:t xml:space="preserve">…</w:t>
      </w:r>
    </w:p>
    <w:bookmarkEnd w:id="31"/>
    <w:bookmarkStart w:id="32"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7"/>
        </w:numPr>
      </w:pPr>
      <w:r>
        <w:t xml:space="preserve">Cognitive Load and Overreliance: Role of interface design in prompting deeper analytic thinking (Buçinca et al., 2021; Vodrahalli et al., 2022)</w:t>
      </w:r>
    </w:p>
    <w:p>
      <w:pPr>
        <w:numPr>
          <w:ilvl w:val="0"/>
          <w:numId w:val="1007"/>
        </w:numPr>
      </w:pPr>
      <w:r>
        <w:t xml:space="preserve">Cognitive offloading effects (Stadler et al., 2024)</w:t>
      </w:r>
    </w:p>
    <w:bookmarkEnd w:id="32"/>
    <w:bookmarkStart w:id="33"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3"/>
    <w:bookmarkEnd w:id="34"/>
    <w:bookmarkStart w:id="36" w:name="decision-making-output"/>
    <w:p>
      <w:pPr>
        <w:pStyle w:val="Heading2"/>
      </w:pPr>
      <w:r>
        <w:t xml:space="preserve">Decision-Making Output</w:t>
      </w:r>
    </w:p>
    <w:p>
      <w:pPr>
        <w:pStyle w:val="FirstParagraph"/>
      </w:pPr>
      <w:r>
        <w:t xml:space="preserve">..</w:t>
      </w:r>
    </w:p>
    <w:bookmarkStart w:id="35"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5"/>
    <w:bookmarkEnd w:id="36"/>
    <w:bookmarkStart w:id="41" w:name="trust-risk-and-reliance"/>
    <w:p>
      <w:pPr>
        <w:pStyle w:val="Heading2"/>
      </w:pPr>
      <w:r>
        <w:t xml:space="preserve">Trust, Risk and Reliance</w:t>
      </w:r>
    </w:p>
    <w:bookmarkStart w:id="37"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7"/>
    <w:bookmarkStart w:id="38"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8"/>
    <w:bookmarkStart w:id="39"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9"/>
    <w:bookmarkStart w:id="40"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0"/>
    <w:bookmarkEnd w:id="41"/>
    <w:bookmarkStart w:id="42"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2"/>
    <w:bookmarkStart w:id="147" w:name="references"/>
    <w:p>
      <w:pPr>
        <w:pStyle w:val="Heading2"/>
      </w:pPr>
      <w:r>
        <w:t xml:space="preserve">References</w:t>
      </w:r>
    </w:p>
    <w:bookmarkStart w:id="146" w:name="refs"/>
    <w:bookmarkStart w:id="44"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3">
        <w:r>
          <w:rPr>
            <w:rStyle w:val="Hyperlink"/>
          </w:rPr>
          <w:t xml:space="preserve">https://doi.org/10.1038/s41598-024-67829-6</w:t>
        </w:r>
      </w:hyperlink>
    </w:p>
    <w:bookmarkEnd w:id="44"/>
    <w:bookmarkStart w:id="46"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5">
        <w:r>
          <w:rPr>
            <w:rStyle w:val="Hyperlink"/>
          </w:rPr>
          <w:t xml:space="preserve">https://doi.org/10.48550/arXiv.2401.13481</w:t>
        </w:r>
      </w:hyperlink>
    </w:p>
    <w:bookmarkEnd w:id="46"/>
    <w:bookmarkStart w:id="48"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7">
        <w:r>
          <w:rPr>
            <w:rStyle w:val="Hyperlink"/>
          </w:rPr>
          <w:t xml:space="preserve">https://doi.org/10.1080/12460125.2024.2349425</w:t>
        </w:r>
      </w:hyperlink>
    </w:p>
    <w:bookmarkEnd w:id="48"/>
    <w:bookmarkStart w:id="50"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9">
        <w:r>
          <w:rPr>
            <w:rStyle w:val="Hyperlink"/>
          </w:rPr>
          <w:t xml:space="preserve">https://arxiv.org/abs/2306.11980</w:t>
        </w:r>
      </w:hyperlink>
    </w:p>
    <w:bookmarkEnd w:id="50"/>
    <w:bookmarkStart w:id="5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1">
        <w:r>
          <w:rPr>
            <w:rStyle w:val="Hyperlink"/>
          </w:rPr>
          <w:t xml:space="preserve">https://doi.org/10.1007/s42113-022-00149-y</w:t>
        </w:r>
      </w:hyperlink>
    </w:p>
    <w:bookmarkEnd w:id="52"/>
    <w:bookmarkStart w:id="54"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3">
        <w:r>
          <w:rPr>
            <w:rStyle w:val="Hyperlink"/>
          </w:rPr>
          <w:t xml:space="preserve">https://doi.org/10.1111/tops.12683</w:t>
        </w:r>
      </w:hyperlink>
    </w:p>
    <w:bookmarkEnd w:id="54"/>
    <w:bookmarkStart w:id="5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5">
        <w:r>
          <w:rPr>
            <w:rStyle w:val="Hyperlink"/>
          </w:rPr>
          <w:t xml:space="preserve">https://doi.org/10.1037/xge0001607</w:t>
        </w:r>
      </w:hyperlink>
    </w:p>
    <w:bookmarkEnd w:id="56"/>
    <w:bookmarkStart w:id="5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7">
        <w:r>
          <w:rPr>
            <w:rStyle w:val="Hyperlink"/>
          </w:rPr>
          <w:t xml:space="preserve">https://doi.org/10.3389/fpsyg.2023.1208019</w:t>
        </w:r>
      </w:hyperlink>
    </w:p>
    <w:bookmarkEnd w:id="58"/>
    <w:bookmarkStart w:id="60"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9">
        <w:r>
          <w:rPr>
            <w:rStyle w:val="Hyperlink"/>
          </w:rPr>
          <w:t xml:space="preserve">https://doi.org/10.1111/jpim.12656</w:t>
        </w:r>
      </w:hyperlink>
    </w:p>
    <w:bookmarkEnd w:id="60"/>
    <w:bookmarkStart w:id="62"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1">
        <w:r>
          <w:rPr>
            <w:rStyle w:val="Hyperlink"/>
          </w:rPr>
          <w:t xml:space="preserve">https://doi.org/10.1287/orsc.2023.18430</w:t>
        </w:r>
      </w:hyperlink>
    </w:p>
    <w:bookmarkEnd w:id="62"/>
    <w:bookmarkStart w:id="64"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3">
        <w:r>
          <w:rPr>
            <w:rStyle w:val="Hyperlink"/>
          </w:rPr>
          <w:t xml:space="preserve">https://doi.org/10.1145/3449287</w:t>
        </w:r>
      </w:hyperlink>
    </w:p>
    <w:bookmarkEnd w:id="64"/>
    <w:bookmarkStart w:id="66"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5">
        <w:r>
          <w:rPr>
            <w:rStyle w:val="Hyperlink"/>
          </w:rPr>
          <w:t xml:space="preserve">https://doi.org/10.1038/s41562-024-01959-9</w:t>
        </w:r>
      </w:hyperlink>
    </w:p>
    <w:bookmarkEnd w:id="66"/>
    <w:bookmarkStart w:id="68"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7">
        <w:r>
          <w:rPr>
            <w:rStyle w:val="Hyperlink"/>
          </w:rPr>
          <w:t xml:space="preserve">https://doi.org/10.1016/j.cognition.2022.105264</w:t>
        </w:r>
      </w:hyperlink>
    </w:p>
    <w:bookmarkEnd w:id="68"/>
    <w:bookmarkStart w:id="70"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9">
        <w:r>
          <w:rPr>
            <w:rStyle w:val="Hyperlink"/>
          </w:rPr>
          <w:t xml:space="preserve">https://doi.org/10.1111/emre.12685</w:t>
        </w:r>
      </w:hyperlink>
    </w:p>
    <w:bookmarkEnd w:id="70"/>
    <w:bookmarkStart w:id="7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1">
        <w:r>
          <w:rPr>
            <w:rStyle w:val="Hyperlink"/>
          </w:rPr>
          <w:t xml:space="preserve">https://doi.org/10.1145/3640543.3645199</w:t>
        </w:r>
      </w:hyperlink>
    </w:p>
    <w:bookmarkEnd w:id="72"/>
    <w:bookmarkStart w:id="7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73"/>
    <w:bookmarkStart w:id="7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74">
        <w:r>
          <w:rPr>
            <w:rStyle w:val="Hyperlink"/>
          </w:rPr>
          <w:t xml:space="preserve">https://doi.org/10.1038/s41562-024-01991-9</w:t>
        </w:r>
      </w:hyperlink>
    </w:p>
    <w:bookmarkEnd w:id="75"/>
    <w:bookmarkStart w:id="7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6">
        <w:r>
          <w:rPr>
            <w:rStyle w:val="Hyperlink"/>
          </w:rPr>
          <w:t xml:space="preserve">https://doi.org/10.1016/j.patter.2024.101074</w:t>
        </w:r>
      </w:hyperlink>
    </w:p>
    <w:bookmarkEnd w:id="77"/>
    <w:bookmarkStart w:id="78"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8"/>
    <w:bookmarkStart w:id="80"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9">
        <w:r>
          <w:rPr>
            <w:rStyle w:val="Hyperlink"/>
          </w:rPr>
          <w:t xml:space="preserve">https://doi.org/10.1037/0033-2909.121.1.43</w:t>
        </w:r>
      </w:hyperlink>
    </w:p>
    <w:bookmarkEnd w:id="80"/>
    <w:bookmarkStart w:id="82"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81">
        <w:r>
          <w:rPr>
            <w:rStyle w:val="Hyperlink"/>
          </w:rPr>
          <w:t xml:space="preserve">https://doi.org/10.1109/EMR.2024.3353338</w:t>
        </w:r>
      </w:hyperlink>
    </w:p>
    <w:bookmarkEnd w:id="82"/>
    <w:bookmarkStart w:id="84"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83">
        <w:r>
          <w:rPr>
            <w:rStyle w:val="Hyperlink"/>
          </w:rPr>
          <w:t xml:space="preserve">https://doi.org/10.31234/osf.io/seqjr</w:t>
        </w:r>
      </w:hyperlink>
    </w:p>
    <w:bookmarkEnd w:id="84"/>
    <w:bookmarkStart w:id="86"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5">
        <w:r>
          <w:rPr>
            <w:rStyle w:val="Hyperlink"/>
          </w:rPr>
          <w:t xml:space="preserve">https://arxiv.org/abs/2410.03703</w:t>
        </w:r>
      </w:hyperlink>
    </w:p>
    <w:bookmarkEnd w:id="86"/>
    <w:bookmarkStart w:id="88"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7">
        <w:r>
          <w:rPr>
            <w:rStyle w:val="Hyperlink"/>
          </w:rPr>
          <w:t xml:space="preserve">https://doi.org/10.1186/s41235-022-00364-y</w:t>
        </w:r>
      </w:hyperlink>
    </w:p>
    <w:bookmarkEnd w:id="88"/>
    <w:bookmarkStart w:id="90"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9">
        <w:r>
          <w:rPr>
            <w:rStyle w:val="Hyperlink"/>
          </w:rPr>
          <w:t xml:space="preserve">https://doi.org/10.1609/hcomp.v12i1.31604</w:t>
        </w:r>
      </w:hyperlink>
    </w:p>
    <w:bookmarkEnd w:id="90"/>
    <w:bookmarkStart w:id="9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91">
        <w:r>
          <w:rPr>
            <w:rStyle w:val="Hyperlink"/>
          </w:rPr>
          <w:t xml:space="preserve">https://arxiv.org/abs/2403.16812</w:t>
        </w:r>
      </w:hyperlink>
    </w:p>
    <w:bookmarkEnd w:id="92"/>
    <w:bookmarkStart w:id="9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93"/>
    <w:bookmarkStart w:id="95"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94">
        <w:r>
          <w:rPr>
            <w:rStyle w:val="Hyperlink"/>
          </w:rPr>
          <w:t xml:space="preserve">https://doi.org/10.1016/j.chb.2023.107874</w:t>
        </w:r>
      </w:hyperlink>
    </w:p>
    <w:bookmarkEnd w:id="95"/>
    <w:bookmarkStart w:id="97"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96">
        <w:r>
          <w:rPr>
            <w:rStyle w:val="Hyperlink"/>
          </w:rPr>
          <w:t xml:space="preserve">https://doi.org/10.2139/ssrn.4526071</w:t>
        </w:r>
      </w:hyperlink>
    </w:p>
    <w:bookmarkEnd w:id="97"/>
    <w:bookmarkStart w:id="99"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8">
        <w:r>
          <w:rPr>
            <w:rStyle w:val="Hyperlink"/>
          </w:rPr>
          <w:t xml:space="preserve">https://doi.org/10.1145/3600211.3604709</w:t>
        </w:r>
      </w:hyperlink>
    </w:p>
    <w:bookmarkEnd w:id="99"/>
    <w:bookmarkStart w:id="101"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00">
        <w:r>
          <w:rPr>
            <w:rStyle w:val="Hyperlink"/>
          </w:rPr>
          <w:t xml:space="preserve">https://doi.org/10.1111/jpr.12552</w:t>
        </w:r>
      </w:hyperlink>
    </w:p>
    <w:bookmarkEnd w:id="101"/>
    <w:bookmarkStart w:id="10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02">
        <w:r>
          <w:rPr>
            <w:rStyle w:val="Hyperlink"/>
          </w:rPr>
          <w:t xml:space="preserve">https://doi.org/10.1037/xge0000960</w:t>
        </w:r>
      </w:hyperlink>
    </w:p>
    <w:bookmarkEnd w:id="103"/>
    <w:bookmarkStart w:id="10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04">
        <w:r>
          <w:rPr>
            <w:rStyle w:val="Hyperlink"/>
          </w:rPr>
          <w:t xml:space="preserve">https://doi.org/10.1609/aaaiss.v3i1.31202</w:t>
        </w:r>
      </w:hyperlink>
    </w:p>
    <w:bookmarkEnd w:id="105"/>
    <w:bookmarkStart w:id="10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6">
        <w:r>
          <w:rPr>
            <w:rStyle w:val="Hyperlink"/>
          </w:rPr>
          <w:t xml:space="preserve">https://doi.org/10.1609/hcomp.v11i1.27554</w:t>
        </w:r>
      </w:hyperlink>
    </w:p>
    <w:bookmarkEnd w:id="107"/>
    <w:bookmarkStart w:id="109"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8">
        <w:r>
          <w:rPr>
            <w:rStyle w:val="Hyperlink"/>
          </w:rPr>
          <w:t xml:space="preserve">https://doi.org/10.1145/3613904.3642459</w:t>
        </w:r>
      </w:hyperlink>
    </w:p>
    <w:bookmarkEnd w:id="109"/>
    <w:bookmarkStart w:id="111"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10">
        <w:r>
          <w:rPr>
            <w:rStyle w:val="Hyperlink"/>
          </w:rPr>
          <w:t xml:space="preserve">https://doi.org/10.1073/pnas.2214840120</w:t>
        </w:r>
      </w:hyperlink>
    </w:p>
    <w:bookmarkEnd w:id="111"/>
    <w:bookmarkStart w:id="113"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12">
        <w:r>
          <w:rPr>
            <w:rStyle w:val="Hyperlink"/>
          </w:rPr>
          <w:t xml:space="preserve">https://doi.org/10.48550/arXiv.2409.04109</w:t>
        </w:r>
      </w:hyperlink>
    </w:p>
    <w:bookmarkEnd w:id="113"/>
    <w:bookmarkStart w:id="115"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14">
        <w:r>
          <w:rPr>
            <w:rStyle w:val="Hyperlink"/>
          </w:rPr>
          <w:t xml:space="preserve">https://doi.org/10.1145/3677081</w:t>
        </w:r>
      </w:hyperlink>
    </w:p>
    <w:bookmarkEnd w:id="115"/>
    <w:bookmarkStart w:id="117"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6">
        <w:r>
          <w:rPr>
            <w:rStyle w:val="Hyperlink"/>
          </w:rPr>
          <w:t xml:space="preserve">https://doi.org/10.48550/arXiv.2307.03744</w:t>
        </w:r>
      </w:hyperlink>
    </w:p>
    <w:bookmarkEnd w:id="117"/>
    <w:bookmarkStart w:id="119"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8">
        <w:r>
          <w:rPr>
            <w:rStyle w:val="Hyperlink"/>
          </w:rPr>
          <w:t xml:space="preserve">https://doi.org/10.1016/j.chb.2024.108386</w:t>
        </w:r>
      </w:hyperlink>
    </w:p>
    <w:bookmarkEnd w:id="119"/>
    <w:bookmarkStart w:id="121"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20">
        <w:r>
          <w:rPr>
            <w:rStyle w:val="Hyperlink"/>
          </w:rPr>
          <w:t xml:space="preserve">https://arxiv.org/abs/2401.13835</w:t>
        </w:r>
      </w:hyperlink>
    </w:p>
    <w:bookmarkEnd w:id="121"/>
    <w:bookmarkStart w:id="123"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22">
        <w:r>
          <w:rPr>
            <w:rStyle w:val="Hyperlink"/>
          </w:rPr>
          <w:t xml:space="preserve">https://doi.org/10.1126/science.adq2852</w:t>
        </w:r>
      </w:hyperlink>
    </w:p>
    <w:bookmarkEnd w:id="123"/>
    <w:bookmarkStart w:id="125"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24">
        <w:r>
          <w:rPr>
            <w:rStyle w:val="Hyperlink"/>
          </w:rPr>
          <w:t xml:space="preserve">https://doi.org/10.31234/osf.io/m4yad</w:t>
        </w:r>
      </w:hyperlink>
    </w:p>
    <w:bookmarkEnd w:id="125"/>
    <w:bookmarkStart w:id="127"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6">
        <w:r>
          <w:rPr>
            <w:rStyle w:val="Hyperlink"/>
          </w:rPr>
          <w:t xml:space="preserve">https://doi.org/10.1525/collabra.121234</w:t>
        </w:r>
      </w:hyperlink>
    </w:p>
    <w:bookmarkEnd w:id="127"/>
    <w:bookmarkStart w:id="129"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8">
        <w:r>
          <w:rPr>
            <w:rStyle w:val="Hyperlink"/>
          </w:rPr>
          <w:t xml:space="preserve">https://doi.org/10.1038/s41562-024-02024-1</w:t>
        </w:r>
      </w:hyperlink>
    </w:p>
    <w:bookmarkEnd w:id="129"/>
    <w:bookmarkStart w:id="13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30">
        <w:r>
          <w:rPr>
            <w:rStyle w:val="Hyperlink"/>
          </w:rPr>
          <w:t xml:space="preserve">https://doi.org/10.48550/arXiv.2411.02353</w:t>
        </w:r>
      </w:hyperlink>
    </w:p>
    <w:bookmarkEnd w:id="131"/>
    <w:bookmarkStart w:id="13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32">
        <w:r>
          <w:rPr>
            <w:rStyle w:val="Hyperlink"/>
          </w:rPr>
          <w:t xml:space="preserve">https://doi.org/10.1007/978-1-4612-4634-3_9</w:t>
        </w:r>
      </w:hyperlink>
    </w:p>
    <w:bookmarkEnd w:id="133"/>
    <w:bookmarkStart w:id="135"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34">
        <w:r>
          <w:rPr>
            <w:rStyle w:val="Hyperlink"/>
          </w:rPr>
          <w:t xml:space="preserve">https://doi.org/10.1177/1046496420967764</w:t>
        </w:r>
      </w:hyperlink>
    </w:p>
    <w:bookmarkEnd w:id="135"/>
    <w:bookmarkStart w:id="137"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6">
        <w:r>
          <w:rPr>
            <w:rStyle w:val="Hyperlink"/>
          </w:rPr>
          <w:t xml:space="preserve">https://doi.org/10.1145/3659625</w:t>
        </w:r>
      </w:hyperlink>
    </w:p>
    <w:bookmarkEnd w:id="137"/>
    <w:bookmarkStart w:id="139"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8">
        <w:r>
          <w:rPr>
            <w:rStyle w:val="Hyperlink"/>
          </w:rPr>
          <w:t xml:space="preserve">https://doi.org/10.1145/3613905.3650867</w:t>
        </w:r>
      </w:hyperlink>
    </w:p>
    <w:bookmarkEnd w:id="139"/>
    <w:bookmarkStart w:id="141"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40">
        <w:r>
          <w:rPr>
            <w:rStyle w:val="Hyperlink"/>
          </w:rPr>
          <w:t xml:space="preserve">https://doi.org/10.1145/3654777.3676366</w:t>
        </w:r>
      </w:hyperlink>
    </w:p>
    <w:bookmarkEnd w:id="141"/>
    <w:bookmarkStart w:id="143"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42">
        <w:r>
          <w:rPr>
            <w:rStyle w:val="Hyperlink"/>
          </w:rPr>
          <w:t xml:space="preserve">https://arxiv.org/abs/2405.19313</w:t>
        </w:r>
      </w:hyperlink>
    </w:p>
    <w:bookmarkEnd w:id="143"/>
    <w:bookmarkStart w:id="145"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44">
        <w:r>
          <w:rPr>
            <w:rStyle w:val="Hyperlink"/>
          </w:rPr>
          <w:t xml:space="preserve">https://doi.org/10.48550/arXiv.2407.17489</w:t>
        </w:r>
      </w:hyperlink>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49" Target="https://arxiv.org/abs/2306.11980" TargetMode="External" /><Relationship Type="http://schemas.openxmlformats.org/officeDocument/2006/relationships/hyperlink" Id="rId120" Target="https://arxiv.org/abs/2401.13835" TargetMode="External" /><Relationship Type="http://schemas.openxmlformats.org/officeDocument/2006/relationships/hyperlink" Id="rId91" Target="https://arxiv.org/abs/2403.16812" TargetMode="External" /><Relationship Type="http://schemas.openxmlformats.org/officeDocument/2006/relationships/hyperlink" Id="rId142" Target="https://arxiv.org/abs/2405.19313" TargetMode="External" /><Relationship Type="http://schemas.openxmlformats.org/officeDocument/2006/relationships/hyperlink" Id="rId85" Target="https://arxiv.org/abs/2410.03703" TargetMode="External" /><Relationship Type="http://schemas.openxmlformats.org/officeDocument/2006/relationships/hyperlink" Id="rId132" Target="https://doi.org/10.1007/978-1-4612-4634-3_9" TargetMode="External" /><Relationship Type="http://schemas.openxmlformats.org/officeDocument/2006/relationships/hyperlink" Id="rId51" Target="https://doi.org/10.1007/s42113-022-00149-y" TargetMode="External" /><Relationship Type="http://schemas.openxmlformats.org/officeDocument/2006/relationships/hyperlink" Id="rId94" Target="https://doi.org/10.1016/j.chb.2023.107874" TargetMode="External" /><Relationship Type="http://schemas.openxmlformats.org/officeDocument/2006/relationships/hyperlink" Id="rId118" Target="https://doi.org/10.1016/j.chb.2024.108386" TargetMode="External" /><Relationship Type="http://schemas.openxmlformats.org/officeDocument/2006/relationships/hyperlink" Id="rId67" Target="https://doi.org/10.1016/j.cognition.2022.105264" TargetMode="External" /><Relationship Type="http://schemas.openxmlformats.org/officeDocument/2006/relationships/hyperlink" Id="rId76" Target="https://doi.org/10.1016/j.patter.2024.101074" TargetMode="External" /><Relationship Type="http://schemas.openxmlformats.org/officeDocument/2006/relationships/hyperlink" Id="rId79" Target="https://doi.org/10.1037/0033-2909.121.1.43" TargetMode="External" /><Relationship Type="http://schemas.openxmlformats.org/officeDocument/2006/relationships/hyperlink" Id="rId102" Target="https://doi.org/10.1037/xge0000960" TargetMode="External" /><Relationship Type="http://schemas.openxmlformats.org/officeDocument/2006/relationships/hyperlink" Id="rId55" Target="https://doi.org/10.1037/xge0001607" TargetMode="External" /><Relationship Type="http://schemas.openxmlformats.org/officeDocument/2006/relationships/hyperlink" Id="rId65" Target="https://doi.org/10.1038/s41562-024-01959-9" TargetMode="External" /><Relationship Type="http://schemas.openxmlformats.org/officeDocument/2006/relationships/hyperlink" Id="rId74" Target="https://doi.org/10.1038/s41562-024-01991-9" TargetMode="External" /><Relationship Type="http://schemas.openxmlformats.org/officeDocument/2006/relationships/hyperlink" Id="rId128" Target="https://doi.org/10.1038/s41562-024-02024-1" TargetMode="External" /><Relationship Type="http://schemas.openxmlformats.org/officeDocument/2006/relationships/hyperlink" Id="rId43" Target="https://doi.org/10.1038/s41598-024-67829-6" TargetMode="External" /><Relationship Type="http://schemas.openxmlformats.org/officeDocument/2006/relationships/hyperlink" Id="rId110" Target="https://doi.org/10.1073/pnas.2214840120" TargetMode="External" /><Relationship Type="http://schemas.openxmlformats.org/officeDocument/2006/relationships/hyperlink" Id="rId47" Target="https://doi.org/10.1080/12460125.2024.2349425" TargetMode="External" /><Relationship Type="http://schemas.openxmlformats.org/officeDocument/2006/relationships/hyperlink" Id="rId81" Target="https://doi.org/10.1109/EMR.2024.3353338" TargetMode="External" /><Relationship Type="http://schemas.openxmlformats.org/officeDocument/2006/relationships/hyperlink" Id="rId69" Target="https://doi.org/10.1111/emre.12685" TargetMode="External" /><Relationship Type="http://schemas.openxmlformats.org/officeDocument/2006/relationships/hyperlink" Id="rId59" Target="https://doi.org/10.1111/jpim.12656" TargetMode="External" /><Relationship Type="http://schemas.openxmlformats.org/officeDocument/2006/relationships/hyperlink" Id="rId100" Target="https://doi.org/10.1111/jpr.12552" TargetMode="External" /><Relationship Type="http://schemas.openxmlformats.org/officeDocument/2006/relationships/hyperlink" Id="rId53" Target="https://doi.org/10.1111/tops.12683" TargetMode="External" /><Relationship Type="http://schemas.openxmlformats.org/officeDocument/2006/relationships/hyperlink" Id="rId122" Target="https://doi.org/10.1126/science.adq2852" TargetMode="External" /><Relationship Type="http://schemas.openxmlformats.org/officeDocument/2006/relationships/hyperlink" Id="rId63" Target="https://doi.org/10.1145/3449287" TargetMode="External" /><Relationship Type="http://schemas.openxmlformats.org/officeDocument/2006/relationships/hyperlink" Id="rId98" Target="https://doi.org/10.1145/3600211.3604709" TargetMode="External" /><Relationship Type="http://schemas.openxmlformats.org/officeDocument/2006/relationships/hyperlink" Id="rId108" Target="https://doi.org/10.1145/3613904.3642459" TargetMode="External" /><Relationship Type="http://schemas.openxmlformats.org/officeDocument/2006/relationships/hyperlink" Id="rId138" Target="https://doi.org/10.1145/3613905.3650867" TargetMode="External" /><Relationship Type="http://schemas.openxmlformats.org/officeDocument/2006/relationships/hyperlink" Id="rId71" Target="https://doi.org/10.1145/3640543.3645199" TargetMode="External" /><Relationship Type="http://schemas.openxmlformats.org/officeDocument/2006/relationships/hyperlink" Id="rId140" Target="https://doi.org/10.1145/3654777.3676366" TargetMode="External" /><Relationship Type="http://schemas.openxmlformats.org/officeDocument/2006/relationships/hyperlink" Id="rId136" Target="https://doi.org/10.1145/3659625" TargetMode="External" /><Relationship Type="http://schemas.openxmlformats.org/officeDocument/2006/relationships/hyperlink" Id="rId114" Target="https://doi.org/10.1145/3677081" TargetMode="External" /><Relationship Type="http://schemas.openxmlformats.org/officeDocument/2006/relationships/hyperlink" Id="rId134" Target="https://doi.org/10.1177/1046496420967764" TargetMode="External" /><Relationship Type="http://schemas.openxmlformats.org/officeDocument/2006/relationships/hyperlink" Id="rId87" Target="https://doi.org/10.1186/s41235-022-00364-y" TargetMode="External" /><Relationship Type="http://schemas.openxmlformats.org/officeDocument/2006/relationships/hyperlink" Id="rId61" Target="https://doi.org/10.1287/orsc.2023.18430" TargetMode="External" /><Relationship Type="http://schemas.openxmlformats.org/officeDocument/2006/relationships/hyperlink" Id="rId126" Target="https://doi.org/10.1525/collabra.121234" TargetMode="External" /><Relationship Type="http://schemas.openxmlformats.org/officeDocument/2006/relationships/hyperlink" Id="rId104" Target="https://doi.org/10.1609/aaaiss.v3i1.31202" TargetMode="External" /><Relationship Type="http://schemas.openxmlformats.org/officeDocument/2006/relationships/hyperlink" Id="rId106" Target="https://doi.org/10.1609/hcomp.v11i1.27554" TargetMode="External" /><Relationship Type="http://schemas.openxmlformats.org/officeDocument/2006/relationships/hyperlink" Id="rId89" Target="https://doi.org/10.1609/hcomp.v12i1.31604" TargetMode="External" /><Relationship Type="http://schemas.openxmlformats.org/officeDocument/2006/relationships/hyperlink" Id="rId96" Target="https://doi.org/10.2139/ssrn.4526071" TargetMode="External" /><Relationship Type="http://schemas.openxmlformats.org/officeDocument/2006/relationships/hyperlink" Id="rId124" Target="https://doi.org/10.31234/osf.io/m4yad" TargetMode="External" /><Relationship Type="http://schemas.openxmlformats.org/officeDocument/2006/relationships/hyperlink" Id="rId83" Target="https://doi.org/10.31234/osf.io/seqjr" TargetMode="External" /><Relationship Type="http://schemas.openxmlformats.org/officeDocument/2006/relationships/hyperlink" Id="rId57" Target="https://doi.org/10.3389/fpsyg.2023.1208019" TargetMode="External" /><Relationship Type="http://schemas.openxmlformats.org/officeDocument/2006/relationships/hyperlink" Id="rId116" Target="https://doi.org/10.48550/arXiv.2307.03744" TargetMode="External" /><Relationship Type="http://schemas.openxmlformats.org/officeDocument/2006/relationships/hyperlink" Id="rId45" Target="https://doi.org/10.48550/arXiv.2401.13481" TargetMode="External" /><Relationship Type="http://schemas.openxmlformats.org/officeDocument/2006/relationships/hyperlink" Id="rId144" Target="https://doi.org/10.48550/arXiv.2407.17489" TargetMode="External" /><Relationship Type="http://schemas.openxmlformats.org/officeDocument/2006/relationships/hyperlink" Id="rId112" Target="https://doi.org/10.48550/arXiv.2409.04109" TargetMode="External" /><Relationship Type="http://schemas.openxmlformats.org/officeDocument/2006/relationships/hyperlink" Id="rId13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2025-02-01T02:47:17Z</dcterms:created>
  <dcterms:modified xsi:type="dcterms:W3CDTF">2025-02-01T02:47:17Z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