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CaptionedFigure"/>
      </w:pPr>
      <w:r>
        <w:drawing>
          <wp:inline>
            <wp:extent cx="5600700" cy="3425523"/>
            <wp:effectExtent b="0" l="0" r="0" t="0"/>
            <wp:docPr descr="Information processing framework illustrating the key inputs, processing mechanisms, and outputs in human-AI group decision-making." title="" id="21" name="Picture"/>
            <a:graphic>
              <a:graphicData uri="http://schemas.openxmlformats.org/drawingml/2006/picture">
                <pic:pic>
                  <pic:nvPicPr>
                    <pic:cNvPr descr="Assets/ip3.png" id="22" name="Picture"/>
                    <pic:cNvPicPr>
                      <a:picLocks noChangeArrowheads="1" noChangeAspect="1"/>
                    </pic:cNvPicPr>
                  </pic:nvPicPr>
                  <pic:blipFill>
                    <a:blip r:embed="rId20"/>
                    <a:stretch>
                      <a:fillRect/>
                    </a:stretch>
                  </pic:blipFill>
                  <pic:spPr bwMode="auto">
                    <a:xfrm>
                      <a:off x="0" y="0"/>
                      <a:ext cx="5600700" cy="3425523"/>
                    </a:xfrm>
                    <a:prstGeom prst="rect">
                      <a:avLst/>
                    </a:prstGeom>
                    <a:noFill/>
                    <a:ln w="9525">
                      <a:noFill/>
                      <a:headEnd/>
                      <a:tailEnd/>
                    </a:ln>
                  </pic:spPr>
                </pic:pic>
              </a:graphicData>
            </a:graphic>
          </wp:inline>
        </w:drawing>
      </w:r>
    </w:p>
    <w:p>
      <w:pPr>
        <w:pStyle w:val="ImageCaption"/>
      </w:pPr>
      <w:r>
        <w:t xml:space="preserve">Information processing framework illustrating the key inputs, processing mechanisms, and outputs in human-AI group decision-making.</w:t>
      </w:r>
    </w:p>
    <w:bookmarkEnd w:id="23"/>
    <w:bookmarkStart w:id="27"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S.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w:t>
      </w:r>
      <w:r>
        <w:t xml:space="preserve"> </w:t>
      </w:r>
      <w:r>
        <w:t xml:space="preserve">Diebel et al. (2025)</w:t>
      </w:r>
      <w:r>
        <w:t xml:space="preserve"> </w:t>
      </w:r>
      <w:r>
        <w:t xml:space="preserve">found that individuals with higher AI knowledge experienced a greater loss of competence-based self-esteem when interacting with proactive AI, indicating that prior experience with AI can shape user perceptions.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(R. 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(S. 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pStyle w:val="FirstParagraph"/>
      </w:pPr>
      <w:r>
        <w:t xml:space="preserve">Trust and confidence in AI are dynamic and multifaceted, as highlighted by Hancock et al. (2011), who conducted a meta-analysis showing that trust in automation is influenced by a variety of human, robot, and environmental factors. Li et al. (2025) further explored the dynamic nature of trust, revealing that human self-confidence tends to align with AI confidence, which can affect decision-making strategies. Vodrahalli et al. (2022) emphasized the importance of calibrated trust, where humans accurately assess the reliability of AI advice. The calibration of trust is also seen as critical, as shown by Cecil et al. (2024), who found that explanations did not mitigate the negative impacts of incorrect AI advice, suggesting a complex relationship between trust, reliance, and the perceived reliability of AI.</w:t>
      </w:r>
    </w:p>
    <w:p>
      <w:pPr>
        <w:pStyle w:val="Compact"/>
        <w:numPr>
          <w:ilvl w:val="0"/>
          <w:numId w:val="1002"/>
        </w:numPr>
      </w:pPr>
      <w:r>
        <w:t xml:space="preserve">Trust Baselines: Pre-existing attitudes toward AI, perceived reliability, anthropomorphism</w:t>
      </w:r>
      <w:r>
        <w:t xml:space="preserve"> </w:t>
      </w:r>
      <w:r>
        <w:t xml:space="preserve">(Cui &amp; Yasseri, 2024)</w:t>
      </w:r>
    </w:p>
    <w:p>
      <w:pPr>
        <w:pStyle w:val="Compact"/>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6"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p>
      <w:pPr>
        <w:pStyle w:val="Compact"/>
        <w:numPr>
          <w:ilvl w:val="0"/>
          <w:numId w:val="1003"/>
        </w:numPr>
      </w:pPr>
      <w:r>
        <w:rPr>
          <w:b/>
          <w:bCs/>
        </w:rPr>
        <w:t xml:space="preserve">Personalized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26"/>
    <w:bookmarkEnd w:id="27"/>
    <w:bookmarkStart w:id="34"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8"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8"/>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End w:id="30"/>
    <w:bookmarkStart w:id="31" w:name="communication-and-information-sharing"/>
    <w:p>
      <w:pPr>
        <w:pStyle w:val="Heading3"/>
      </w:pPr>
      <w:r>
        <w:t xml:space="preserve">Communication and information sharing</w:t>
      </w:r>
    </w:p>
    <w:p>
      <w:pPr>
        <w:pStyle w:val="FirstParagraph"/>
      </w:pPr>
      <w:r>
        <w:rPr>
          <w:b/>
          <w:bCs/>
        </w:rPr>
        <w:t xml:space="preserve">AI-Mediated Communication Systems</w:t>
      </w:r>
      <w:r>
        <w:t xml:space="preserve">. AI systems, such as LLM-based Smart Reply (LSR) systems, can mediate communication and information sharing within human-AI teams</w:t>
      </w:r>
      <w:r>
        <w:t xml:space="preserve"> </w:t>
      </w:r>
      <w:r>
        <w:t xml:space="preserve">(Bastola et al., 2024; Fortunati &amp; Edwards, 2021; Gomez Caballero et al., 2024)</w:t>
      </w:r>
      <w:r>
        <w:t xml:space="preserve">. The key is to use AI to ensure more efficient information exchange between team members, and also to reduce cognitive load during repetitive tasks. However, AI systems need to be carefully designed to maintain user experience and be respectful of human biases, preferences and agency.</w:t>
      </w:r>
    </w:p>
    <w:p>
      <w:pPr>
        <w:pStyle w:val="BodyText"/>
      </w:pPr>
      <w:r>
        <w:rPr>
          <w:b/>
          <w:bCs/>
        </w:rPr>
        <w:t xml:space="preserve">Transactive Memory and Knowledge Sharing</w:t>
      </w:r>
      <w:r>
        <w:t xml:space="preserve">. AI can facilitate transactive memory systems in human-AI teams, acting as knowledge repositories and influencing information access and sharing</w:t>
      </w:r>
      <w:r>
        <w:t xml:space="preserve"> </w:t>
      </w:r>
      <w:r>
        <w:t xml:space="preserve">(Bienefeld et al., 2023; Gao et al., 2024; Yan et al., 2021)</w:t>
      </w:r>
      <w:r>
        <w:t xml:space="preserve">. This is not unlike how human transactive memory systems work</w:t>
      </w:r>
      <w:r>
        <w:t xml:space="preserve"> </w:t>
      </w:r>
      <w:r>
        <w:t xml:space="preserve">(Bienefeld et al., 2023)</w:t>
      </w:r>
      <w:r>
        <w:t xml:space="preserve">, but the dynamics and limitations of human-AI TMSs are yet to be fully understood, especially in cases where AI may not fully understand the full context or task environment.</w:t>
      </w:r>
    </w:p>
    <w:p>
      <w:pPr>
        <w:pStyle w:val="BodyText"/>
      </w:pPr>
      <w:r>
        <w:rPr>
          <w:b/>
          <w:bCs/>
        </w:rPr>
        <w:t xml:space="preserve">Agent Communication Strategies</w:t>
      </w:r>
      <w:r>
        <w:t xml:space="preserve">. The way in which AI agents communicate, including whether they are proactive, sociable, responsive and clear, can affect the flow of information in the group and the trust between team members</w:t>
      </w:r>
      <w:r>
        <w:t xml:space="preserve"> </w:t>
      </w:r>
      <w:r>
        <w:t xml:space="preserve">(Bennett et al., 2023; Duan et al., 2025; Nishida et al., 2024)</w:t>
      </w:r>
      <w:r>
        <w:t xml:space="preserve">. Different communication styles may be preferable in different contexts, and the human perception of AI communication strategies play a critical role in shaping human expectations for AI teammates</w:t>
      </w:r>
      <w:r>
        <w:t xml:space="preserve"> </w:t>
      </w:r>
      <w:r>
        <w:t xml:space="preserve">(D. Zhang et al., 2023)</w:t>
      </w:r>
      <w:r>
        <w:t xml:space="preserve">.</w:t>
      </w:r>
    </w:p>
    <w:p>
      <w:pPr>
        <w:pStyle w:val="BodyText"/>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chat-based collaboration (ChatCollab, Klieger et al., 2024)</w:t>
      </w:r>
    </w:p>
    <w:bookmarkEnd w:id="31"/>
    <w:bookmarkStart w:id="32" w:name="Xf288e3cb484354aedd69ce13f3b7d728201c2e3"/>
    <w:p>
      <w:pPr>
        <w:pStyle w:val="Heading3"/>
      </w:pPr>
      <w:r>
        <w:t xml:space="preserve">Information Integration and Consensus Formation</w:t>
      </w:r>
    </w:p>
    <w:p>
      <w:pPr>
        <w:pStyle w:val="FirstParagraph"/>
      </w:pPr>
      <w:r>
        <w:rPr>
          <w:b/>
          <w:bCs/>
        </w:rPr>
        <w:t xml:space="preserve">Influence of AI on Deliberation and Argumentation</w:t>
      </w:r>
      <w:r>
        <w:t xml:space="preserve">. AI systems, particularly LLMs, can influence group deliberation, argumentation, and consensus formation. AI can mediate discussions by synthesizing information, presenting different perspectives, and facilitating more balanced conversations</w:t>
      </w:r>
      <w:r>
        <w:t xml:space="preserve"> </w:t>
      </w:r>
      <w:r>
        <w:t xml:space="preserve">(Argyle et al., 2023; Chiang et al., 2024; Du et al., 2024; Tessler et al., 2024)</w:t>
      </w:r>
      <w:r>
        <w:t xml:space="preserve">. Moreover, AI can act as a ’devil’s advocate</w:t>
      </w:r>
      <w:r>
        <w:t xml:space="preserve"> </w:t>
      </w:r>
      <w:r>
        <w:t xml:space="preserve">(Chiang et al., 2024)</w:t>
      </w:r>
      <w:r>
        <w:t xml:space="preserve">, which enhances the likelihood that a team considers alternatives, and does not prematurely converge on a single idea.</w:t>
      </w:r>
    </w:p>
    <w:p>
      <w:pPr>
        <w:pStyle w:val="BodyText"/>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p>
      <w:pPr>
        <w:pStyle w:val="BodyText"/>
      </w:pPr>
      <w:r>
        <w:rPr>
          <w:b/>
          <w:bCs/>
        </w:rPr>
        <w:t xml:space="preserve">Shared Mental Models in Human-AI Teams</w:t>
      </w:r>
      <w:r>
        <w:t xml:space="preserve">. The formation and maintenance of shared mental models (SMMs) in human-AI teams are significantly impacted by team structure</w:t>
      </w:r>
      <w:r>
        <w:t xml:space="preserve"> </w:t>
      </w:r>
      <w:r>
        <w:t xml:space="preserve">(Collins et al., 2024; R. Narayanan &amp; Feigh, 2024)</w:t>
      </w:r>
      <w:r>
        <w:t xml:space="preserve">. In hierarchical human-AI teams, for example, SMMs are often distributed across the team, rather than held by all members, which requires more sophisticated approaches to communication. A key to successful human-AI teams is ensuring there is a common understanding of team member roles, goals and limitations, and in particular the role of any AI systems.</w:t>
      </w:r>
    </w:p>
    <w:p>
      <w:pPr>
        <w:pStyle w:val="BodyText"/>
      </w:pPr>
      <w:r>
        <w:rPr>
          <w:b/>
          <w:bCs/>
        </w:rPr>
        <w:t xml:space="preserve">Cognitive Load and Cognitive Forcing Functions</w:t>
      </w:r>
      <w:r>
        <w:t xml:space="preserve">. Cognitive load impacts human decision-making and the way in which they engage with AI tools</w:t>
      </w:r>
      <w:r>
        <w:t xml:space="preserve"> </w:t>
      </w:r>
      <w:r>
        <w:t xml:space="preserve">(Buçinca et al., 2021; Gerlich, 2025; Westphal et al., 2023)</w:t>
      </w:r>
      <w:r>
        <w:t xml:space="preserve">. AI systems may reduce cognitive load, but can also impair critical thinking skills, and must be carefully designed to support users. Cognitive forcing functions</w:t>
      </w:r>
      <w:r>
        <w:t xml:space="preserve"> </w:t>
      </w:r>
      <w:r>
        <w:t xml:space="preserve">(Buçinca et al., 2021)</w:t>
      </w:r>
      <w:r>
        <w:t xml:space="preserve">, or interactions designed to encourage analytical thinking and deeper processing, can promote more effective human-AI interactions. However, there can be trade-offs between effectiveness and usability</w:t>
      </w:r>
      <w:r>
        <w:t xml:space="preserve"> </w:t>
      </w:r>
      <w:r>
        <w:t xml:space="preserve">(Buçinca et al., 2024; Westby &amp; Riedl, 2023)</w:t>
      </w:r>
      <w:r>
        <w:t xml:space="preserve"> </w:t>
      </w:r>
      <w:r>
        <w:t xml:space="preserve">that must be considered.</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pStyle w:val="Compact"/>
        <w:numPr>
          <w:ilvl w:val="0"/>
          <w:numId w:val="1005"/>
        </w:numPr>
      </w:pPr>
      <w:r>
        <w:t xml:space="preserve">Cognitive offloading effects</w:t>
      </w:r>
      <w:r>
        <w:t xml:space="preserve"> </w:t>
      </w:r>
      <w:r>
        <w:t xml:space="preserve">(Stadler et al., 2024)</w:t>
      </w:r>
    </w:p>
    <w:p>
      <w:pPr>
        <w:pStyle w:val="FirstParagraph"/>
      </w:pPr>
      <w:r>
        <w:rPr>
          <w:b/>
          <w:bCs/>
        </w:rPr>
        <w:t xml:space="preserve">Human-AI Complementarity Mechanisms</w:t>
      </w:r>
      <w:r>
        <w:t xml:space="preserve">. The conditions under which human and AI capabilities complement each other are essential to study. This includes understanding aspects such as confidence weighting and error correction. By modeling how people weigh information, and how AI can effectively supplement this process, new strategies for promoting more accurate and reliable collective decision-making can be developed. One promising approach for promoting this complementarity involves developing Bayesian models of human-AI interaction</w:t>
      </w:r>
      <w:r>
        <w:t xml:space="preserve"> </w:t>
      </w:r>
      <w:r>
        <w:t xml:space="preserve">(Steyvers et al., 2022)</w:t>
      </w:r>
      <w:r>
        <w:t xml:space="preserve">.</w:t>
      </w:r>
    </w:p>
    <w:bookmarkEnd w:id="32"/>
    <w:bookmarkStart w:id="33"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6"/>
        </w:numPr>
      </w:pPr>
      <w:r>
        <w:rPr>
          <w:b/>
          <w:bCs/>
        </w:rPr>
        <w:t xml:space="preserve">Dynamic Interplay:</w:t>
      </w:r>
      <w:r>
        <w:t xml:space="preserve"> </w:t>
      </w:r>
      <w:r>
        <w:t xml:space="preserve">A deeper understanding of the dynamic interplay between different processing mechanisms is needed. For instance, investigating how AI-mediated communication shapes shared mental models and how cognitive load influences information integration.</w:t>
      </w:r>
    </w:p>
    <w:p>
      <w:pPr>
        <w:pStyle w:val="Compact"/>
        <w:numPr>
          <w:ilvl w:val="0"/>
          <w:numId w:val="1006"/>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6"/>
        </w:numPr>
      </w:pPr>
      <w:r>
        <w:t xml:space="preserve">Research on how to measure and visualize shared mental models in human-AI teams, how to design AI systems that actively contribute to the development of shared understanding, how to adapt AI behavior based on the evolving mental models of human teammates.</w:t>
      </w:r>
    </w:p>
    <w:bookmarkEnd w:id="33"/>
    <w:bookmarkEnd w:id="34"/>
    <w:bookmarkStart w:id="41" w:name="output"/>
    <w:p>
      <w:pPr>
        <w:pStyle w:val="Heading2"/>
      </w:pPr>
      <w:r>
        <w:t xml:space="preserve">Output</w:t>
      </w:r>
    </w:p>
    <w:p>
      <w:pPr>
        <w:pStyle w:val="FirstParagraph"/>
      </w:pPr>
      <w:r>
        <w:t xml:space="preserve">The output stage of the IPO framework examines the decisions, actions, and consequences resulting from AI-assisted group decision-making. This section analyzes various dimensions of decision outputs, including accuracy, trust, user satisfaction, and broader group-level outcomes.</w:t>
      </w:r>
    </w:p>
    <w:bookmarkStart w:id="35" w:name="Xeda6a1915b39ecd5250d3b5c297faa3f8c02225"/>
    <w:p>
      <w:pPr>
        <w:pStyle w:val="Heading3"/>
      </w:pPr>
      <w:r>
        <w:t xml:space="preserve">Improved Decision Quality and Complementarity</w:t>
      </w:r>
    </w:p>
    <w:p>
      <w:pPr>
        <w:pStyle w:val="FirstParagraph"/>
      </w:pPr>
      <w:r>
        <w:t xml:space="preserve">One of the primary goals of integrating AI into group decision-making is to enhance decision quality, and research has shown promising results in this area. AI augmentation has been demonstrated to improve human decision-making across various tasks</w:t>
      </w:r>
      <w:r>
        <w:t xml:space="preserve"> </w:t>
      </w:r>
      <w:r>
        <w:t xml:space="preserve">(Becker et al., 2022)</w:t>
      </w:r>
      <w:r>
        <w:t xml:space="preserve">. In complex domains, such as medical diagnostics, human-AI collectives have been shown to produce more accurate differential diagnoses than either human-only or AI-only groups, highlighting the potential for synergistic gains</w:t>
      </w:r>
      <w:r>
        <w:t xml:space="preserve"> </w:t>
      </w:r>
      <w:r>
        <w:t xml:space="preserve">(Zöller et al., 2024)</w:t>
      </w:r>
      <w:r>
        <w:t xml:space="preserve">. The exposure to superhuman AI, as in the game of Go, can also enhance human decision-making by encouraging the exploration of novel strategies, thereby increasing overall performance and innovation</w:t>
      </w:r>
      <w:r>
        <w:t xml:space="preserve"> </w:t>
      </w:r>
      <w:r>
        <w:t xml:space="preserve">(Shin et al., 2023)</w:t>
      </w:r>
      <w:r>
        <w:t xml:space="preserve">.</w:t>
      </w:r>
    </w:p>
    <w:p>
      <w:pPr>
        <w:pStyle w:val="BodyText"/>
      </w:pPr>
      <w:r>
        <w:rPr>
          <w:b/>
          <w:bCs/>
        </w:rPr>
        <w:t xml:space="preserve">Factors Influencing Decision Quality.</w:t>
      </w:r>
      <w:r>
        <w:t xml:space="preserve"> </w:t>
      </w:r>
      <w:r>
        <w:t xml:space="preserve">Several factors influence the quality of decisions in AI-assisted contexts. One critical factor is the accuracy of the AI’s recommendations</w:t>
      </w:r>
      <w:r>
        <w:t xml:space="preserve"> </w:t>
      </w:r>
      <w:r>
        <w:t xml:space="preserve">(Yin et al., 2019)</w:t>
      </w:r>
      <w:r>
        <w:t xml:space="preserve">. However, accuracy alone is not sufficient; the way AI confidence is communicated also plays a crucial role. Humans do not simply accept or reject AI advice but rather adjust their reliance based on a complex interplay of factors, including perceived AI accuracy, human confidence, and decision context</w:t>
      </w:r>
      <w:r>
        <w:t xml:space="preserve"> </w:t>
      </w:r>
      <w:r>
        <w:t xml:space="preserve">(Steyvers et al., 2022)</w:t>
      </w:r>
      <w:r>
        <w:t xml:space="preserve">. The alignment of confidence between team members also influences how individuals process and weight the information they have at hand and make decisions based on that information</w:t>
      </w:r>
      <w:r>
        <w:t xml:space="preserve"> </w:t>
      </w:r>
      <w:r>
        <w:t xml:space="preserve">(Li et al., 2025)</w:t>
      </w:r>
      <w:r>
        <w:t xml:space="preserve">. The alignment of confidence could also impact polarization, as individuals with high self-confidence might reject AI recommendations, while those with lower self-confidence might over-rely, potentially leading to inconsistent reliance and team performance</w:t>
      </w:r>
      <w:r>
        <w:t xml:space="preserve"> </w:t>
      </w:r>
      <w:r>
        <w:t xml:space="preserve">(Li et al., 2025)</w:t>
      </w:r>
      <w:r>
        <w:t xml:space="preserve">. AI systems optimized for teamwork, rather than just accuracy, can lead to better overall performance</w:t>
      </w:r>
      <w:r>
        <w:t xml:space="preserve"> </w:t>
      </w:r>
      <w:r>
        <w:t xml:space="preserve">(Bansal et al., 2021)</w:t>
      </w:r>
      <w:r>
        <w:t xml:space="preserve">. This optimization includes factors like explainability and adaptability, which directly relate to the concepts of complementarity and reliance. The confidence level displayed by an AI and the provided explanation impact the trust level of human decision-makers</w:t>
      </w:r>
      <w:r>
        <w:t xml:space="preserve"> </w:t>
      </w:r>
      <w:r>
        <w:t xml:space="preserve">(Y. Zhang et al., 2020)</w:t>
      </w:r>
      <w:r>
        <w:t xml:space="preserve">. When people do not understand the basis of AI recommendations (or believe the AI to be a black box), they are less likely to trust it and therefore less likely to rely on the AI even when it would improve decision quality</w:t>
      </w:r>
      <w:r>
        <w:t xml:space="preserve"> </w:t>
      </w:r>
      <w:r>
        <w:t xml:space="preserve">(Westphal et al., 2023)</w:t>
      </w:r>
      <w:r>
        <w:t xml:space="preserve">. In this way, lack of explainability presents a risk to decision quality.</w:t>
      </w:r>
    </w:p>
    <w:p>
      <w:pPr>
        <w:pStyle w:val="BodyText"/>
      </w:pPr>
      <w:r>
        <w:rPr>
          <w:b/>
          <w:bCs/>
        </w:rPr>
        <w:t xml:space="preserve">Complementarity.</w:t>
      </w:r>
      <w:r>
        <w:t xml:space="preserve"> </w:t>
      </w:r>
      <w:r>
        <w:t xml:space="preserve">Research indicates that human-AI teams, under certain conditions, can achieve superior decision quality compared to either human-only or AI-only groups, demonstrating the potential for human-AI complementarity</w:t>
      </w:r>
      <w:r>
        <w:t xml:space="preserve"> </w:t>
      </w:r>
      <w:r>
        <w:t xml:space="preserve">(Steyvers et al., 2022; Zöller et al., 2024)</w:t>
      </w:r>
      <w:r>
        <w:t xml:space="preserve">. This complementarity arises from leveraging the distinct strengths of humans and machines: AI systems excel at processing large datasets and identifying patterns, while humans contribute contextual understanding, ethical considerations, and creative problem-solving abilities</w:t>
      </w:r>
      <w:r>
        <w:t xml:space="preserve"> </w:t>
      </w:r>
      <w:r>
        <w:t xml:space="preserve">(Canonico et al., 2019; Carter &amp; Wynne, 2024)</w:t>
      </w:r>
      <w:r>
        <w:t xml:space="preserve">. For instance, in medical diagnostics, hybrid human-AI collectives have shown greater accuracy in differential diagnoses due to the diverse error profiles of humans and LLMs</w:t>
      </w:r>
      <w:r>
        <w:t xml:space="preserve"> </w:t>
      </w:r>
      <w:r>
        <w:t xml:space="preserve">(Zöller et al., 2024)</w:t>
      </w:r>
      <w:r>
        <w:t xml:space="preserve">. However, achieving this complementarity requires careful consideration of task allocation and team structure</w:t>
      </w:r>
      <w:r>
        <w:t xml:space="preserve"> </w:t>
      </w:r>
      <w:r>
        <w:t xml:space="preserve">(Marjieh, Sucholutsky, et al., 2024; Q. Zhang et al., 2022)</w:t>
      </w:r>
      <w:r>
        <w:t xml:space="preserve">. Bayesian modeling approaches have been developed to formally analyze and optimize human-AI complementarity, demonstrating that hybrid combinations can outperform either component alone under specific conditions</w:t>
      </w:r>
      <w:r>
        <w:t xml:space="preserve"> </w:t>
      </w:r>
      <w:r>
        <w:t xml:space="preserve">(Lemus et al., 2022; Steyvers et al., 2022)</w:t>
      </w:r>
      <w:r>
        <w:t xml:space="preserve">.</w:t>
      </w:r>
    </w:p>
    <w:p>
      <w:pPr>
        <w:pStyle w:val="BodyText"/>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7"/>
        </w:numPr>
      </w:pPr>
      <w:r>
        <w:t xml:space="preserve">Performance Gains and Limits: Complementarity vs. overreliance</w:t>
      </w:r>
      <w:r>
        <w:t xml:space="preserve"> </w:t>
      </w:r>
      <w:r>
        <w:t xml:space="preserve">(Liang et al., 2022)</w:t>
      </w:r>
    </w:p>
    <w:bookmarkEnd w:id="35"/>
    <w:bookmarkStart w:id="36" w:name="trust-and-reliance"/>
    <w:p>
      <w:pPr>
        <w:pStyle w:val="Heading3"/>
      </w:pPr>
      <w:r>
        <w:t xml:space="preserve">Trust and Reliance</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8"/>
        </w:numPr>
      </w:pPr>
      <w:r>
        <w:t xml:space="preserve">Contagion Effects of (Dis)Trust: Spread of distrust or overconfidence within human–AI teams</w:t>
      </w:r>
      <w:r>
        <w:t xml:space="preserve"> </w:t>
      </w:r>
      <w:r>
        <w:t xml:space="preserve">(Duan et al., 2025)</w:t>
      </w:r>
    </w:p>
    <w:p>
      <w:pPr>
        <w:numPr>
          <w:ilvl w:val="0"/>
          <w:numId w:val="1008"/>
        </w:numPr>
      </w:pPr>
      <w:r>
        <w:t xml:space="preserve">Uncalibrated vs. Well-Calibrated AI: Conditions under which uncalibrated AI might paradoxically enhance outcomes</w:t>
      </w:r>
      <w:r>
        <w:t xml:space="preserve"> </w:t>
      </w:r>
      <w:r>
        <w:t xml:space="preserve">(Vodrahalli et al., 2022)</w:t>
      </w:r>
    </w:p>
    <w:p>
      <w:pPr>
        <w:pStyle w:val="FirstParagraph"/>
      </w:pPr>
      <w:r>
        <w:rPr>
          <w:b/>
          <w:bCs/>
        </w:rPr>
        <w:t xml:space="preserve">Satisfaction, Acceptance, and Group Dynamics.</w:t>
      </w:r>
      <w:r>
        <w:t xml:space="preserve"> </w:t>
      </w:r>
      <w:r>
        <w:t xml:space="preserve">Beyond objective measures of decision quality, the subjective experiences of group members, including satisfaction, acceptance, and shifts in group dynamics, are crucial outputs in AI-assisted decision-making. User satisfaction with AI systems is significantly influenced by factors such as interface design, perceived cognitive load, and the type of AI assistance provided</w:t>
      </w:r>
      <w:r>
        <w:t xml:space="preserve"> </w:t>
      </w:r>
      <w:r>
        <w:t xml:space="preserve">(Buçinca et al., 2021; Rebholz et al., 2024)</w:t>
      </w:r>
      <w:r>
        <w:t xml:space="preserve">. For instance, while cognitive forcing functions can improve decision accuracy, they may also decrease user satisfaction due to increased perceived complexity</w:t>
      </w:r>
      <w:r>
        <w:t xml:space="preserve"> </w:t>
      </w:r>
      <w:r>
        <w:t xml:space="preserve">(Buçinca et al., 2021)</w:t>
      </w:r>
      <w:r>
        <w:t xml:space="preserve">. Acceptance of AI in group settings is contingent on various factors, including the perceived usefulness of AI, trust in its recommendations, and alignment with human values</w:t>
      </w:r>
      <w:r>
        <w:t xml:space="preserve"> </w:t>
      </w:r>
      <w:r>
        <w:t xml:space="preserve">(S. Narayanan et al., 2023)</w:t>
      </w:r>
      <w:r>
        <w:t xml:space="preserve">. Furthermore, AI integration can reshape group dynamics, potentially influencing group polarization and the emergence of echo chambers or polarization phenomena</w:t>
      </w:r>
      <w:r>
        <w:t xml:space="preserve"> </w:t>
      </w:r>
      <w:r>
        <w:t xml:space="preserve">(Cheung et al., 2024)</w:t>
      </w:r>
      <w:r>
        <w:t xml:space="preserve">. While AI can facilitate consensus formation and bridge diverse viewpoints</w:t>
      </w:r>
      <w:r>
        <w:t xml:space="preserve"> </w:t>
      </w:r>
      <w:r>
        <w:t xml:space="preserve">(Tessler et al., 2024)</w:t>
      </w:r>
      <w:r>
        <w:t xml:space="preserve"> </w:t>
      </w:r>
      <w:r>
        <w:t xml:space="preserve">it also carries the risk of amplifying existing biases and limiting exposure to diverse perspectives</w:t>
      </w:r>
      <w:r>
        <w:t xml:space="preserve"> </w:t>
      </w:r>
      <w:r>
        <w:t xml:space="preserve">(Cheung et al., 2024; Sharma et al., 2024)</w:t>
      </w:r>
      <w:r>
        <w:t xml:space="preserve">.</w:t>
      </w:r>
    </w:p>
    <w:p>
      <w:pPr>
        <w:pStyle w:val="BodyText"/>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6"/>
    <w:bookmarkStart w:id="37" w:name="responsibility"/>
    <w:p>
      <w:pPr>
        <w:pStyle w:val="Heading3"/>
      </w:pPr>
      <w:r>
        <w:t xml:space="preserve">Responsibility</w:t>
      </w:r>
    </w:p>
    <w:p>
      <w:pPr>
        <w:pStyle w:val="Compact"/>
        <w:numPr>
          <w:ilvl w:val="0"/>
          <w:numId w:val="1009"/>
        </w:numPr>
      </w:pPr>
      <w:r>
        <w:t xml:space="preserve">(S. 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7"/>
    <w:bookmarkStart w:id="38" w:name="future-research-directions-output"/>
    <w:p>
      <w:pPr>
        <w:pStyle w:val="Heading3"/>
      </w:pPr>
      <w:r>
        <w:t xml:space="preserve">Future Research Directions (Output)</w:t>
      </w:r>
    </w:p>
    <w:p>
      <w:pPr>
        <w:pStyle w:val="Compact"/>
        <w:numPr>
          <w:ilvl w:val="0"/>
          <w:numId w:val="1010"/>
        </w:numPr>
      </w:pPr>
      <w:r>
        <w:t xml:space="preserve">How can we develop better metrics and methods for evaluating decision quality in human-AI teams, beyond simple accuracy measures?</w:t>
      </w:r>
    </w:p>
    <w:p>
      <w:pPr>
        <w:pStyle w:val="Compact"/>
        <w:numPr>
          <w:ilvl w:val="0"/>
          <w:numId w:val="1010"/>
        </w:numPr>
      </w:pPr>
      <w:r>
        <w:t xml:space="preserve">Developing methods for measuring and monitoring reliance in real-time?</w:t>
      </w:r>
    </w:p>
    <w:p>
      <w:pPr>
        <w:pStyle w:val="Compact"/>
        <w:numPr>
          <w:ilvl w:val="0"/>
          <w:numId w:val="1010"/>
        </w:numPr>
      </w:pPr>
      <w:r>
        <w:t xml:space="preserve">Developing interventions that promote appropriate trust calibration</w:t>
      </w:r>
    </w:p>
    <w:bookmarkEnd w:id="38"/>
    <w:bookmarkStart w:id="39" w:name="discussion"/>
    <w:p>
      <w:pPr>
        <w:pStyle w:val="Heading3"/>
      </w:pPr>
      <w:r>
        <w:t xml:space="preserve">Discussion</w:t>
      </w:r>
    </w:p>
    <w:bookmarkEnd w:id="39"/>
    <w:bookmarkStart w:id="40" w:name="future-directions"/>
    <w:p>
      <w:pPr>
        <w:pStyle w:val="Heading3"/>
      </w:pPr>
      <w:r>
        <w:t xml:space="preserve">Future Directions</w:t>
      </w:r>
    </w:p>
    <w:p>
      <w:pPr>
        <w:pStyle w:val="Compact"/>
        <w:numPr>
          <w:ilvl w:val="0"/>
          <w:numId w:val="1011"/>
        </w:numPr>
      </w:pPr>
      <w:r>
        <w:t xml:space="preserve">Designing systems that can actively promote constructive dialogue, facilitate perspective-taking, and encourage the integration of diverse viewpoints in group decision-making</w:t>
      </w:r>
    </w:p>
    <w:p>
      <w:pPr>
        <w:pStyle w:val="Compact"/>
        <w:numPr>
          <w:ilvl w:val="0"/>
          <w:numId w:val="1011"/>
        </w:numPr>
      </w:pPr>
      <w:r>
        <w:t xml:space="preserve">Opportunities for real-time AI moderation (Han et al., 2024)</w:t>
      </w:r>
    </w:p>
    <w:p>
      <w:pPr>
        <w:pStyle w:val="Compact"/>
        <w:numPr>
          <w:ilvl w:val="0"/>
          <w:numId w:val="1011"/>
        </w:numPr>
      </w:pPr>
      <w:r>
        <w:t xml:space="preserve">Evolving norms around AI accountability (Smith et al., 2025)</w:t>
      </w:r>
    </w:p>
    <w:p>
      <w:pPr>
        <w:pStyle w:val="Compact"/>
        <w:numPr>
          <w:ilvl w:val="0"/>
          <w:numId w:val="1011"/>
        </w:numPr>
      </w:pPr>
      <w:r>
        <w:t xml:space="preserve">potential negative impacts of AI on human skills, critical thinking, and agency (Gerlich, 2025; H. Kumar et al., 2024)</w:t>
      </w:r>
    </w:p>
    <w:p>
      <w:pPr>
        <w:pStyle w:val="Compact"/>
        <w:numPr>
          <w:ilvl w:val="0"/>
          <w:numId w:val="1011"/>
        </w:numPr>
      </w:pPr>
      <w:r>
        <w:t xml:space="preserve">Effects of AI on group extremity and the emergence of echo chambers or polarization phenomena (van Swol et al., 2023).</w:t>
      </w:r>
    </w:p>
    <w:p>
      <w:pPr>
        <w:pStyle w:val="Compact"/>
        <w:numPr>
          <w:ilvl w:val="0"/>
          <w:numId w:val="1011"/>
        </w:numPr>
      </w:pPr>
      <w:r>
        <w:t xml:space="preserve">privacy, accountability, and fairness in AI-assisted group decision making (Cui &amp; Yasseri, 2024; Barredo Arrieta et al., 2020).</w:t>
      </w:r>
    </w:p>
    <w:bookmarkEnd w:id="40"/>
    <w:bookmarkEnd w:id="41"/>
    <w:bookmarkStart w:id="212" w:name="references"/>
    <w:p>
      <w:pPr>
        <w:pStyle w:val="Heading2"/>
      </w:pPr>
      <w:r>
        <w:t xml:space="preserve">References</w:t>
      </w:r>
    </w:p>
    <w:bookmarkStart w:id="211" w:name="refs"/>
    <w:bookmarkStart w:id="43"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2">
        <w:r>
          <w:rPr>
            <w:rStyle w:val="Hyperlink"/>
          </w:rPr>
          <w:t xml:space="preserve">https://doi.org/10.1111/tops.12681</w:t>
        </w:r>
      </w:hyperlink>
    </w:p>
    <w:bookmarkEnd w:id="43"/>
    <w:bookmarkStart w:id="45"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4">
        <w:r>
          <w:rPr>
            <w:rStyle w:val="Hyperlink"/>
          </w:rPr>
          <w:t xml:space="preserve">https://doi.org/10.1038/s41598-024-67829-6</w:t>
        </w:r>
      </w:hyperlink>
    </w:p>
    <w:bookmarkEnd w:id="45"/>
    <w:bookmarkStart w:id="47" w:name="ref-argyleLeveragingAIDemocratic2023"/>
    <w:p>
      <w:pPr>
        <w:pStyle w:val="Bibliography"/>
      </w:pPr>
      <w:r>
        <w:t xml:space="preserve">Argyle, L. P., Bail, C. A., Busby, E. C., Gubler, J. R., Howe, T., Rytting, C., Sorensen, T., &amp; Wingate, D. (2023). Leveraging</w:t>
      </w:r>
      <w:r>
        <w:t xml:space="preserve"> </w:t>
      </w:r>
      <w:r>
        <w:t xml:space="preserve">AI</w:t>
      </w:r>
      <w:r>
        <w:t xml:space="preserve"> </w:t>
      </w:r>
      <w:r>
        <w:t xml:space="preserve">for democratic discourse:</w:t>
      </w:r>
      <w:r>
        <w:t xml:space="preserve"> </w:t>
      </w:r>
      <w:r>
        <w:t xml:space="preserve">Chat</w:t>
      </w:r>
      <w:r>
        <w:t xml:space="preserve"> </w:t>
      </w:r>
      <w:r>
        <w:t xml:space="preserve">interventions can improve online political conversations at scale.</w:t>
      </w:r>
      <w:r>
        <w:t xml:space="preserve"> </w:t>
      </w:r>
      <w:r>
        <w:rPr>
          <w:i/>
          <w:iCs/>
        </w:rPr>
        <w:t xml:space="preserve">Proceedings of the National Academy of Sciences</w:t>
      </w:r>
      <w:r>
        <w:t xml:space="preserve">,</w:t>
      </w:r>
      <w:r>
        <w:t xml:space="preserve"> </w:t>
      </w:r>
      <w:r>
        <w:rPr>
          <w:i/>
          <w:iCs/>
        </w:rPr>
        <w:t xml:space="preserve">120</w:t>
      </w:r>
      <w:r>
        <w:t xml:space="preserve">(41), e2311627120.</w:t>
      </w:r>
      <w:r>
        <w:t xml:space="preserve"> </w:t>
      </w:r>
      <w:hyperlink r:id="rId46">
        <w:r>
          <w:rPr>
            <w:rStyle w:val="Hyperlink"/>
          </w:rPr>
          <w:t xml:space="preserve">https://doi.org/10.1073/pnas.2311627120</w:t>
        </w:r>
      </w:hyperlink>
    </w:p>
    <w:bookmarkEnd w:id="47"/>
    <w:bookmarkStart w:id="49"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8">
        <w:r>
          <w:rPr>
            <w:rStyle w:val="Hyperlink"/>
          </w:rPr>
          <w:t xml:space="preserve">https://doi.org/10.48550/arXiv.2401.13481</w:t>
        </w:r>
      </w:hyperlink>
    </w:p>
    <w:bookmarkEnd w:id="49"/>
    <w:bookmarkStart w:id="51"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0">
        <w:r>
          <w:rPr>
            <w:rStyle w:val="Hyperlink"/>
          </w:rPr>
          <w:t xml:space="preserve">https://doi.org/10.1080/12460125.2024.2349425</w:t>
        </w:r>
      </w:hyperlink>
    </w:p>
    <w:bookmarkEnd w:id="51"/>
    <w:bookmarkStart w:id="53" w:name="ref-bansalDoesWholeExceed2021"/>
    <w:p>
      <w:pPr>
        <w:pStyle w:val="Bibliography"/>
      </w:pPr>
      <w:r>
        <w:t xml:space="preserve">Bansal, G., Wu, T., Zhou, J., Fok, R., Nushi, B., Kamar, E., Ribeiro, M. T., &amp; Weld, D. (2021). Does the</w:t>
      </w:r>
      <w:r>
        <w:t xml:space="preserve"> </w:t>
      </w:r>
      <w:r>
        <w:t xml:space="preserve">Whole Exceed</w:t>
      </w:r>
      <w:r>
        <w:t xml:space="preserve"> </w:t>
      </w:r>
      <w:r>
        <w:t xml:space="preserve">its</w:t>
      </w:r>
      <w:r>
        <w:t xml:space="preserve"> </w:t>
      </w:r>
      <w:r>
        <w:t xml:space="preserve">Parts</w:t>
      </w:r>
      <w:r>
        <w:t xml:space="preserve">?</w:t>
      </w:r>
      <w:r>
        <w:t xml:space="preserve"> </w:t>
      </w:r>
      <w:r>
        <w:t xml:space="preserve">The Effect</w:t>
      </w:r>
      <w:r>
        <w:t xml:space="preserve"> </w:t>
      </w:r>
      <w:r>
        <w:t xml:space="preserve">of</w:t>
      </w:r>
      <w:r>
        <w:t xml:space="preserve"> </w:t>
      </w:r>
      <w:r>
        <w:t xml:space="preserve">AI Explanations</w:t>
      </w:r>
      <w:r>
        <w:t xml:space="preserve"> </w:t>
      </w:r>
      <w:r>
        <w:t xml:space="preserve">on</w:t>
      </w:r>
      <w:r>
        <w:t xml:space="preserve"> </w:t>
      </w:r>
      <w:r>
        <w:t xml:space="preserve">Complementary Team Performance</w:t>
      </w:r>
      <w:r>
        <w:t xml:space="preserve">.</w:t>
      </w:r>
      <w:r>
        <w:t xml:space="preserve"> </w:t>
      </w:r>
      <w:r>
        <w:rPr>
          <w:i/>
          <w:iCs/>
        </w:rPr>
        <w:t xml:space="preserve">Proceedings of the 2021</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1–16.</w:t>
      </w:r>
      <w:r>
        <w:t xml:space="preserve"> </w:t>
      </w:r>
      <w:hyperlink r:id="rId52">
        <w:r>
          <w:rPr>
            <w:rStyle w:val="Hyperlink"/>
          </w:rPr>
          <w:t xml:space="preserve">https://doi.org/10.1145/3411764.3445717</w:t>
        </w:r>
      </w:hyperlink>
    </w:p>
    <w:bookmarkEnd w:id="53"/>
    <w:bookmarkStart w:id="55"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4">
        <w:r>
          <w:rPr>
            <w:rStyle w:val="Hyperlink"/>
          </w:rPr>
          <w:t xml:space="preserve">https://arxiv.org/abs/2306.11980</w:t>
        </w:r>
      </w:hyperlink>
    </w:p>
    <w:bookmarkEnd w:id="55"/>
    <w:bookmarkStart w:id="57"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6">
        <w:r>
          <w:rPr>
            <w:rStyle w:val="Hyperlink"/>
          </w:rPr>
          <w:t xml:space="preserve">https://doi.org/10.1007/s42113-022-00149-y</w:t>
        </w:r>
      </w:hyperlink>
    </w:p>
    <w:bookmarkEnd w:id="57"/>
    <w:bookmarkStart w:id="59"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8">
        <w:r>
          <w:rPr>
            <w:rStyle w:val="Hyperlink"/>
          </w:rPr>
          <w:t xml:space="preserve">https://doi.org/10.1111/tops.12683</w:t>
        </w:r>
      </w:hyperlink>
    </w:p>
    <w:bookmarkEnd w:id="59"/>
    <w:bookmarkStart w:id="61"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60">
        <w:r>
          <w:rPr>
            <w:rStyle w:val="Hyperlink"/>
          </w:rPr>
          <w:t xml:space="preserve">https://doi.org/10.3389/frai.2023.1250725</w:t>
        </w:r>
      </w:hyperlink>
    </w:p>
    <w:bookmarkEnd w:id="61"/>
    <w:bookmarkStart w:id="63"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2">
        <w:r>
          <w:rPr>
            <w:rStyle w:val="Hyperlink"/>
          </w:rPr>
          <w:t xml:space="preserve">https://doi.org/10.1037/xge0001607</w:t>
        </w:r>
      </w:hyperlink>
    </w:p>
    <w:bookmarkEnd w:id="63"/>
    <w:bookmarkStart w:id="65"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4">
        <w:r>
          <w:rPr>
            <w:rStyle w:val="Hyperlink"/>
          </w:rPr>
          <w:t xml:space="preserve">https://doi.org/10.3389/fpsyg.2023.1208019</w:t>
        </w:r>
      </w:hyperlink>
    </w:p>
    <w:bookmarkEnd w:id="65"/>
    <w:bookmarkStart w:id="67"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6">
        <w:r>
          <w:rPr>
            <w:rStyle w:val="Hyperlink"/>
          </w:rPr>
          <w:t xml:space="preserve">https://doi.org/10.1111/jpim.12656</w:t>
        </w:r>
      </w:hyperlink>
    </w:p>
    <w:bookmarkEnd w:id="67"/>
    <w:bookmarkStart w:id="69"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8">
        <w:r>
          <w:rPr>
            <w:rStyle w:val="Hyperlink"/>
          </w:rPr>
          <w:t xml:space="preserve">https://doi.org/10.1287/orsc.2023.18430</w:t>
        </w:r>
      </w:hyperlink>
    </w:p>
    <w:bookmarkEnd w:id="69"/>
    <w:bookmarkStart w:id="71"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70">
        <w:r>
          <w:rPr>
            <w:rStyle w:val="Hyperlink"/>
          </w:rPr>
          <w:t xml:space="preserve">https://doi.org/10.1145/3449287</w:t>
        </w:r>
      </w:hyperlink>
    </w:p>
    <w:bookmarkEnd w:id="71"/>
    <w:bookmarkStart w:id="73" w:name="X5896c0ad86b51d8194280c4566d38756dc022f1"/>
    <w:p>
      <w:pPr>
        <w:pStyle w:val="Bibliography"/>
      </w:pPr>
      <w:r>
        <w:t xml:space="preserve">Buçinca, Z., Swaroop, S., Paluch, A. E., Doshi-Velez, F., &amp; Gajos, K. Z. (2024).</w:t>
      </w:r>
      <w:r>
        <w:t xml:space="preserve"> </w:t>
      </w:r>
      <w:r>
        <w:rPr>
          <w:i/>
          <w:iCs/>
        </w:rPr>
        <w:t xml:space="preserve">Contrastive</w:t>
      </w:r>
      <w:r>
        <w:rPr>
          <w:i/>
          <w:iCs/>
        </w:rPr>
        <w:t xml:space="preserve"> </w:t>
      </w:r>
      <w:r>
        <w:rPr>
          <w:i/>
          <w:iCs/>
        </w:rPr>
        <w:t xml:space="preserve">Explanations That Anticipate Human Misconceptions Can Improve Human Decision-Making Skills</w:t>
      </w:r>
      <w:r>
        <w:t xml:space="preserve"> </w:t>
      </w:r>
      <w:r>
        <w:t xml:space="preserve">(arXiv:2410.04253). arXiv.</w:t>
      </w:r>
      <w:r>
        <w:t xml:space="preserve"> </w:t>
      </w:r>
      <w:hyperlink r:id="rId72">
        <w:r>
          <w:rPr>
            <w:rStyle w:val="Hyperlink"/>
          </w:rPr>
          <w:t xml:space="preserve">https://arxiv.org/abs/2410.04253</w:t>
        </w:r>
      </w:hyperlink>
    </w:p>
    <w:bookmarkEnd w:id="73"/>
    <w:bookmarkStart w:id="75"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4">
        <w:r>
          <w:rPr>
            <w:rStyle w:val="Hyperlink"/>
          </w:rPr>
          <w:t xml:space="preserve">https://doi.org/10.1038/s41562-024-01959-9</w:t>
        </w:r>
      </w:hyperlink>
    </w:p>
    <w:bookmarkEnd w:id="75"/>
    <w:bookmarkStart w:id="77" w:name="Xd297529493be14072425e065a9e0c522f99984d"/>
    <w:p>
      <w:pPr>
        <w:pStyle w:val="Bibliography"/>
      </w:pPr>
      <w:r>
        <w:t xml:space="preserve">Canonico, L. B., Flathmann, C., &amp; McNeese, N. (2019). Collectively</w:t>
      </w:r>
      <w:r>
        <w:t xml:space="preserve"> </w:t>
      </w:r>
      <w:r>
        <w:t xml:space="preserve">Intelligent Teams</w:t>
      </w:r>
      <w:r>
        <w:t xml:space="preserve">:</w:t>
      </w:r>
      <w:r>
        <w:t xml:space="preserve"> </w:t>
      </w:r>
      <w:r>
        <w:t xml:space="preserve">Integrating Team Cognition</w:t>
      </w:r>
      <w:r>
        <w:t xml:space="preserve">,</w:t>
      </w:r>
      <w:r>
        <w:t xml:space="preserve"> </w:t>
      </w:r>
      <w:r>
        <w:t xml:space="preserve">Collective Intelligence</w:t>
      </w:r>
      <w:r>
        <w:t xml:space="preserve">, and</w:t>
      </w:r>
      <w:r>
        <w:t xml:space="preserve"> </w:t>
      </w:r>
      <w:r>
        <w:t xml:space="preserve">AI</w:t>
      </w:r>
      <w:r>
        <w:t xml:space="preserve"> </w:t>
      </w:r>
      <w:r>
        <w:t xml:space="preserve">for</w:t>
      </w:r>
      <w:r>
        <w:t xml:space="preserve"> </w:t>
      </w:r>
      <w:r>
        <w:t xml:space="preserve">Future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63</w:t>
      </w:r>
      <w:r>
        <w:t xml:space="preserve">(1), 1466–1470.</w:t>
      </w:r>
      <w:r>
        <w:t xml:space="preserve"> </w:t>
      </w:r>
      <w:hyperlink r:id="rId76">
        <w:r>
          <w:rPr>
            <w:rStyle w:val="Hyperlink"/>
          </w:rPr>
          <w:t xml:space="preserve">https://doi.org/10.1177/1071181319631278</w:t>
        </w:r>
      </w:hyperlink>
    </w:p>
    <w:bookmarkEnd w:id="77"/>
    <w:bookmarkStart w:id="79"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8">
        <w:r>
          <w:rPr>
            <w:rStyle w:val="Hyperlink"/>
          </w:rPr>
          <w:t xml:space="preserve">https://doi.org/10.1016/j.cognition.2022.105264</w:t>
        </w:r>
      </w:hyperlink>
    </w:p>
    <w:bookmarkEnd w:id="79"/>
    <w:bookmarkStart w:id="81"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80">
        <w:r>
          <w:rPr>
            <w:rStyle w:val="Hyperlink"/>
          </w:rPr>
          <w:t xml:space="preserve">https://doi.org/10.1111/emre.12685</w:t>
        </w:r>
      </w:hyperlink>
    </w:p>
    <w:bookmarkEnd w:id="81"/>
    <w:bookmarkStart w:id="83"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82">
        <w:r>
          <w:rPr>
            <w:rStyle w:val="Hyperlink"/>
          </w:rPr>
          <w:t xml:space="preserve">https://doi.org/10.1038/s41598-024-60220-5</w:t>
        </w:r>
      </w:hyperlink>
    </w:p>
    <w:bookmarkEnd w:id="83"/>
    <w:bookmarkStart w:id="85" w:name="ref-cheungLargeLanguageModels2024"/>
    <w:p>
      <w:pPr>
        <w:pStyle w:val="Bibliography"/>
      </w:pPr>
      <w:r>
        <w:t xml:space="preserve">Cheung, V., Maier, M., &amp; Lieder, F. (2024).</w:t>
      </w:r>
      <w:r>
        <w:t xml:space="preserve"> </w:t>
      </w:r>
      <w:r>
        <w:rPr>
          <w:i/>
          <w:iCs/>
        </w:rPr>
        <w:t xml:space="preserve">Large</w:t>
      </w:r>
      <w:r>
        <w:rPr>
          <w:i/>
          <w:iCs/>
        </w:rPr>
        <w:t xml:space="preserve"> </w:t>
      </w:r>
      <w:r>
        <w:rPr>
          <w:i/>
          <w:iCs/>
        </w:rPr>
        <w:t xml:space="preserve">Language Models Amplify Human Biases</w:t>
      </w:r>
      <w:r>
        <w:rPr>
          <w:i/>
          <w:iCs/>
        </w:rPr>
        <w:t xml:space="preserve"> </w:t>
      </w:r>
      <w:r>
        <w:rPr>
          <w:i/>
          <w:iCs/>
        </w:rPr>
        <w:t xml:space="preserve">in</w:t>
      </w:r>
      <w:r>
        <w:rPr>
          <w:i/>
          <w:iCs/>
        </w:rPr>
        <w:t xml:space="preserve"> </w:t>
      </w:r>
      <w:r>
        <w:rPr>
          <w:i/>
          <w:iCs/>
        </w:rPr>
        <w:t xml:space="preserve">Moral Decision-Making</w:t>
      </w:r>
      <w:r>
        <w:t xml:space="preserve">.</w:t>
      </w:r>
      <w:r>
        <w:t xml:space="preserve"> </w:t>
      </w:r>
      <w:hyperlink r:id="rId84">
        <w:r>
          <w:rPr>
            <w:rStyle w:val="Hyperlink"/>
          </w:rPr>
          <w:t xml:space="preserve">https://doi.org/10.31234/osf.io/aj46b</w:t>
        </w:r>
      </w:hyperlink>
    </w:p>
    <w:bookmarkEnd w:id="85"/>
    <w:bookmarkStart w:id="87"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86">
        <w:r>
          <w:rPr>
            <w:rStyle w:val="Hyperlink"/>
          </w:rPr>
          <w:t xml:space="preserve">https://doi.org/10.1145/3640543.3645199</w:t>
        </w:r>
      </w:hyperlink>
    </w:p>
    <w:bookmarkEnd w:id="87"/>
    <w:bookmarkStart w:id="88"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8"/>
    <w:bookmarkStart w:id="90"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9">
        <w:r>
          <w:rPr>
            <w:rStyle w:val="Hyperlink"/>
          </w:rPr>
          <w:t xml:space="preserve">https://doi.org/10.1016/j.socec.2022.101897</w:t>
        </w:r>
      </w:hyperlink>
    </w:p>
    <w:bookmarkEnd w:id="90"/>
    <w:bookmarkStart w:id="92" w:name="ref-collinsBuildingMachinesThat2024"/>
    <w:p>
      <w:pPr>
        <w:pStyle w:val="Bibliography"/>
      </w:pPr>
      <w:r>
        <w:t xml:space="preserve">Collins, K. M., Sucholutsky, I., Bhatt, U., Chandra, K., Wong, L., Lee, M., Zhang, C. E., Zhi-Xuan, T., Ho, M., Mansinghka, V., Weller, A., Tenenbaum, J. B., &amp; Griffiths, T. L. (2024).</w:t>
      </w:r>
      <w:r>
        <w:t xml:space="preserve"> </w:t>
      </w:r>
      <w:r>
        <w:rPr>
          <w:i/>
          <w:iCs/>
        </w:rPr>
        <w:t xml:space="preserve">Building</w:t>
      </w:r>
      <w:r>
        <w:rPr>
          <w:i/>
          <w:iCs/>
        </w:rPr>
        <w:t xml:space="preserve"> </w:t>
      </w:r>
      <w:r>
        <w:rPr>
          <w:i/>
          <w:iCs/>
        </w:rPr>
        <w:t xml:space="preserve">Machines</w:t>
      </w:r>
      <w:r>
        <w:rPr>
          <w:i/>
          <w:iCs/>
        </w:rPr>
        <w:t xml:space="preserve"> </w:t>
      </w:r>
      <w:r>
        <w:rPr>
          <w:i/>
          <w:iCs/>
        </w:rPr>
        <w:t xml:space="preserve">that</w:t>
      </w:r>
      <w:r>
        <w:rPr>
          <w:i/>
          <w:iCs/>
        </w:rPr>
        <w:t xml:space="preserve"> </w:t>
      </w:r>
      <w:r>
        <w:rPr>
          <w:i/>
          <w:iCs/>
        </w:rPr>
        <w:t xml:space="preserve">Learn</w:t>
      </w:r>
      <w:r>
        <w:rPr>
          <w:i/>
          <w:iCs/>
        </w:rPr>
        <w:t xml:space="preserve"> </w:t>
      </w:r>
      <w:r>
        <w:rPr>
          <w:i/>
          <w:iCs/>
        </w:rPr>
        <w:t xml:space="preserve">and</w:t>
      </w:r>
      <w:r>
        <w:rPr>
          <w:i/>
          <w:iCs/>
        </w:rPr>
        <w:t xml:space="preserve"> </w:t>
      </w:r>
      <w:r>
        <w:rPr>
          <w:i/>
          <w:iCs/>
        </w:rPr>
        <w:t xml:space="preserve">Think</w:t>
      </w:r>
      <w:r>
        <w:rPr>
          <w:i/>
          <w:iCs/>
        </w:rPr>
        <w:t xml:space="preserve"> </w:t>
      </w:r>
      <w:r>
        <w:rPr>
          <w:i/>
          <w:iCs/>
        </w:rPr>
        <w:t xml:space="preserve">with</w:t>
      </w:r>
      <w:r>
        <w:rPr>
          <w:i/>
          <w:iCs/>
        </w:rPr>
        <w:t xml:space="preserve"> </w:t>
      </w:r>
      <w:r>
        <w:rPr>
          <w:i/>
          <w:iCs/>
        </w:rPr>
        <w:t xml:space="preserve">People</w:t>
      </w:r>
      <w:r>
        <w:t xml:space="preserve"> </w:t>
      </w:r>
      <w:r>
        <w:t xml:space="preserve">(arXiv:2408.03943). arXiv.</w:t>
      </w:r>
      <w:r>
        <w:t xml:space="preserve"> </w:t>
      </w:r>
      <w:hyperlink r:id="rId91">
        <w:r>
          <w:rPr>
            <w:rStyle w:val="Hyperlink"/>
          </w:rPr>
          <w:t xml:space="preserve">https://arxiv.org/abs/2408.03943</w:t>
        </w:r>
      </w:hyperlink>
    </w:p>
    <w:bookmarkEnd w:id="92"/>
    <w:bookmarkStart w:id="94"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93">
        <w:r>
          <w:rPr>
            <w:rStyle w:val="Hyperlink"/>
          </w:rPr>
          <w:t xml:space="preserve">https://doi.org/10.1016/j.patter.2024.101074</w:t>
        </w:r>
      </w:hyperlink>
    </w:p>
    <w:bookmarkEnd w:id="94"/>
    <w:bookmarkStart w:id="96"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5">
        <w:r>
          <w:rPr>
            <w:rStyle w:val="Hyperlink"/>
          </w:rPr>
          <w:t xml:space="preserve">https://doi.org/10.1007/s12599-024-00918-y</w:t>
        </w:r>
      </w:hyperlink>
    </w:p>
    <w:bookmarkEnd w:id="96"/>
    <w:bookmarkStart w:id="97" w:name="ref-duLargeLanguageModels2024"/>
    <w:p>
      <w:pPr>
        <w:pStyle w:val="Bibliography"/>
      </w:pPr>
      <w:r>
        <w:t xml:space="preserve">Du, Y., Rajivan, P., &amp; Gonzalez, C. C. (2024). Large</w:t>
      </w:r>
      <w:r>
        <w:t xml:space="preserve"> </w:t>
      </w:r>
      <w:r>
        <w:t xml:space="preserve">Language Models</w:t>
      </w:r>
      <w:r>
        <w:t xml:space="preserve"> </w:t>
      </w:r>
      <w:r>
        <w:t xml:space="preserve">for</w:t>
      </w:r>
      <w:r>
        <w:t xml:space="preserve"> </w:t>
      </w:r>
      <w:r>
        <w:t xml:space="preserve">Collective Problem-Solving</w:t>
      </w:r>
      <w:r>
        <w:t xml:space="preserve">:</w:t>
      </w:r>
      <w:r>
        <w:t xml:space="preserve"> </w:t>
      </w:r>
      <w:r>
        <w:t xml:space="preserve">Insights</w:t>
      </w:r>
      <w:r>
        <w:t xml:space="preserve"> </w:t>
      </w:r>
      <w:r>
        <w:t xml:space="preserve">into</w:t>
      </w:r>
      <w:r>
        <w:t xml:space="preserve"> </w:t>
      </w:r>
      <w:r>
        <w:t xml:space="preserve">Group Consensus Decision-Making</w:t>
      </w:r>
      <w:r>
        <w:t xml:space="preserve">.</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7"/>
    <w:bookmarkStart w:id="99"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8">
        <w:r>
          <w:rPr>
            <w:rStyle w:val="Hyperlink"/>
          </w:rPr>
          <w:t xml:space="preserve">https://doi.org/10.1016/j.chb.2025.108560</w:t>
        </w:r>
      </w:hyperlink>
    </w:p>
    <w:bookmarkEnd w:id="99"/>
    <w:bookmarkStart w:id="101"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100">
        <w:r>
          <w:rPr>
            <w:rStyle w:val="Hyperlink"/>
          </w:rPr>
          <w:t xml:space="preserve">https://arxiv.org/abs/2402.17385</w:t>
        </w:r>
      </w:hyperlink>
    </w:p>
    <w:bookmarkEnd w:id="101"/>
    <w:bookmarkStart w:id="102"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102"/>
    <w:bookmarkStart w:id="104" w:name="ref-fortunatiMovingAheadHumanMachine2021"/>
    <w:p>
      <w:pPr>
        <w:pStyle w:val="Bibliography"/>
      </w:pPr>
      <w:r>
        <w:t xml:space="preserve">Fortunati, L., &amp; Edwards, A. (2021). Moving</w:t>
      </w:r>
      <w:r>
        <w:t xml:space="preserve"> </w:t>
      </w:r>
      <w:r>
        <w:t xml:space="preserve">Ahead With Human-Machine Communication</w:t>
      </w:r>
      <w:r>
        <w:t xml:space="preserve">.</w:t>
      </w:r>
      <w:r>
        <w:t xml:space="preserve"> </w:t>
      </w:r>
      <w:r>
        <w:rPr>
          <w:i/>
          <w:iCs/>
        </w:rPr>
        <w:t xml:space="preserve">Human-Machine Communication</w:t>
      </w:r>
      <w:r>
        <w:t xml:space="preserve">,</w:t>
      </w:r>
      <w:r>
        <w:t xml:space="preserve"> </w:t>
      </w:r>
      <w:r>
        <w:rPr>
          <w:i/>
          <w:iCs/>
        </w:rPr>
        <w:t xml:space="preserve">2</w:t>
      </w:r>
      <w:r>
        <w:t xml:space="preserve">, 7–28.</w:t>
      </w:r>
      <w:r>
        <w:t xml:space="preserve"> </w:t>
      </w:r>
      <w:hyperlink r:id="rId103">
        <w:r>
          <w:rPr>
            <w:rStyle w:val="Hyperlink"/>
          </w:rPr>
          <w:t xml:space="preserve">https://doi.org/10.30658/hmc.2.1</w:t>
        </w:r>
      </w:hyperlink>
    </w:p>
    <w:bookmarkEnd w:id="104"/>
    <w:bookmarkStart w:id="106" w:name="ref-gaoAligningLLMAgents2024"/>
    <w:p>
      <w:pPr>
        <w:pStyle w:val="Bibliography"/>
      </w:pPr>
      <w:r>
        <w:t xml:space="preserve">Gao, G., Taymanov, A., Salinas, E., Mineiro, P., &amp; Misra, D. (2024).</w:t>
      </w:r>
      <w:r>
        <w:t xml:space="preserve"> </w:t>
      </w:r>
      <w:r>
        <w:rPr>
          <w:i/>
          <w:iCs/>
        </w:rPr>
        <w:t xml:space="preserve">Aligning</w:t>
      </w:r>
      <w:r>
        <w:rPr>
          <w:i/>
          <w:iCs/>
        </w:rPr>
        <w:t xml:space="preserve"> </w:t>
      </w:r>
      <w:r>
        <w:rPr>
          <w:i/>
          <w:iCs/>
        </w:rPr>
        <w:t xml:space="preserve">LLM Agents</w:t>
      </w:r>
      <w:r>
        <w:rPr>
          <w:i/>
          <w:iCs/>
        </w:rPr>
        <w:t xml:space="preserve"> </w:t>
      </w:r>
      <w:r>
        <w:rPr>
          <w:i/>
          <w:iCs/>
        </w:rPr>
        <w:t xml:space="preserve">by</w:t>
      </w:r>
      <w:r>
        <w:rPr>
          <w:i/>
          <w:iCs/>
        </w:rPr>
        <w:t xml:space="preserve"> </w:t>
      </w:r>
      <w:r>
        <w:rPr>
          <w:i/>
          <w:iCs/>
        </w:rPr>
        <w:t xml:space="preserve">Learning Latent Preference</w:t>
      </w:r>
      <w:r>
        <w:rPr>
          <w:i/>
          <w:iCs/>
        </w:rPr>
        <w:t xml:space="preserve"> </w:t>
      </w:r>
      <w:r>
        <w:rPr>
          <w:i/>
          <w:iCs/>
        </w:rPr>
        <w:t xml:space="preserve">from</w:t>
      </w:r>
      <w:r>
        <w:rPr>
          <w:i/>
          <w:iCs/>
        </w:rPr>
        <w:t xml:space="preserve"> </w:t>
      </w:r>
      <w:r>
        <w:rPr>
          <w:i/>
          <w:iCs/>
        </w:rPr>
        <w:t xml:space="preserve">User Edits</w:t>
      </w:r>
      <w:r>
        <w:t xml:space="preserve"> </w:t>
      </w:r>
      <w:r>
        <w:t xml:space="preserve">(arXiv:2404.15269). arXiv.</w:t>
      </w:r>
      <w:r>
        <w:t xml:space="preserve"> </w:t>
      </w:r>
      <w:hyperlink r:id="rId105">
        <w:r>
          <w:rPr>
            <w:rStyle w:val="Hyperlink"/>
          </w:rPr>
          <w:t xml:space="preserve">https://arxiv.org/abs/2404.15269</w:t>
        </w:r>
      </w:hyperlink>
    </w:p>
    <w:bookmarkEnd w:id="106"/>
    <w:bookmarkStart w:id="10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107">
        <w:r>
          <w:rPr>
            <w:rStyle w:val="Hyperlink"/>
          </w:rPr>
          <w:t xml:space="preserve">https://doi.org/10.3390/soc15010006</w:t>
        </w:r>
      </w:hyperlink>
    </w:p>
    <w:bookmarkEnd w:id="108"/>
    <w:bookmarkStart w:id="110" w:name="X9817679a6b7fdb9ff89dcc2e815007fe8ec6bb3"/>
    <w:p>
      <w:pPr>
        <w:pStyle w:val="Bibliography"/>
      </w:pPr>
      <w:r>
        <w:t xml:space="preserve">Gomez Caballero, C., Cho, S. M., Ke, S., Huang, C.-M., &amp; Unberath, M. (2024). Human-</w:t>
      </w:r>
      <w:r>
        <w:t xml:space="preserve">AI</w:t>
      </w:r>
      <w:r>
        <w:t xml:space="preserve"> </w:t>
      </w:r>
      <w:r>
        <w:t xml:space="preserve">collaboration is not very collaborative yet:</w:t>
      </w:r>
      <w:r>
        <w:t xml:space="preserve"> </w:t>
      </w:r>
      <w:r>
        <w:t xml:space="preserve">A</w:t>
      </w:r>
      <w:r>
        <w:t xml:space="preserve"> </w:t>
      </w:r>
      <w:r>
        <w:t xml:space="preserve">taxonomy of interaction patterns in</w:t>
      </w:r>
      <w:r>
        <w:t xml:space="preserve"> </w:t>
      </w:r>
      <w:r>
        <w:t xml:space="preserve">AI-assisted</w:t>
      </w:r>
      <w:r>
        <w:t xml:space="preserve"> </w:t>
      </w:r>
      <w:r>
        <w:t xml:space="preserve">decision making from a systematic review.</w:t>
      </w:r>
      <w:r>
        <w:t xml:space="preserve"> </w:t>
      </w:r>
      <w:r>
        <w:rPr>
          <w:i/>
          <w:iCs/>
        </w:rPr>
        <w:t xml:space="preserve">Frontiers in Computer Science</w:t>
      </w:r>
      <w:r>
        <w:t xml:space="preserve">,</w:t>
      </w:r>
      <w:r>
        <w:t xml:space="preserve"> </w:t>
      </w:r>
      <w:r>
        <w:rPr>
          <w:i/>
          <w:iCs/>
        </w:rPr>
        <w:t xml:space="preserve">6</w:t>
      </w:r>
      <w:r>
        <w:t xml:space="preserve">.</w:t>
      </w:r>
      <w:r>
        <w:t xml:space="preserve"> </w:t>
      </w:r>
      <w:hyperlink r:id="rId109">
        <w:r>
          <w:rPr>
            <w:rStyle w:val="Hyperlink"/>
          </w:rPr>
          <w:t xml:space="preserve">https://doi.org/10.3389/fcomp.2024.1521066</w:t>
        </w:r>
      </w:hyperlink>
    </w:p>
    <w:bookmarkEnd w:id="110"/>
    <w:bookmarkStart w:id="112"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111">
        <w:r>
          <w:rPr>
            <w:rStyle w:val="Hyperlink"/>
          </w:rPr>
          <w:t xml:space="preserve">https://doi.org/10.1145/3630106.3658901</w:t>
        </w:r>
      </w:hyperlink>
    </w:p>
    <w:bookmarkEnd w:id="112"/>
    <w:bookmarkStart w:id="114"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13">
        <w:r>
          <w:rPr>
            <w:rStyle w:val="Hyperlink"/>
          </w:rPr>
          <w:t xml:space="preserve">https://doi.org/10.1186/s41235-020-00248-z</w:t>
        </w:r>
      </w:hyperlink>
    </w:p>
    <w:bookmarkEnd w:id="114"/>
    <w:bookmarkStart w:id="116"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15">
        <w:r>
          <w:rPr>
            <w:rStyle w:val="Hyperlink"/>
          </w:rPr>
          <w:t xml:space="preserve">https://doi.org/10.1037/0033-2909.121.1.43</w:t>
        </w:r>
      </w:hyperlink>
    </w:p>
    <w:bookmarkEnd w:id="116"/>
    <w:bookmarkStart w:id="118"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17">
        <w:r>
          <w:rPr>
            <w:rStyle w:val="Hyperlink"/>
          </w:rPr>
          <w:t xml:space="preserve">https://doi.org/10.1109/EMR.2024.3353338</w:t>
        </w:r>
      </w:hyperlink>
    </w:p>
    <w:bookmarkEnd w:id="118"/>
    <w:bookmarkStart w:id="120"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19">
        <w:r>
          <w:rPr>
            <w:rStyle w:val="Hyperlink"/>
          </w:rPr>
          <w:t xml:space="preserve">https://arxiv.org/abs/2410.03703</w:t>
        </w:r>
      </w:hyperlink>
    </w:p>
    <w:bookmarkEnd w:id="120"/>
    <w:bookmarkStart w:id="121" w:name="Xa17abd15b3b721e51e0ad2cc18d5af623f151f1"/>
    <w:p>
      <w:pPr>
        <w:pStyle w:val="Bibliography"/>
      </w:pPr>
      <w:r>
        <w:t xml:space="preserve">Lemus, H. T., Kumar, A., &amp; Steyvers, M. (2022).</w:t>
      </w:r>
      <w:r>
        <w:t xml:space="preserve"> </w:t>
      </w:r>
      <w:r>
        <w:rPr>
          <w:i/>
          <w:iCs/>
        </w:rPr>
        <w:t xml:space="preserve">An</w:t>
      </w:r>
      <w:r>
        <w:rPr>
          <w:i/>
          <w:iCs/>
        </w:rPr>
        <w:t xml:space="preserve"> </w:t>
      </w:r>
      <w:r>
        <w:rPr>
          <w:i/>
          <w:iCs/>
        </w:rPr>
        <w:t xml:space="preserve">Empirical Investigation</w:t>
      </w:r>
      <w:r>
        <w:rPr>
          <w:i/>
          <w:iCs/>
        </w:rPr>
        <w:t xml:space="preserve"> </w:t>
      </w:r>
      <w:r>
        <w:rPr>
          <w:i/>
          <w:iCs/>
        </w:rPr>
        <w:t xml:space="preserve">of</w:t>
      </w:r>
      <w:r>
        <w:rPr>
          <w:i/>
          <w:iCs/>
        </w:rPr>
        <w:t xml:space="preserve"> </w:t>
      </w:r>
      <w:r>
        <w:rPr>
          <w:i/>
          <w:iCs/>
        </w:rPr>
        <w:t xml:space="preserve">Reliance</w:t>
      </w:r>
      <w:r>
        <w:rPr>
          <w:i/>
          <w:iCs/>
        </w:rPr>
        <w:t xml:space="preserve"> </w:t>
      </w:r>
      <w:r>
        <w:rPr>
          <w:i/>
          <w:iCs/>
        </w:rPr>
        <w:t xml:space="preserve">on</w:t>
      </w:r>
      <w:r>
        <w:rPr>
          <w:i/>
          <w:iCs/>
        </w:rPr>
        <w:t xml:space="preserve"> </w:t>
      </w:r>
      <w:r>
        <w:rPr>
          <w:i/>
          <w:iCs/>
        </w:rPr>
        <w:t xml:space="preserve">AI-Assistance</w:t>
      </w:r>
      <w:r>
        <w:rPr>
          <w:i/>
          <w:iCs/>
        </w:rPr>
        <w:t xml:space="preserve"> </w:t>
      </w:r>
      <w:r>
        <w:rPr>
          <w:i/>
          <w:iCs/>
        </w:rPr>
        <w:t xml:space="preserve">in a</w:t>
      </w:r>
      <w:r>
        <w:rPr>
          <w:i/>
          <w:iCs/>
        </w:rPr>
        <w:t xml:space="preserve"> </w:t>
      </w:r>
      <w:r>
        <w:rPr>
          <w:i/>
          <w:iCs/>
        </w:rPr>
        <w:t xml:space="preserve">Noisy-Image Classification Task</w:t>
      </w:r>
      <w:r>
        <w:t xml:space="preserve">. 13.</w:t>
      </w:r>
    </w:p>
    <w:bookmarkEnd w:id="121"/>
    <w:bookmarkStart w:id="123" w:name="ref-liConfidenceAlignsExploring2025"/>
    <w:p>
      <w:pPr>
        <w:pStyle w:val="Bibliography"/>
      </w:pPr>
      <w:r>
        <w:t xml:space="preserve">Li, J., Yang, Y., Liao, Q. V., Zhang, J., &amp; Lee, Y.-C. (2025).</w:t>
      </w:r>
      <w:r>
        <w:t xml:space="preserve"> </w:t>
      </w:r>
      <w:r>
        <w:rPr>
          <w:i/>
          <w:iCs/>
        </w:rPr>
        <w:t xml:space="preserve">As</w:t>
      </w:r>
      <w:r>
        <w:rPr>
          <w:i/>
          <w:iCs/>
        </w:rPr>
        <w:t xml:space="preserve"> </w:t>
      </w:r>
      <w:r>
        <w:rPr>
          <w:i/>
          <w:iCs/>
        </w:rPr>
        <w:t xml:space="preserve">Confidence Aligns</w:t>
      </w:r>
      <w:r>
        <w:rPr>
          <w:i/>
          <w:iCs/>
        </w:rPr>
        <w:t xml:space="preserve">:</w:t>
      </w:r>
      <w:r>
        <w:rPr>
          <w:i/>
          <w:iCs/>
        </w:rPr>
        <w:t xml:space="preserve"> </w:t>
      </w:r>
      <w:r>
        <w:rPr>
          <w:i/>
          <w:iCs/>
        </w:rPr>
        <w:t xml:space="preserve">Exploring</w:t>
      </w:r>
      <w:r>
        <w:rPr>
          <w:i/>
          <w:iCs/>
        </w:rPr>
        <w:t xml:space="preserve"> </w:t>
      </w:r>
      <w:r>
        <w:rPr>
          <w:i/>
          <w:iCs/>
        </w:rPr>
        <w:t xml:space="preserve">the</w:t>
      </w:r>
      <w:r>
        <w:rPr>
          <w:i/>
          <w:iCs/>
        </w:rPr>
        <w:t xml:space="preserve"> </w:t>
      </w:r>
      <w:r>
        <w:rPr>
          <w:i/>
          <w:iCs/>
        </w:rPr>
        <w:t xml:space="preserve">Effect</w:t>
      </w:r>
      <w:r>
        <w:rPr>
          <w:i/>
          <w:iCs/>
        </w:rPr>
        <w:t xml:space="preserve"> </w:t>
      </w:r>
      <w:r>
        <w:rPr>
          <w:i/>
          <w:iCs/>
        </w:rPr>
        <w:t xml:space="preserve">of</w:t>
      </w:r>
      <w:r>
        <w:rPr>
          <w:i/>
          <w:iCs/>
        </w:rPr>
        <w:t xml:space="preserve"> </w:t>
      </w:r>
      <w:r>
        <w:rPr>
          <w:i/>
          <w:iCs/>
        </w:rPr>
        <w:t xml:space="preserve">AI Confidence</w:t>
      </w:r>
      <w:r>
        <w:rPr>
          <w:i/>
          <w:iCs/>
        </w:rPr>
        <w:t xml:space="preserve"> </w:t>
      </w:r>
      <w:r>
        <w:rPr>
          <w:i/>
          <w:iCs/>
        </w:rPr>
        <w:t xml:space="preserve">on</w:t>
      </w:r>
      <w:r>
        <w:rPr>
          <w:i/>
          <w:iCs/>
        </w:rPr>
        <w:t xml:space="preserve"> </w:t>
      </w:r>
      <w:r>
        <w:rPr>
          <w:i/>
          <w:iCs/>
        </w:rPr>
        <w:t xml:space="preserve">Human Self-confidence</w:t>
      </w:r>
      <w:r>
        <w:rPr>
          <w:i/>
          <w:iCs/>
        </w:rPr>
        <w:t xml:space="preserve"> </w:t>
      </w:r>
      <w:r>
        <w:rPr>
          <w:i/>
          <w:iCs/>
        </w:rPr>
        <w:t xml:space="preserve">in</w:t>
      </w:r>
      <w:r>
        <w:rPr>
          <w:i/>
          <w:iCs/>
        </w:rPr>
        <w:t xml:space="preserve"> </w:t>
      </w:r>
      <w:r>
        <w:rPr>
          <w:i/>
          <w:iCs/>
        </w:rPr>
        <w:t xml:space="preserve">Human-AI Decision Making</w:t>
      </w:r>
      <w:r>
        <w:t xml:space="preserve"> </w:t>
      </w:r>
      <w:r>
        <w:t xml:space="preserve">(arXiv:2501.12868). arXiv.</w:t>
      </w:r>
      <w:r>
        <w:t xml:space="preserve"> </w:t>
      </w:r>
      <w:hyperlink r:id="rId122">
        <w:r>
          <w:rPr>
            <w:rStyle w:val="Hyperlink"/>
          </w:rPr>
          <w:t xml:space="preserve">https://doi.org/10.48550/arXiv.2501.12868</w:t>
        </w:r>
      </w:hyperlink>
    </w:p>
    <w:bookmarkEnd w:id="123"/>
    <w:bookmarkStart w:id="125"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24">
        <w:r>
          <w:rPr>
            <w:rStyle w:val="Hyperlink"/>
          </w:rPr>
          <w:t xml:space="preserve">https://doi.org/10.1186/s41235-022-00364-y</w:t>
        </w:r>
      </w:hyperlink>
    </w:p>
    <w:bookmarkEnd w:id="125"/>
    <w:bookmarkStart w:id="127"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26">
        <w:r>
          <w:rPr>
            <w:rStyle w:val="Hyperlink"/>
          </w:rPr>
          <w:t xml:space="preserve">https://arxiv.org/abs/2403.16812</w:t>
        </w:r>
      </w:hyperlink>
    </w:p>
    <w:bookmarkEnd w:id="127"/>
    <w:bookmarkStart w:id="128"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28"/>
    <w:bookmarkStart w:id="130"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29">
        <w:r>
          <w:rPr>
            <w:rStyle w:val="Hyperlink"/>
          </w:rPr>
          <w:t xml:space="preserve">https://doi.org/10.1038/s41598-024-72071-1</w:t>
        </w:r>
      </w:hyperlink>
    </w:p>
    <w:bookmarkEnd w:id="130"/>
    <w:bookmarkStart w:id="13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31">
        <w:r>
          <w:rPr>
            <w:rStyle w:val="Hyperlink"/>
          </w:rPr>
          <w:t xml:space="preserve">https://doi.org/10.1016/j.chb.2023.107874</w:t>
        </w:r>
      </w:hyperlink>
    </w:p>
    <w:bookmarkEnd w:id="132"/>
    <w:bookmarkStart w:id="134"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33">
        <w:r>
          <w:rPr>
            <w:rStyle w:val="Hyperlink"/>
          </w:rPr>
          <w:t xml:space="preserve">https://doi.org/10.2139/ssrn.4526071</w:t>
        </w:r>
      </w:hyperlink>
    </w:p>
    <w:bookmarkEnd w:id="134"/>
    <w:bookmarkStart w:id="135" w:name="ref-narayananInfluenceHumanAITeam2024"/>
    <w:p>
      <w:pPr>
        <w:pStyle w:val="Bibliography"/>
      </w:pPr>
      <w:r>
        <w:t xml:space="preserve">Narayanan, R., &amp; Feigh, K. (2024).</w:t>
      </w:r>
      <w:r>
        <w:t xml:space="preserve"> </w:t>
      </w:r>
      <w:r>
        <w:rPr>
          <w:i/>
          <w:iCs/>
        </w:rPr>
        <w:t xml:space="preserve">Influence of</w:t>
      </w:r>
      <w:r>
        <w:rPr>
          <w:i/>
          <w:iCs/>
        </w:rPr>
        <w:t xml:space="preserve"> </w:t>
      </w:r>
      <w:r>
        <w:rPr>
          <w:i/>
          <w:iCs/>
        </w:rPr>
        <w:t xml:space="preserve">Human-AI Team Structuring</w:t>
      </w:r>
      <w:r>
        <w:rPr>
          <w:i/>
          <w:iCs/>
        </w:rPr>
        <w:t xml:space="preserve"> </w:t>
      </w:r>
      <w:r>
        <w:rPr>
          <w:i/>
          <w:iCs/>
        </w:rPr>
        <w:t xml:space="preserve">on</w:t>
      </w:r>
      <w:r>
        <w:rPr>
          <w:i/>
          <w:iCs/>
        </w:rPr>
        <w:t xml:space="preserve"> </w:t>
      </w:r>
      <w:r>
        <w:rPr>
          <w:i/>
          <w:iCs/>
        </w:rPr>
        <w:t xml:space="preserve">Shared Mental Models</w:t>
      </w:r>
      <w:r>
        <w:rPr>
          <w:i/>
          <w:iCs/>
        </w:rPr>
        <w:t xml:space="preserve"> </w:t>
      </w:r>
      <w:r>
        <w:rPr>
          <w:i/>
          <w:iCs/>
        </w:rPr>
        <w:t xml:space="preserve">for</w:t>
      </w:r>
      <w:r>
        <w:rPr>
          <w:i/>
          <w:iCs/>
        </w:rPr>
        <w:t xml:space="preserve"> </w:t>
      </w:r>
      <w:r>
        <w:rPr>
          <w:i/>
          <w:iCs/>
        </w:rPr>
        <w:t xml:space="preserve">Collaborative Decision Making</w:t>
      </w:r>
      <w:r>
        <w:t xml:space="preserve">.</w:t>
      </w:r>
    </w:p>
    <w:bookmarkEnd w:id="135"/>
    <w:bookmarkStart w:id="137"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36">
        <w:r>
          <w:rPr>
            <w:rStyle w:val="Hyperlink"/>
          </w:rPr>
          <w:t xml:space="preserve">https://doi.org/10.1145/3600211.3604709</w:t>
        </w:r>
      </w:hyperlink>
    </w:p>
    <w:bookmarkEnd w:id="137"/>
    <w:bookmarkStart w:id="139"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38">
        <w:r>
          <w:rPr>
            <w:rStyle w:val="Hyperlink"/>
          </w:rPr>
          <w:t xml:space="preserve">https://doi.org/10.1111/jpr.12552</w:t>
        </w:r>
      </w:hyperlink>
    </w:p>
    <w:bookmarkEnd w:id="139"/>
    <w:bookmarkStart w:id="141"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40">
        <w:r>
          <w:rPr>
            <w:rStyle w:val="Hyperlink"/>
          </w:rPr>
          <w:t xml:space="preserve">https://doi.org/10.1145/3643562.3672609</w:t>
        </w:r>
      </w:hyperlink>
    </w:p>
    <w:bookmarkEnd w:id="141"/>
    <w:bookmarkStart w:id="14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42">
        <w:r>
          <w:rPr>
            <w:rStyle w:val="Hyperlink"/>
          </w:rPr>
          <w:t xml:space="preserve">https://doi.org/10.1037/xge0000960</w:t>
        </w:r>
      </w:hyperlink>
    </w:p>
    <w:bookmarkEnd w:id="143"/>
    <w:bookmarkStart w:id="14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44">
        <w:r>
          <w:rPr>
            <w:rStyle w:val="Hyperlink"/>
          </w:rPr>
          <w:t xml:space="preserve">https://doi.org/10.1609/aaaiss.v3i1.31202</w:t>
        </w:r>
      </w:hyperlink>
    </w:p>
    <w:bookmarkEnd w:id="145"/>
    <w:bookmarkStart w:id="14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46">
        <w:r>
          <w:rPr>
            <w:rStyle w:val="Hyperlink"/>
          </w:rPr>
          <w:t xml:space="preserve">https://doi.org/10.1609/hcomp.v11i1.27554</w:t>
        </w:r>
      </w:hyperlink>
    </w:p>
    <w:bookmarkEnd w:id="147"/>
    <w:bookmarkStart w:id="149" w:name="Xf8a82cd34a3ee2dc03a5bf0513e4c22942daa7a"/>
    <w:p>
      <w:pPr>
        <w:pStyle w:val="Bibliography"/>
      </w:pPr>
      <w:r>
        <w:t xml:space="preserve">Rebholz, T. R., Koop, A., &amp; Hütter, M. (2024). Conversational</w:t>
      </w:r>
      <w:r>
        <w:t xml:space="preserve"> </w:t>
      </w:r>
      <w:r>
        <w:t xml:space="preserve">User Interfaces</w:t>
      </w:r>
      <w:r>
        <w:t xml:space="preserve">:</w:t>
      </w:r>
      <w:r>
        <w:t xml:space="preserve"> </w:t>
      </w:r>
      <w:r>
        <w:t xml:space="preserve">Explanations</w:t>
      </w:r>
      <w:r>
        <w:t xml:space="preserve"> </w:t>
      </w:r>
      <w:r>
        <w:t xml:space="preserve">and</w:t>
      </w:r>
      <w:r>
        <w:t xml:space="preserve"> </w:t>
      </w:r>
      <w:r>
        <w:t xml:space="preserve">Interactivity Positively Influence Advice Taking</w:t>
      </w:r>
      <w:r>
        <w:t xml:space="preserve"> </w:t>
      </w:r>
      <w:r>
        <w:t xml:space="preserve">from</w:t>
      </w:r>
      <w:r>
        <w:t xml:space="preserve"> </w:t>
      </w:r>
      <w:r>
        <w:t xml:space="preserve">Generative Artificial Intelligence</w:t>
      </w:r>
      <w:r>
        <w:t xml:space="preserve">.</w:t>
      </w:r>
      <w:r>
        <w:t xml:space="preserve"> </w:t>
      </w:r>
      <w:r>
        <w:rPr>
          <w:i/>
          <w:iCs/>
        </w:rPr>
        <w:t xml:space="preserve">Technology, Mind, and Behavior</w:t>
      </w:r>
      <w:r>
        <w:t xml:space="preserve">.</w:t>
      </w:r>
      <w:r>
        <w:t xml:space="preserve"> </w:t>
      </w:r>
      <w:hyperlink r:id="rId148">
        <w:r>
          <w:rPr>
            <w:rStyle w:val="Hyperlink"/>
          </w:rPr>
          <w:t xml:space="preserve">https://doi.org/10.1037/tmb0000136</w:t>
        </w:r>
      </w:hyperlink>
    </w:p>
    <w:bookmarkEnd w:id="149"/>
    <w:bookmarkStart w:id="151"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50">
        <w:r>
          <w:rPr>
            <w:rStyle w:val="Hyperlink"/>
          </w:rPr>
          <w:t xml:space="preserve">https://doi.org/10.1016/j.chbah.2024.100116</w:t>
        </w:r>
      </w:hyperlink>
    </w:p>
    <w:bookmarkEnd w:id="151"/>
    <w:bookmarkStart w:id="153"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52">
        <w:r>
          <w:rPr>
            <w:rStyle w:val="Hyperlink"/>
          </w:rPr>
          <w:t xml:space="preserve">https://doi.org/10.1145/3613904.3642459</w:t>
        </w:r>
      </w:hyperlink>
    </w:p>
    <w:bookmarkEnd w:id="153"/>
    <w:bookmarkStart w:id="155"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54">
        <w:r>
          <w:rPr>
            <w:rStyle w:val="Hyperlink"/>
          </w:rPr>
          <w:t xml:space="preserve">https://doi.org/10.1073/pnas.2214840120</w:t>
        </w:r>
      </w:hyperlink>
    </w:p>
    <w:bookmarkEnd w:id="155"/>
    <w:bookmarkStart w:id="157"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56">
        <w:r>
          <w:rPr>
            <w:rStyle w:val="Hyperlink"/>
          </w:rPr>
          <w:t xml:space="preserve">https://doi.org/10.48550/arXiv.2409.04109</w:t>
        </w:r>
      </w:hyperlink>
    </w:p>
    <w:bookmarkEnd w:id="157"/>
    <w:bookmarkStart w:id="159"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58">
        <w:r>
          <w:rPr>
            <w:rStyle w:val="Hyperlink"/>
          </w:rPr>
          <w:t xml:space="preserve">https://doi.org/10.1145/3677081</w:t>
        </w:r>
      </w:hyperlink>
    </w:p>
    <w:bookmarkEnd w:id="159"/>
    <w:bookmarkStart w:id="161"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60">
        <w:r>
          <w:rPr>
            <w:rStyle w:val="Hyperlink"/>
          </w:rPr>
          <w:t xml:space="preserve">https://doi.org/10.48550/arXiv.2307.03744</w:t>
        </w:r>
      </w:hyperlink>
    </w:p>
    <w:bookmarkEnd w:id="161"/>
    <w:bookmarkStart w:id="163"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62">
        <w:r>
          <w:rPr>
            <w:rStyle w:val="Hyperlink"/>
          </w:rPr>
          <w:t xml:space="preserve">https://doi.org/10.1016/j.chb.2024.108386</w:t>
        </w:r>
      </w:hyperlink>
    </w:p>
    <w:bookmarkEnd w:id="163"/>
    <w:bookmarkStart w:id="165" w:name="ref-steyversBayesianModelingHuman2022"/>
    <w:p>
      <w:pPr>
        <w:pStyle w:val="Bibliography"/>
      </w:pPr>
      <w:r>
        <w:t xml:space="preserve">Steyvers, M., Tejeda, H., Kerrigan, G., &amp; Smyth, P. (2022). Bayesian modeling of human–</w:t>
      </w:r>
      <w:r>
        <w:t xml:space="preserve">AI</w:t>
      </w:r>
      <w:r>
        <w:t xml:space="preserve"> </w:t>
      </w:r>
      <w:r>
        <w:t xml:space="preserve">complementarity.</w:t>
      </w:r>
      <w:r>
        <w:t xml:space="preserve"> </w:t>
      </w:r>
      <w:r>
        <w:rPr>
          <w:i/>
          <w:iCs/>
        </w:rPr>
        <w:t xml:space="preserve">Proceedings of the National Academy of Sciences</w:t>
      </w:r>
      <w:r>
        <w:t xml:space="preserve">,</w:t>
      </w:r>
      <w:r>
        <w:t xml:space="preserve"> </w:t>
      </w:r>
      <w:r>
        <w:rPr>
          <w:i/>
          <w:iCs/>
        </w:rPr>
        <w:t xml:space="preserve">119</w:t>
      </w:r>
      <w:r>
        <w:t xml:space="preserve">(11), e2111547119.</w:t>
      </w:r>
      <w:r>
        <w:t xml:space="preserve"> </w:t>
      </w:r>
      <w:hyperlink r:id="rId164">
        <w:r>
          <w:rPr>
            <w:rStyle w:val="Hyperlink"/>
          </w:rPr>
          <w:t xml:space="preserve">https://doi.org/10.1073/pnas.2111547119</w:t>
        </w:r>
      </w:hyperlink>
    </w:p>
    <w:bookmarkEnd w:id="165"/>
    <w:bookmarkStart w:id="16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66">
        <w:r>
          <w:rPr>
            <w:rStyle w:val="Hyperlink"/>
          </w:rPr>
          <w:t xml:space="preserve">https://arxiv.org/abs/2401.13835</w:t>
        </w:r>
      </w:hyperlink>
    </w:p>
    <w:bookmarkEnd w:id="167"/>
    <w:bookmarkStart w:id="16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68">
        <w:r>
          <w:rPr>
            <w:rStyle w:val="Hyperlink"/>
          </w:rPr>
          <w:t xml:space="preserve">https://doi.org/10.1145/3640543.3645206</w:t>
        </w:r>
      </w:hyperlink>
    </w:p>
    <w:bookmarkEnd w:id="169"/>
    <w:bookmarkStart w:id="17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70">
        <w:r>
          <w:rPr>
            <w:rStyle w:val="Hyperlink"/>
          </w:rPr>
          <w:t xml:space="preserve">https://doi.org/10.1126/science.adq2852</w:t>
        </w:r>
      </w:hyperlink>
    </w:p>
    <w:bookmarkEnd w:id="171"/>
    <w:bookmarkStart w:id="17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72">
        <w:r>
          <w:rPr>
            <w:rStyle w:val="Hyperlink"/>
          </w:rPr>
          <w:t xml:space="preserve">https://doi.org/10.31234/osf.io/m4yad</w:t>
        </w:r>
      </w:hyperlink>
    </w:p>
    <w:bookmarkEnd w:id="173"/>
    <w:bookmarkStart w:id="17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74">
        <w:r>
          <w:rPr>
            <w:rStyle w:val="Hyperlink"/>
          </w:rPr>
          <w:t xml:space="preserve">https://doi.org/10.1525/collabra.121234</w:t>
        </w:r>
      </w:hyperlink>
    </w:p>
    <w:bookmarkEnd w:id="175"/>
    <w:bookmarkStart w:id="17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76">
        <w:r>
          <w:rPr>
            <w:rStyle w:val="Hyperlink"/>
          </w:rPr>
          <w:t xml:space="preserve">https://doi.org/10.1038/s41562-024-02024-1</w:t>
        </w:r>
      </w:hyperlink>
    </w:p>
    <w:bookmarkEnd w:id="177"/>
    <w:bookmarkStart w:id="178" w:name="ref-vodrahalliUncalibratedModelsCan2022"/>
    <w:p>
      <w:pPr>
        <w:pStyle w:val="Bibliography"/>
      </w:pPr>
      <w:r>
        <w:t xml:space="preserve">Vodrahalli, K., Gerstenberg, T., &amp; Zou, J. (2022). Uncalibrated</w:t>
      </w:r>
      <w:r>
        <w:t xml:space="preserve"> </w:t>
      </w:r>
      <w:r>
        <w:t xml:space="preserve">Models Can Improve Human-AI Collaboration</w:t>
      </w:r>
      <w:r>
        <w:t xml:space="preserve">.</w:t>
      </w:r>
      <w:r>
        <w:t xml:space="preserve"> </w:t>
      </w:r>
      <w:r>
        <w:rPr>
          <w:i/>
          <w:iCs/>
        </w:rPr>
        <w:t xml:space="preserve">Advances in</w:t>
      </w:r>
      <w:r>
        <w:rPr>
          <w:i/>
          <w:iCs/>
        </w:rPr>
        <w:t xml:space="preserve"> </w:t>
      </w:r>
      <w:r>
        <w:rPr>
          <w:i/>
          <w:iCs/>
        </w:rPr>
        <w:t xml:space="preserve">Neural Information Processing Systems</w:t>
      </w:r>
      <w:r>
        <w:t xml:space="preserve">,</w:t>
      </w:r>
      <w:r>
        <w:t xml:space="preserve"> </w:t>
      </w:r>
      <w:r>
        <w:rPr>
          <w:i/>
          <w:iCs/>
        </w:rPr>
        <w:t xml:space="preserve">35</w:t>
      </w:r>
      <w:r>
        <w:t xml:space="preserve">, 4004–4016.</w:t>
      </w:r>
    </w:p>
    <w:bookmarkEnd w:id="178"/>
    <w:bookmarkStart w:id="180"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79">
        <w:r>
          <w:rPr>
            <w:rStyle w:val="Hyperlink"/>
          </w:rPr>
          <w:t xml:space="preserve">https://doi.org/10.1007/s10869-024-09977-0</w:t>
        </w:r>
      </w:hyperlink>
    </w:p>
    <w:bookmarkEnd w:id="180"/>
    <w:bookmarkStart w:id="182"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81">
        <w:r>
          <w:rPr>
            <w:rStyle w:val="Hyperlink"/>
          </w:rPr>
          <w:t xml:space="preserve">https://doi.org/10.48550/arXiv.2411.02353</w:t>
        </w:r>
      </w:hyperlink>
    </w:p>
    <w:bookmarkEnd w:id="182"/>
    <w:bookmarkStart w:id="184"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83">
        <w:r>
          <w:rPr>
            <w:rStyle w:val="Hyperlink"/>
          </w:rPr>
          <w:t xml:space="preserve">https://doi.org/10.1007/978-1-4612-4634-3_9</w:t>
        </w:r>
      </w:hyperlink>
    </w:p>
    <w:bookmarkEnd w:id="184"/>
    <w:bookmarkStart w:id="186" w:name="Xd3ffb2674cd91103baa9afdd3a2d2c9a050b925"/>
    <w:p>
      <w:pPr>
        <w:pStyle w:val="Bibliography"/>
      </w:pPr>
      <w:r>
        <w:t xml:space="preserve">Westby, S., &amp; Riedl, C. (2023). Collective</w:t>
      </w:r>
      <w:r>
        <w:t xml:space="preserve"> </w:t>
      </w:r>
      <w:r>
        <w:t xml:space="preserve">Intelligence</w:t>
      </w:r>
      <w:r>
        <w:t xml:space="preserve"> </w:t>
      </w:r>
      <w:r>
        <w:t xml:space="preserve">in</w:t>
      </w:r>
      <w:r>
        <w:t xml:space="preserve"> </w:t>
      </w:r>
      <w:r>
        <w:t xml:space="preserve">Human-AI Teams</w:t>
      </w:r>
      <w:r>
        <w:t xml:space="preserve">:</w:t>
      </w:r>
      <w:r>
        <w:t xml:space="preserve"> </w:t>
      </w:r>
      <w:r>
        <w:t xml:space="preserve">A Bayesian Theory</w:t>
      </w:r>
      <w:r>
        <w:t xml:space="preserve"> </w:t>
      </w:r>
      <w:r>
        <w:t xml:space="preserve">of</w:t>
      </w:r>
      <w:r>
        <w:t xml:space="preserve"> </w:t>
      </w:r>
      <w:r>
        <w:t xml:space="preserve">Mind Approach</w:t>
      </w:r>
      <w:r>
        <w:t xml:space="preserve">.</w:t>
      </w:r>
      <w:r>
        <w:t xml:space="preserve"> </w:t>
      </w:r>
      <w:r>
        <w:rPr>
          <w:i/>
          <w:iCs/>
        </w:rPr>
        <w:t xml:space="preserve">Proceedings of the AAAI Conference on Artificial Intelligence</w:t>
      </w:r>
      <w:r>
        <w:t xml:space="preserve">,</w:t>
      </w:r>
      <w:r>
        <w:t xml:space="preserve"> </w:t>
      </w:r>
      <w:r>
        <w:rPr>
          <w:i/>
          <w:iCs/>
        </w:rPr>
        <w:t xml:space="preserve">37</w:t>
      </w:r>
      <w:r>
        <w:t xml:space="preserve">(5), 6119–6127.</w:t>
      </w:r>
      <w:r>
        <w:t xml:space="preserve"> </w:t>
      </w:r>
      <w:hyperlink r:id="rId185">
        <w:r>
          <w:rPr>
            <w:rStyle w:val="Hyperlink"/>
          </w:rPr>
          <w:t xml:space="preserve">https://doi.org/10.1609/aaai.v37i5.25755</w:t>
        </w:r>
      </w:hyperlink>
    </w:p>
    <w:bookmarkEnd w:id="186"/>
    <w:bookmarkStart w:id="188"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87">
        <w:r>
          <w:rPr>
            <w:rStyle w:val="Hyperlink"/>
          </w:rPr>
          <w:t xml:space="preserve">https://doi.org/10.1016/j.chb.2023.107714</w:t>
        </w:r>
      </w:hyperlink>
    </w:p>
    <w:bookmarkEnd w:id="188"/>
    <w:bookmarkStart w:id="190"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89">
        <w:r>
          <w:rPr>
            <w:rStyle w:val="Hyperlink"/>
          </w:rPr>
          <w:t xml:space="preserve">https://doi.org/10.1177/1046496420967764</w:t>
        </w:r>
      </w:hyperlink>
    </w:p>
    <w:bookmarkEnd w:id="190"/>
    <w:bookmarkStart w:id="192"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91">
        <w:r>
          <w:rPr>
            <w:rStyle w:val="Hyperlink"/>
          </w:rPr>
          <w:t xml:space="preserve">https://doi.org/10.1145/3659625</w:t>
        </w:r>
      </w:hyperlink>
    </w:p>
    <w:bookmarkEnd w:id="192"/>
    <w:bookmarkStart w:id="194"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93">
        <w:r>
          <w:rPr>
            <w:rStyle w:val="Hyperlink"/>
          </w:rPr>
          <w:t xml:space="preserve">https://doi.org/10.1145/3613905.3650867</w:t>
        </w:r>
      </w:hyperlink>
    </w:p>
    <w:bookmarkEnd w:id="194"/>
    <w:bookmarkStart w:id="196" w:name="ref-yinUnderstandingEffectAccuracy2019"/>
    <w:p>
      <w:pPr>
        <w:pStyle w:val="Bibliography"/>
      </w:pPr>
      <w:r>
        <w:t xml:space="preserve">Yin, M., Wortman Vaughan, J., &amp; Wallach, H. (2019). Understanding the</w:t>
      </w:r>
      <w:r>
        <w:t xml:space="preserve"> </w:t>
      </w:r>
      <w:r>
        <w:t xml:space="preserve">Effect</w:t>
      </w:r>
      <w:r>
        <w:t xml:space="preserve"> </w:t>
      </w:r>
      <w:r>
        <w:t xml:space="preserve">of</w:t>
      </w:r>
      <w:r>
        <w:t xml:space="preserve"> </w:t>
      </w:r>
      <w:r>
        <w:t xml:space="preserve">Accuracy</w:t>
      </w:r>
      <w:r>
        <w:t xml:space="preserve"> </w:t>
      </w:r>
      <w:r>
        <w:t xml:space="preserve">on</w:t>
      </w:r>
      <w:r>
        <w:t xml:space="preserve"> </w:t>
      </w:r>
      <w:r>
        <w:t xml:space="preserve">Trust</w:t>
      </w:r>
      <w:r>
        <w:t xml:space="preserve"> </w:t>
      </w:r>
      <w:r>
        <w:t xml:space="preserve">in</w:t>
      </w:r>
      <w:r>
        <w:t xml:space="preserve"> </w:t>
      </w:r>
      <w:r>
        <w:t xml:space="preserve">Machine Learning Models</w:t>
      </w:r>
      <w:r>
        <w:t xml:space="preserve">.</w:t>
      </w:r>
      <w:r>
        <w:t xml:space="preserve"> </w:t>
      </w:r>
      <w:r>
        <w:rPr>
          <w:i/>
          <w:iCs/>
        </w:rPr>
        <w:t xml:space="preserve">Proceedings of the 2019</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1–12.</w:t>
      </w:r>
      <w:r>
        <w:t xml:space="preserve"> </w:t>
      </w:r>
      <w:hyperlink r:id="rId195">
        <w:r>
          <w:rPr>
            <w:rStyle w:val="Hyperlink"/>
          </w:rPr>
          <w:t xml:space="preserve">https://doi.org/10.1145/3290605.3300509</w:t>
        </w:r>
      </w:hyperlink>
    </w:p>
    <w:bookmarkEnd w:id="196"/>
    <w:bookmarkStart w:id="198" w:name="Xd21d3a63b1a1e953420e2fb17314ad129d3febe"/>
    <w:p>
      <w:pPr>
        <w:pStyle w:val="Bibliography"/>
      </w:pPr>
      <w:r>
        <w:t xml:space="preserve">Zhang, D., Rayz, J., &amp; Pradhan, R. (2023).</w:t>
      </w:r>
      <w:r>
        <w:t xml:space="preserve"> </w:t>
      </w:r>
      <w:r>
        <w:rPr>
          <w:i/>
          <w:iCs/>
        </w:rPr>
        <w:t xml:space="preserve">Counteracts:</w:t>
      </w:r>
      <w:r>
        <w:rPr>
          <w:i/>
          <w:iCs/>
        </w:rPr>
        <w:t xml:space="preserve"> </w:t>
      </w:r>
      <w:r>
        <w:rPr>
          <w:i/>
          <w:iCs/>
        </w:rPr>
        <w:t xml:space="preserve">Testing Stereotypical Representation</w:t>
      </w:r>
      <w:r>
        <w:rPr>
          <w:i/>
          <w:iCs/>
        </w:rPr>
        <w:t xml:space="preserve"> </w:t>
      </w:r>
      <w:r>
        <w:rPr>
          <w:i/>
          <w:iCs/>
        </w:rPr>
        <w:t xml:space="preserve">in</w:t>
      </w:r>
      <w:r>
        <w:rPr>
          <w:i/>
          <w:iCs/>
        </w:rPr>
        <w:t xml:space="preserve"> </w:t>
      </w:r>
      <w:r>
        <w:rPr>
          <w:i/>
          <w:iCs/>
        </w:rPr>
        <w:t xml:space="preserve">Pre-trained Language Models</w:t>
      </w:r>
      <w:r>
        <w:t xml:space="preserve"> </w:t>
      </w:r>
      <w:r>
        <w:t xml:space="preserve">(arXiv:2301.04347). arXiv.</w:t>
      </w:r>
      <w:r>
        <w:t xml:space="preserve"> </w:t>
      </w:r>
      <w:hyperlink r:id="rId197">
        <w:r>
          <w:rPr>
            <w:rStyle w:val="Hyperlink"/>
          </w:rPr>
          <w:t xml:space="preserve">https://arxiv.org/abs/2301.04347</w:t>
        </w:r>
      </w:hyperlink>
    </w:p>
    <w:bookmarkEnd w:id="198"/>
    <w:bookmarkStart w:id="200" w:name="ref-zhangYouCompleteMe2022"/>
    <w:p>
      <w:pPr>
        <w:pStyle w:val="Bibliography"/>
      </w:pPr>
      <w:r>
        <w:t xml:space="preserve">Zhang, Q., Lee, M. L., &amp; Carter, S. (2022). You</w:t>
      </w:r>
      <w:r>
        <w:t xml:space="preserve"> </w:t>
      </w:r>
      <w:r>
        <w:t xml:space="preserve">Complete Me</w:t>
      </w:r>
      <w:r>
        <w:t xml:space="preserve">:</w:t>
      </w:r>
      <w:r>
        <w:t xml:space="preserve"> </w:t>
      </w:r>
      <w:r>
        <w:t xml:space="preserve">Human-AI Teams</w:t>
      </w:r>
      <w:r>
        <w:t xml:space="preserve"> </w:t>
      </w:r>
      <w:r>
        <w:t xml:space="preserve">and</w:t>
      </w:r>
      <w:r>
        <w:t xml:space="preserve"> </w:t>
      </w:r>
      <w:r>
        <w:t xml:space="preserve">Complementary Expertise</w:t>
      </w:r>
      <w:r>
        <w:t xml:space="preserve">.</w:t>
      </w:r>
      <w: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1–28.</w:t>
      </w:r>
      <w:r>
        <w:t xml:space="preserve"> </w:t>
      </w:r>
      <w:hyperlink r:id="rId199">
        <w:r>
          <w:rPr>
            <w:rStyle w:val="Hyperlink"/>
          </w:rPr>
          <w:t xml:space="preserve">https://doi.org/10.1145/3491102.3517791</w:t>
        </w:r>
      </w:hyperlink>
    </w:p>
    <w:bookmarkEnd w:id="200"/>
    <w:bookmarkStart w:id="202"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201">
        <w:r>
          <w:rPr>
            <w:rStyle w:val="Hyperlink"/>
          </w:rPr>
          <w:t xml:space="preserve">https://doi.org/10.1145/3610072</w:t>
        </w:r>
      </w:hyperlink>
    </w:p>
    <w:bookmarkEnd w:id="202"/>
    <w:bookmarkStart w:id="204" w:name="ref-zhangEffectConfidenceExplanation2020"/>
    <w:p>
      <w:pPr>
        <w:pStyle w:val="Bibliography"/>
      </w:pPr>
      <w:r>
        <w:t xml:space="preserve">Zhang, Y., Liao, Q. V., &amp; Bellamy, R. K. E. (2020). Effect of confidence and explanation on accuracy and trust calibration in</w:t>
      </w:r>
      <w:r>
        <w:t xml:space="preserve"> </w:t>
      </w:r>
      <w:r>
        <w:t xml:space="preserve">AI-assisted</w:t>
      </w:r>
      <w:r>
        <w:t xml:space="preserve"> </w:t>
      </w:r>
      <w:r>
        <w:t xml:space="preserve">decision making.</w:t>
      </w:r>
      <w:r>
        <w:t xml:space="preserve"> </w:t>
      </w:r>
      <w:r>
        <w:rPr>
          <w:i/>
          <w:iCs/>
        </w:rPr>
        <w:t xml:space="preserve">Proceedings of the 2020</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295–305.</w:t>
      </w:r>
      <w:r>
        <w:t xml:space="preserve"> </w:t>
      </w:r>
      <w:hyperlink r:id="rId203">
        <w:r>
          <w:rPr>
            <w:rStyle w:val="Hyperlink"/>
          </w:rPr>
          <w:t xml:space="preserve">https://doi.org/10.1145/3351095.3372852</w:t>
        </w:r>
      </w:hyperlink>
    </w:p>
    <w:bookmarkEnd w:id="204"/>
    <w:bookmarkStart w:id="206"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205">
        <w:r>
          <w:rPr>
            <w:rStyle w:val="Hyperlink"/>
          </w:rPr>
          <w:t xml:space="preserve">https://doi.org/10.1145/3654777.3676366</w:t>
        </w:r>
      </w:hyperlink>
    </w:p>
    <w:bookmarkEnd w:id="206"/>
    <w:bookmarkStart w:id="208" w:name="ref-zollerHumanAICollectivesProduce2024"/>
    <w:p>
      <w:pPr>
        <w:pStyle w:val="Bibliography"/>
      </w:pPr>
      <w:r>
        <w:t xml:space="preserve">Zöller, N., Berger, J., Lin, I., Fu, N., Komarneni, J., Barabucci, G., Laskowski, K., Shia, V., Harack, B., Chu, E. A., Trianni, V., Kurvers, R. H. J. M., &amp; Herzog, S. M. (2024).</w:t>
      </w:r>
      <w:r>
        <w:t xml:space="preserve"> </w:t>
      </w:r>
      <w:r>
        <w:rPr>
          <w:i/>
          <w:iCs/>
        </w:rPr>
        <w:t xml:space="preserve">Human-</w:t>
      </w:r>
      <w:r>
        <w:rPr>
          <w:i/>
          <w:iCs/>
        </w:rPr>
        <w:t xml:space="preserve">AI</w:t>
      </w:r>
      <w:r>
        <w:rPr>
          <w:i/>
          <w:iCs/>
        </w:rPr>
        <w:t xml:space="preserve"> </w:t>
      </w:r>
      <w:r>
        <w:rPr>
          <w:i/>
          <w:iCs/>
        </w:rPr>
        <w:t xml:space="preserve">collectives produce the most accurate differential diagnoses</w:t>
      </w:r>
      <w:r>
        <w:t xml:space="preserve"> </w:t>
      </w:r>
      <w:r>
        <w:t xml:space="preserve">(arXiv:2406.14981). arXiv.</w:t>
      </w:r>
      <w:r>
        <w:t xml:space="preserve"> </w:t>
      </w:r>
      <w:hyperlink r:id="rId207">
        <w:r>
          <w:rPr>
            <w:rStyle w:val="Hyperlink"/>
          </w:rPr>
          <w:t xml:space="preserve">https://arxiv.org/abs/2406.14981</w:t>
        </w:r>
      </w:hyperlink>
    </w:p>
    <w:bookmarkEnd w:id="208"/>
    <w:bookmarkStart w:id="210"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209">
        <w:r>
          <w:rPr>
            <w:rStyle w:val="Hyperlink"/>
          </w:rPr>
          <w:t xml:space="preserve">https://doi.org/10.48550/arXiv.2407.17489</w:t>
        </w:r>
      </w:hyperlink>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_rels/footnotes.xml.rels><?xml version="1.0" encoding="UTF-8"?><Relationships xmlns="http://schemas.openxmlformats.org/package/2006/relationships"><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2025-02-03T20:08:11Z</dcterms:created>
  <dcterms:modified xsi:type="dcterms:W3CDTF">2025-02-03T20:08:11Z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