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FirstParagraph"/>
      </w:pPr>
      <w:r>
        <w:t xml:space="preserve">Artificial Intelligence (AI) is becoming a central component of group decision-making processes across a range of domains. From healthcare to finance, education to policymaking, AI systems are being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By examining these questions through the lens of the information processing framework, we can better understand the complex interplay between humans and AI in group decision-making contexts and identify strategies for optimizing the benefits of AI-assisted collaboration while mitigating its risks.</w:t>
      </w:r>
    </w:p>
    <w:bookmarkEnd w:id="20"/>
    <w:bookmarkStart w:id="28" w:name="inputs"/>
    <w:p>
      <w:pPr>
        <w:pStyle w:val="Heading2"/>
      </w:pPr>
      <w:r>
        <w:t xml:space="preserve">Inputs</w:t>
      </w:r>
    </w:p>
    <w:bookmarkStart w:id="24"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pPr>
        <w:numPr>
          <w:ilvl w:val="0"/>
          <w:numId w:val="1002"/>
        </w:numPr>
      </w:pPr>
      <w:r>
        <w:t xml:space="preserve">AI can help identify missing expertise or knowledge within a group</w:t>
      </w:r>
    </w:p>
    <w:p>
      <w:pPr>
        <w:numPr>
          <w:ilvl w:val="0"/>
          <w:numId w:val="1002"/>
        </w:numPr>
      </w:pPr>
      <w:r>
        <w:t xml:space="preserve">diversity in human-AI teams, considering both human and AI characteristics (Cui &amp; Yasseri, 2024).</w:t>
      </w:r>
    </w:p>
    <w:p>
      <w:pPr>
        <w:numPr>
          <w:ilvl w:val="0"/>
          <w:numId w:val="1002"/>
        </w:numPr>
      </w:pPr>
      <w:r>
        <w:t xml:space="preserve">When and how AI might be assigned leadership or specialized roles (Guo et al., 2024)</w:t>
      </w:r>
    </w:p>
    <w:p>
      <w:pPr>
        <w:pStyle w:val="CaptionedFigure"/>
      </w:pPr>
      <w:r>
        <w:drawing>
          <wp:inline>
            <wp:extent cx="6240780" cy="3202711"/>
            <wp:effectExtent b="0" l="0" r="0" t="0"/>
            <wp:docPr descr="Framework" title="" id="22" name="Picture"/>
            <a:graphic>
              <a:graphicData uri="http://schemas.openxmlformats.org/drawingml/2006/picture">
                <pic:pic>
                  <pic:nvPicPr>
                    <pic:cNvPr descr="Assets/ipo.png" id="23" name="Picture"/>
                    <pic:cNvPicPr>
                      <a:picLocks noChangeArrowheads="1" noChangeAspect="1"/>
                    </pic:cNvPicPr>
                  </pic:nvPicPr>
                  <pic:blipFill>
                    <a:blip r:embed="rId21"/>
                    <a:stretch>
                      <a:fillRect/>
                    </a:stretch>
                  </pic:blipFill>
                  <pic:spPr bwMode="auto">
                    <a:xfrm>
                      <a:off x="0" y="0"/>
                      <a:ext cx="6240780" cy="3202711"/>
                    </a:xfrm>
                    <a:prstGeom prst="rect">
                      <a:avLst/>
                    </a:prstGeom>
                    <a:noFill/>
                    <a:ln w="9525">
                      <a:noFill/>
                      <a:headEnd/>
                      <a:tailEnd/>
                    </a:ln>
                  </pic:spPr>
                </pic:pic>
              </a:graphicData>
            </a:graphic>
          </wp:inline>
        </w:drawing>
      </w:r>
    </w:p>
    <w:p>
      <w:pPr>
        <w:pStyle w:val="ImageCaption"/>
      </w:pPr>
      <w:r>
        <w:t xml:space="preserve">Framework</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recommendation AI model (RiskComp). Participants were then sorted into groups of three, where they reviewed and discussed novel defendant profiles, before making a group recidivism assessment. In the group stage, the recommendations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3"/>
        </w:numPr>
      </w:pPr>
      <w:r>
        <w:t xml:space="preserve">(A. Kumar et al., 2024)</w:t>
      </w:r>
    </w:p>
    <w:p>
      <w:pPr>
        <w:pStyle w:val="Compact"/>
        <w:numPr>
          <w:ilvl w:val="0"/>
          <w:numId w:val="1003"/>
        </w:numPr>
      </w:pPr>
      <w:r>
        <w:t xml:space="preserve">(Lu et al., 2024)</w:t>
      </w:r>
    </w:p>
    <w:p>
      <w:pPr>
        <w:pStyle w:val="Compact"/>
        <w:numPr>
          <w:ilvl w:val="0"/>
          <w:numId w:val="1003"/>
        </w:numPr>
      </w:pPr>
      <w:r>
        <w:t xml:space="preserve">(McNeese et al., 2023)</w:t>
      </w:r>
    </w:p>
    <w:bookmarkEnd w:id="24"/>
    <w:bookmarkStart w:id="26" w:name="information-search"/>
    <w:p>
      <w:pPr>
        <w:pStyle w:val="Heading3"/>
      </w:pPr>
      <w:r>
        <w:t xml:space="preserve">Information Search</w:t>
      </w:r>
    </w:p>
    <w:p>
      <w:pPr>
        <w:pStyle w:val="FirstParagraph"/>
      </w:pPr>
      <w:r>
        <w:t xml:space="preserve">The information search stage of decision-making, once reliant on human capacity to locate and synthesize data, has been transformed by the advent of artificial intelligence (AI), particularly Large Language Models (LLMs). This section explores how AI reshapes information search, augmenting both data retrieval and synthesis, and fostering idea generation and creative discovery.</w:t>
      </w:r>
    </w:p>
    <w:bookmarkStart w:id="25" w:name="ai-assisted-data-retrieval-and-synthesis"/>
    <w:p>
      <w:pPr>
        <w:pStyle w:val="Heading4"/>
      </w:pPr>
      <w:r>
        <w:t xml:space="preserve">AI-Assisted Data Retrieval and Synthesis</w:t>
      </w:r>
    </w:p>
    <w:p>
      <w:pPr>
        <w:pStyle w:val="FirstParagraph"/>
      </w:pPr>
      <w:r>
        <w:t xml:space="preserve">LLMs significantly enhance the efficiency and comprehensiveness of information gathering, enabling access to a broader knowledge base and deeper insights</w:t>
      </w:r>
      <w:r>
        <w:t xml:space="preserve"> </w:t>
      </w:r>
      <w:r>
        <w:t xml:space="preserve">(Bouschery et al., 2023)</w:t>
      </w:r>
      <w:r>
        <w:t xml:space="preserve">. These models process vast datasets, identifying connections and patterns beyond human capacity. Furthermore, individual differences, such as computational thinking skills, influence how users interact with LLMs, with those possessing higher creativity and algorithmic thinking more effectively leveraging AI-generated content for deeper engagement within a specific information landscape</w:t>
      </w:r>
      <w:r>
        <w:t xml:space="preserve"> </w:t>
      </w:r>
      <w:r>
        <w:t xml:space="preserve">(Flores et al., 2024)</w:t>
      </w:r>
      <w:r>
        <w:t xml:space="preserve">. Programmers, for example, navigate between traditional web search and generative AI tools, strategically selecting between them based on factors like task familiarity and goal clarity, demonstrating the synergistic use of both resources</w:t>
      </w:r>
      <w:r>
        <w:t xml:space="preserve"> </w:t>
      </w:r>
      <w:r>
        <w:t xml:space="preserve">(Yen et al., 2024)</w:t>
      </w:r>
      <w:r>
        <w:t xml:space="preserve">. DiscipLink, for instance, uses LLMs to generate exploratory questions across disciplines, automatically expand queries with field-specific terminology, and extract themes from retrieved papers, effectively bridging knowledge gaps in interdisciplinary research</w:t>
      </w:r>
      <w:r>
        <w:t xml:space="preserve"> </w:t>
      </w:r>
      <w:r>
        <w:t xml:space="preserve">(Zheng et al., 2024)</w:t>
      </w:r>
      <w:r>
        <w:t xml:space="preserve">. Moreover, AI facilitates advanced techniques like retrieval-augmented generation (RAG), allowing LLMs to access and process real-time information, enhancing the accuracy and relevance of their output</w:t>
      </w:r>
      <w:r>
        <w:t xml:space="preserve"> </w:t>
      </w:r>
      <w:r>
        <w:t xml:space="preserve">(Si et al., 2024; Wang et al., 2024)</w:t>
      </w:r>
      <w:r>
        <w:t xml:space="preserve">. This capability empowers decision-makers with synthesized insights from diverse sources, crucial for informed choices across various fields, from scientific research to policy analysis</w:t>
      </w:r>
      <w:r>
        <w:t xml:space="preserve"> </w:t>
      </w:r>
      <w:r>
        <w:t xml:space="preserve">(Burton et al., 2024)</w:t>
      </w:r>
      <w:r>
        <w:t xml:space="preserve">.</w:t>
      </w:r>
    </w:p>
    <w:p>
      <w:pPr>
        <w:pStyle w:val="BodyText"/>
      </w:pPr>
      <w:r>
        <w:t xml:space="preserve">LLM-based search tools offer natural language interfaces, streamlining complex queries and providing detailed responses, often leading to increased efficiency and user satisfaction</w:t>
      </w:r>
      <w:r>
        <w:t xml:space="preserve"> </w:t>
      </w:r>
      <w:r>
        <w:t xml:space="preserve">(Spatharioti et al., 2023)</w:t>
      </w:r>
      <w:r>
        <w:t xml:space="preserve">. However, this ease of use can also lead to overreliance on potentially inaccurate information and decreased critical evaluation, particularly when presented conversationally</w:t>
      </w:r>
      <w:r>
        <w:t xml:space="preserve"> </w:t>
      </w:r>
      <w:r>
        <w:t xml:space="preserve">(Anderl et al., 2024)</w:t>
      </w:r>
      <w:r>
        <w:t xml:space="preserve">. This can contribute to confirmation bias and the formation of</w:t>
      </w:r>
      <w:r>
        <w:t xml:space="preserve"> </w:t>
      </w:r>
      <w:r>
        <w:t xml:space="preserve">“generative echo chambers,”</w:t>
      </w:r>
      <w:r>
        <w:t xml:space="preserve"> </w:t>
      </w:r>
      <w:r>
        <w:t xml:space="preserve">limiting exposure to diverse perspectives</w:t>
      </w:r>
      <w:r>
        <w:t xml:space="preserve"> </w:t>
      </w:r>
      <w:r>
        <w:t xml:space="preserve">(Sharma et al., 2024)</w:t>
      </w:r>
      <w:r>
        <w:t xml:space="preserve">. Furthermore, while LLMs can reduce cognitive load during information seeking, this may come at the cost of deeper learning and engagement with the material, leading to less sophisticated reasoning and argumentation</w:t>
      </w:r>
      <w:r>
        <w:t xml:space="preserve"> </w:t>
      </w:r>
      <w:r>
        <w:t xml:space="preserve">(Stadler et al., 2024)</w:t>
      </w:r>
      <w:r>
        <w:t xml:space="preserve">. Therefore, careful design and implementation are crucial to mitigate these risks and leverage the full potential of LLMs for enhanced information retrieval and synthesis.</w:t>
      </w:r>
    </w:p>
    <w:bookmarkEnd w:id="25"/>
    <w:bookmarkEnd w:id="26"/>
    <w:bookmarkStart w:id="27" w:name="Xdd531b6bee7bd44ebfe9cfc26e9bfde195ff1cd"/>
    <w:p>
      <w:pPr>
        <w:pStyle w:val="Heading3"/>
      </w:pPr>
      <w:r>
        <w:t xml:space="preserve">Initial Trust, Expertise Assumptions, and Biases</w:t>
      </w:r>
    </w:p>
    <w:p>
      <w:pPr>
        <w:numPr>
          <w:ilvl w:val="0"/>
          <w:numId w:val="1004"/>
        </w:numPr>
      </w:pPr>
      <w:r>
        <w:t xml:space="preserve">Trust Baselines: Pre-existing attitudes toward AI, perceived reliability, anthropomorphism (Cui &amp; Yasseri, 2024)</w:t>
      </w:r>
    </w:p>
    <w:p>
      <w:pPr>
        <w:numPr>
          <w:ilvl w:val="0"/>
          <w:numId w:val="1004"/>
        </w:numPr>
      </w:pPr>
      <w:r>
        <w:t xml:space="preserve">Bias and Training Data: Potential for AI to introduce or amplify biases from training corpora (Cecil et al., 2024; Bhatia, 2024)</w:t>
      </w:r>
    </w:p>
    <w:bookmarkEnd w:id="27"/>
    <w:bookmarkEnd w:id="28"/>
    <w:bookmarkStart w:id="34" w:name="information-processing"/>
    <w:p>
      <w:pPr>
        <w:pStyle w:val="Heading2"/>
      </w:pPr>
      <w:r>
        <w:t xml:space="preserve">Information Processing</w:t>
      </w:r>
    </w:p>
    <w:bookmarkStart w:id="29" w:name="Xee2613357fa9f2ac0bbcbca6279bb6223548167"/>
    <w:p>
      <w:pPr>
        <w:pStyle w:val="Heading4"/>
      </w:pPr>
      <w:r>
        <w:t xml:space="preserve">AI in Idea Generation and Creative Discovery</w:t>
      </w:r>
    </w:p>
    <w:p>
      <w:pPr>
        <w:pStyle w:val="FirstParagraph"/>
      </w:pPr>
      <w:r>
        <w:t xml:space="preserve">AI’s role extends beyond data retrieval to fostering creative discovery. LLMs act as catalysts, offering alternative perspectives, challenging assumptions, and proposing unexpected connections</w:t>
      </w:r>
      <w:r>
        <w:t xml:space="preserve"> </w:t>
      </w:r>
      <w:r>
        <w:t xml:space="preserve">(Bouschery et al., 2023)</w:t>
      </w:r>
      <w:r>
        <w:t xml:space="preserve">. In structured tasks like semantic search, AI agents enhance group performance by selectively sharing information, amplifying collective intelligence</w:t>
      </w:r>
      <w:r>
        <w:t xml:space="preserve"> </w:t>
      </w:r>
      <w:r>
        <w:t xml:space="preserve">(Ueshima &amp; Takikawa, 2024)</w:t>
      </w:r>
      <w:r>
        <w:t xml:space="preserve">. Studies comparing human and AI-generated ideas reveal a nuanced picture: while LLMs excel at generating ideas with higher average quality (e.g., purchase intent) and even surpassing human experts in novelty</w:t>
      </w:r>
      <w:r>
        <w:t xml:space="preserve"> </w:t>
      </w:r>
      <w:r>
        <w:t xml:space="preserve">(Joosten et al., 2024; Meincke et al., 2024; Si et al., 2024)</w:t>
      </w:r>
      <w:r>
        <w:t xml:space="preserve">, they may exhibit lower feasibility</w:t>
      </w:r>
      <w:r>
        <w:t xml:space="preserve"> </w:t>
      </w:r>
      <w:r>
        <w:t xml:space="preserve">(Joosten et al., 2024)</w:t>
      </w:r>
      <w:r>
        <w:t xml:space="preserve"> </w:t>
      </w:r>
      <w:r>
        <w:t xml:space="preserve">and reduced diversity</w:t>
      </w:r>
      <w:r>
        <w:t xml:space="preserve"> </w:t>
      </w:r>
      <w:r>
        <w:t xml:space="preserve">(Meincke et al., 2024)</w:t>
      </w:r>
      <w:r>
        <w:t xml:space="preserve">. This highlights the importance of strategic prompt engineering, as demonstrated by</w:t>
      </w:r>
      <w:r>
        <w:t xml:space="preserve"> </w:t>
      </w:r>
      <w:r>
        <w:t xml:space="preserve">Boussioux et al. (2024)</w:t>
      </w:r>
      <w:r>
        <w:t xml:space="preserve">, who found that human-guided prompts—specifically differentiated search (i.e., prompts designed to encourage diverse and varied responses) — enhanced the novelty of LLM-generated solutions while maintaining high value.</w:t>
      </w:r>
    </w:p>
    <w:p>
      <w:pPr>
        <w:pStyle w:val="BodyText"/>
      </w:pPr>
      <w:r>
        <w:t xml:space="preserve">The type of AI interaction also significantly influences human creativity.</w:t>
      </w:r>
      <w:r>
        <w:t xml:space="preserve"> </w:t>
      </w:r>
      <w:r>
        <w:t xml:space="preserve">Ashkinaze et al. (2024)</w:t>
      </w:r>
      <w:r>
        <w:t xml:space="preserve"> </w:t>
      </w:r>
      <w:r>
        <w:t xml:space="preserve">found that exposure to AI-generated ideas increased the diversity of collective ideas without affecting individual creativity. In contrast,</w:t>
      </w:r>
      <w:r>
        <w:t xml:space="preserve"> </w:t>
      </w:r>
      <w:r>
        <w:t xml:space="preserve">H. Kumar et al. (2024)</w:t>
      </w:r>
      <w:r>
        <w:t xml:space="preserve"> </w:t>
      </w:r>
      <w:r>
        <w:t xml:space="preserve">observed that while providing direct answers had minimal negative impact, exposure to LLM-generated strategies decreased both originality and creative flexibility in subsequent unassisted tasks.</w:t>
      </w:r>
    </w:p>
    <w:bookmarkEnd w:id="29"/>
    <w:bookmarkStart w:id="30"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 Yan et al., 2021)</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divided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numPr>
          <w:ilvl w:val="0"/>
          <w:numId w:val="1005"/>
        </w:numPr>
      </w:pPr>
      <w:r>
        <w:t xml:space="preserve">(Yang et al., 2024)</w:t>
      </w:r>
    </w:p>
    <w:p>
      <w:pPr>
        <w:numPr>
          <w:ilvl w:val="0"/>
          <w:numId w:val="1005"/>
        </w:numPr>
      </w:pPr>
      <w:r>
        <w:t xml:space="preserve">(Ma et al., 2024)</w:t>
      </w:r>
    </w:p>
    <w:p>
      <w:pPr>
        <w:numPr>
          <w:ilvl w:val="0"/>
          <w:numId w:val="1005"/>
        </w:numPr>
      </w:pPr>
      <w:r>
        <w:t xml:space="preserve">(Radivojevic et al., 2024)</w:t>
      </w:r>
    </w:p>
    <w:p>
      <w:pPr>
        <w:numPr>
          <w:ilvl w:val="0"/>
          <w:numId w:val="1005"/>
        </w:numPr>
      </w:pPr>
      <w:r>
        <w:t xml:space="preserve">(Sidji et al., 2024)</w:t>
      </w:r>
    </w:p>
    <w:p>
      <w:pPr>
        <w:numPr>
          <w:ilvl w:val="0"/>
          <w:numId w:val="1005"/>
        </w:numPr>
      </w:pPr>
      <w:r>
        <w:t xml:space="preserve">(Nishida et al., 2024)</w:t>
      </w:r>
    </w:p>
    <w:p>
      <w:pPr>
        <w:numPr>
          <w:ilvl w:val="0"/>
          <w:numId w:val="1005"/>
        </w:numPr>
      </w:pPr>
      <w:r>
        <w:t xml:space="preserve">(Chuang et al., 2024)</w:t>
      </w:r>
    </w:p>
    <w:p>
      <w:pPr>
        <w:numPr>
          <w:ilvl w:val="0"/>
          <w:numId w:val="1005"/>
        </w:numPr>
      </w:pPr>
      <w:r>
        <w:t xml:space="preserve">AI-Mediated Communication: Smart replies, devil’s advocacy, and AI as a discussion facilitator (Chiang et al., 2024; Duan et al., 2025)</w:t>
      </w:r>
    </w:p>
    <w:p>
      <w:pPr>
        <w:numPr>
          <w:ilvl w:val="0"/>
          <w:numId w:val="1005"/>
        </w:numPr>
      </w:pPr>
      <w:r>
        <w:t xml:space="preserve">Transactive Memory and Shared Mental Models: How AI systems function as external knowledge repositories (Bienefeld et al., 2023; Narayanan &amp; Feigh, 2024)</w:t>
      </w:r>
    </w:p>
    <w:p>
      <w:pPr>
        <w:numPr>
          <w:ilvl w:val="0"/>
          <w:numId w:val="1005"/>
        </w:numPr>
      </w:pPr>
      <w:r>
        <w:t xml:space="preserve">chat-based collaboration (ChatCollab, Klieger et al., 2024)</w:t>
      </w:r>
    </w:p>
    <w:bookmarkEnd w:id="30"/>
    <w:bookmarkStart w:id="31" w:name="shared-mental-models"/>
    <w:p>
      <w:pPr>
        <w:pStyle w:val="Heading3"/>
      </w:pPr>
      <w:r>
        <w:t xml:space="preserve">Shared Mental Models</w:t>
      </w:r>
    </w:p>
    <w:p>
      <w:pPr>
        <w:numPr>
          <w:ilvl w:val="0"/>
          <w:numId w:val="1006"/>
        </w:numPr>
      </w:pPr>
      <w:r>
        <w:t xml:space="preserve">(Collins et al., 2024)</w:t>
      </w:r>
    </w:p>
    <w:p>
      <w:pPr>
        <w:numPr>
          <w:ilvl w:val="0"/>
          <w:numId w:val="1006"/>
        </w:numPr>
      </w:pPr>
      <w:r>
        <w:t xml:space="preserve">role of shared mental models in effective teamwork (N. J. McNeese et al., 2023; Narayanan &amp; Feigh, 2024).</w:t>
      </w:r>
    </w:p>
    <w:p>
      <w:pPr>
        <w:numPr>
          <w:ilvl w:val="0"/>
          <w:numId w:val="1006"/>
        </w:numPr>
      </w:pPr>
      <w:r>
        <w:t xml:space="preserve">challenge of developing shared mental models in human-AI teams due to the opacity of AI reasoning (Collins et al., 2024; S. Zhang et al., 2024).</w:t>
      </w:r>
    </w:p>
    <w:p>
      <w:pPr>
        <w:numPr>
          <w:ilvl w:val="0"/>
          <w:numId w:val="1006"/>
        </w:numPr>
      </w:pPr>
      <w:r>
        <w:t xml:space="preserve">potential solutions, such as increasing AI transparency, providing explanations, or using interactive interfaces (Chiang et al., 2024; Klieger et al., 2024; Ma et al., 2024; Sidji et al., 2024).</w:t>
      </w:r>
    </w:p>
    <w:p>
      <w:pPr>
        <w:numPr>
          <w:ilvl w:val="0"/>
          <w:numId w:val="1006"/>
        </w:numPr>
      </w:pPr>
      <w:r>
        <w:t xml:space="preserve">Role of training in developing effective mental models of AI and in calibrating trust (Kelly et al., 2023; Tejeda et al., 2022).</w:t>
      </w:r>
    </w:p>
    <w:p>
      <w:pPr>
        <w:pStyle w:val="FirstParagraph"/>
      </w:pPr>
      <w:r>
        <w:t xml:space="preserve">Future Directions: Research on how to measure and visualize shared mental models in human-AI teams, how to design AI systems that actively contribute to the development of shared understanding, how to adapt AI behavior based on the evolving mental models of human teammates.</w:t>
      </w:r>
    </w:p>
    <w:p>
      <w:pPr>
        <w:pStyle w:val="BodyText"/>
      </w:pPr>
      <w:r>
        <w:t xml:space="preserve">…</w:t>
      </w:r>
    </w:p>
    <w:bookmarkEnd w:id="31"/>
    <w:bookmarkStart w:id="32"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p>
      <w:pPr>
        <w:numPr>
          <w:ilvl w:val="0"/>
          <w:numId w:val="1007"/>
        </w:numPr>
      </w:pPr>
      <w:r>
        <w:t xml:space="preserve">Cognitive Load and Overreliance: Role of interface design in prompting deeper analytic thinking (Buçinca et al., 2021; Vodrahalli et al., 2022)</w:t>
      </w:r>
    </w:p>
    <w:p>
      <w:pPr>
        <w:numPr>
          <w:ilvl w:val="0"/>
          <w:numId w:val="1007"/>
        </w:numPr>
      </w:pPr>
      <w:r>
        <w:t xml:space="preserve">Cognitive offloading effects (Stadler et al., 2024)</w:t>
      </w:r>
    </w:p>
    <w:bookmarkEnd w:id="32"/>
    <w:bookmarkStart w:id="33"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33"/>
    <w:bookmarkEnd w:id="34"/>
    <w:bookmarkStart w:id="36" w:name="decision-making-output"/>
    <w:p>
      <w:pPr>
        <w:pStyle w:val="Heading2"/>
      </w:pPr>
      <w:r>
        <w:t xml:space="preserve">Decision-Making Output</w:t>
      </w:r>
    </w:p>
    <w:p>
      <w:pPr>
        <w:pStyle w:val="FirstParagraph"/>
      </w:pPr>
      <w:r>
        <w:t xml:space="preserve">..</w:t>
      </w:r>
    </w:p>
    <w:bookmarkStart w:id="35" w:name="decision-accuracy-and-complementarity"/>
    <w:p>
      <w:pPr>
        <w:pStyle w:val="Heading3"/>
      </w:pPr>
      <w:r>
        <w:t xml:space="preserve">Decision Accuracy and Complementarity</w:t>
      </w:r>
    </w:p>
    <w:p>
      <w:pPr>
        <w:pStyle w:val="FirstParagraph"/>
      </w:pPr>
      <w:r>
        <w:t xml:space="preserve">The integration of AI into group decision-making holds significant promise for leveraging the complementary strengths of humans and machines.</w:t>
      </w:r>
      <w:r>
        <w:t xml:space="preserve"> </w:t>
      </w:r>
      <w:r>
        <w:t xml:space="preserve">Rastogi et al. (2023)</w:t>
      </w:r>
      <w:r>
        <w:t xml:space="preserve"> </w:t>
      </w:r>
      <w:r>
        <w:t xml:space="preserve">proposed a taxonomy to characterize differences in human and machine decision-making, providing a framework for understanding how to combine their unique capabilities optimally. This taxonomy highlights areas where AI can augment human decision processes, such as handling large data sets or identifying patterns beyond human perceptual abilities.</w:t>
      </w:r>
      <w:r>
        <w:t xml:space="preserve"> </w:t>
      </w:r>
      <w:r>
        <w:t xml:space="preserve">Becker et al. (2022)</w:t>
      </w:r>
      <w:r>
        <w:t xml:space="preserve"> </w:t>
      </w:r>
      <w:r>
        <w:t xml:space="preserve">demonstrated that AI-generated decision aids, when presented as interpretable procedural instructions, can significantly improve human decision-making by promoting more resource-rational strategies. In complex domains,</w:t>
      </w:r>
      <w:r>
        <w:t xml:space="preserve"> </w:t>
      </w:r>
      <w:r>
        <w:t xml:space="preserve">Shin et al. (2023)</w:t>
      </w:r>
      <w:r>
        <w:t xml:space="preserve"> </w:t>
      </w:r>
      <w:r>
        <w:t xml:space="preserve">showed that exposure to superhuman AI, as in the game of Go, can enhance human decision-making by encouraging the exploration of novel strategies, thereby increasing overall performance and innovation. However, the effectiveness of human-AI collaboration depends on the dynamics of the interaction.</w:t>
      </w:r>
    </w:p>
    <w:p>
      <w:pPr>
        <w:pStyle w:val="BodyText"/>
      </w:pPr>
      <w:r>
        <w:t xml:space="preserve">Recent research has revealed complex trade-offs in human-AI team performance that depend heavily on task structure and collaboration dynamics.</w:t>
      </w:r>
      <w:r>
        <w:t xml:space="preserve"> </w:t>
      </w:r>
      <w:r>
        <w:t xml:space="preserve">Bennett et al. (2023)</w:t>
      </w:r>
      <w:r>
        <w:t xml:space="preserve"> </w:t>
      </w:r>
      <w:r>
        <w:t xml:space="preserve">found that while both human-human and human-AI teams experienced performance costs relative to theoretical benchmarks, human-human teams showed particular advantages in collaborative versus competitive conditions—an effect that diminished when humans worked with AI partners. This aligns with findings from</w:t>
      </w:r>
      <w:r>
        <w:t xml:space="preserve"> </w:t>
      </w:r>
      <w:r>
        <w:t xml:space="preserve">Liang et al. (2022)</w:t>
      </w:r>
      <w:r>
        <w:t xml:space="preserve"> </w:t>
      </w:r>
      <w:r>
        <w:t xml:space="preserve">showing that humans can learn to selectively rely on AI assistance based on task difficulty, but often require explicit feedback and training to optimize this collaboration. The reduced collaborative advantage in human-AI teams appears to stem from difficulties in developing shared mental models and coordinating actions effectively, suggesting that current AI systems may lack crucial capabilities for fluid team interaction.</w:t>
      </w:r>
    </w:p>
    <w:p>
      <w:pPr>
        <w:pStyle w:val="Compact"/>
        <w:numPr>
          <w:ilvl w:val="0"/>
          <w:numId w:val="1008"/>
        </w:numPr>
      </w:pPr>
      <w:r>
        <w:t xml:space="preserve">Performance Gains and Limits: Complementarity vs. overreliance (Liang et al., 2022)</w:t>
      </w:r>
    </w:p>
    <w:bookmarkEnd w:id="35"/>
    <w:bookmarkEnd w:id="36"/>
    <w:bookmarkStart w:id="41" w:name="trust-risk-and-reliance"/>
    <w:p>
      <w:pPr>
        <w:pStyle w:val="Heading2"/>
      </w:pPr>
      <w:r>
        <w:t xml:space="preserve">Trust, Risk and Reliance</w:t>
      </w:r>
    </w:p>
    <w:bookmarkStart w:id="37" w:name="trust-in-ai"/>
    <w:p>
      <w:pPr>
        <w:pStyle w:val="Heading3"/>
      </w:pPr>
      <w:r>
        <w:t xml:space="preserve">Trust in AI</w:t>
      </w:r>
    </w:p>
    <w:p>
      <w:pPr>
        <w:pStyle w:val="FirstParagraph"/>
      </w:pPr>
      <w:r>
        <w:t xml:space="preserve">Trust and confidence are crucial determinants of how individuals and groups interact with AI systems during decision-making processes. Research indicates that individuals’ confidence levels significantly influence their propensity to seek and utilize AI-generated advice.</w:t>
      </w:r>
      <w:r>
        <w:t xml:space="preserve"> </w:t>
      </w:r>
      <w:r>
        <w:t xml:space="preserve">Pescetelli &amp; Yeung (2021)</w:t>
      </w:r>
      <w:r>
        <w:t xml:space="preserve"> </w:t>
      </w:r>
      <w:r>
        <w:t xml:space="preserve">found that people are more likely to seek advice when their confidence in their own decisions is low; however, they often deviate from optimal Bayesian integration when incorporating this advice, sometimes relying on heuristic strategies instead.</w:t>
      </w:r>
      <w:r>
        <w:t xml:space="preserve"> </w:t>
      </w:r>
      <w:r>
        <w:t xml:space="preserve">Carlebach &amp; Yeung (2023)</w:t>
      </w:r>
      <w:r>
        <w:t xml:space="preserve"> </w:t>
      </w:r>
      <w:r>
        <w:t xml:space="preserve">further demonstrated that the relationship between confidence and advice-seeking is context-dependent. When the reliability of an AI advisor is unknown, individuals may paradoxically seek advice even when they are confident, using their own confidence as a feedback mechanism to learn about the advisor’s quality.</w:t>
      </w:r>
      <w:r>
        <w:t xml:space="preserve"> </w:t>
      </w:r>
      <w:r>
        <w:t xml:space="preserve">Liang et al. (2022)</w:t>
      </w:r>
      <w:r>
        <w:t xml:space="preserve"> </w:t>
      </w:r>
      <w:r>
        <w:t xml:space="preserve">explored how explicit performance comparisons between humans and AI affect reliance on decision aids, revealing that individuals adapt their use of AI recommendations based on task difficulty and perceived accuracy differences.</w:t>
      </w:r>
      <w:r>
        <w:t xml:space="preserve"> </w:t>
      </w:r>
      <w:r>
        <w:t xml:space="preserve">Steyvers et al. (2024)</w:t>
      </w:r>
      <w:r>
        <w:t xml:space="preserve"> </w:t>
      </w:r>
      <w:r>
        <w:t xml:space="preserve">demonstrated that humans tend to overestimate AI system accuracy when presented with default explanations, particularly when those explanations are lengthy. However, this miscalibration can be mitigated by explicitly communicating the AI’s uncertainty levels.</w:t>
      </w:r>
    </w:p>
    <w:p>
      <w:pPr>
        <w:pStyle w:val="BodyText"/>
      </w:pPr>
      <w:r>
        <w:t xml:space="preserve">In group settings, trust in AI systems significantly influences how teams interact and make decisions.</w:t>
      </w:r>
      <w:r>
        <w:t xml:space="preserve"> </w:t>
      </w:r>
      <w:r>
        <w:t xml:space="preserve">Cui &amp; Yasseri (2024)</w:t>
      </w:r>
      <w:r>
        <w:t xml:space="preserve"> </w:t>
      </w:r>
      <w:r>
        <w:t xml:space="preserve">emphasize that trust between humans and AI is crucial for achieving collective intelligence in teams. They argue that factors such as the perceived competence, benevolence, and integrity of AI systems shape this trust, mirroring the dynamics of trust in human relationships. The level of anthropomorphism in AI agents can also affect trust; while human-like features may initially enhance trust, this effect can wane if the AI’s performance does not meet team expectations.</w:t>
      </w:r>
      <w:r>
        <w:t xml:space="preserve"> </w:t>
      </w:r>
      <w:r>
        <w:t xml:space="preserve">Zvelebilova et al. (2024)</w:t>
      </w:r>
      <w:r>
        <w:t xml:space="preserve"> </w:t>
      </w:r>
      <w:r>
        <w:t xml:space="preserve">further demonstrate that even when teams do not fully trust an AI assistant or consider it a genuine team member, the AI can still significantly influence team discourse and collective attention. Their study found that teams adopted terminology introduced by the AI, indicating an automatic integration of AI input despite doubts about its reliability. This suggests that AI systems can impact group cognition and coordination regardless of explicit trust levels. These findings highlight the complexity of trust in AI within team environments, where both the design of AI agents and their subtle influences on team dynamics must be carefully managed to enhance collaborative outcomes.</w:t>
      </w:r>
    </w:p>
    <w:p>
      <w:pPr>
        <w:numPr>
          <w:ilvl w:val="0"/>
          <w:numId w:val="1009"/>
        </w:numPr>
      </w:pPr>
      <w:r>
        <w:t xml:space="preserve">Contagion Effects of (Dis)Trust: Spread of distrust or overconfidence within human–AI teams (Duan et al., 2025)</w:t>
      </w:r>
    </w:p>
    <w:p>
      <w:pPr>
        <w:numPr>
          <w:ilvl w:val="0"/>
          <w:numId w:val="1009"/>
        </w:numPr>
      </w:pPr>
      <w:r>
        <w:t xml:space="preserve">Uncalibrated vs. Well-Calibrated AI: Conditions under which uncalibrated AI might paradoxically enhance outcomes (Vodrahalli et al., 2022)</w:t>
      </w:r>
    </w:p>
    <w:bookmarkEnd w:id="37"/>
    <w:bookmarkStart w:id="38"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bookmarkEnd w:id="38"/>
    <w:bookmarkStart w:id="39" w:name="responsibility"/>
    <w:p>
      <w:pPr>
        <w:pStyle w:val="Heading3"/>
      </w:pPr>
      <w:r>
        <w:t xml:space="preserve">Responsibility</w:t>
      </w:r>
    </w:p>
    <w:p>
      <w:pPr>
        <w:pStyle w:val="Compact"/>
        <w:numPr>
          <w:ilvl w:val="0"/>
          <w:numId w:val="1010"/>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9"/>
    <w:bookmarkStart w:id="40" w:name="risk"/>
    <w:p>
      <w:pPr>
        <w:pStyle w:val="Heading3"/>
      </w:pPr>
      <w:r>
        <w:t xml:space="preserve">Risk</w:t>
      </w:r>
    </w:p>
    <w:p>
      <w:pPr>
        <w:pStyle w:val="Compact"/>
        <w:numPr>
          <w:ilvl w:val="0"/>
          <w:numId w:val="1011"/>
        </w:numPr>
      </w:pPr>
      <w:r>
        <w:t xml:space="preserve">(Bhatia, 2024)</w:t>
      </w:r>
    </w:p>
    <w:p>
      <w:pPr>
        <w:pStyle w:val="Compact"/>
        <w:numPr>
          <w:ilvl w:val="0"/>
          <w:numId w:val="1011"/>
        </w:numPr>
      </w:pPr>
      <w:r>
        <w:t xml:space="preserve">(Zhu et al., 2024)</w:t>
      </w:r>
    </w:p>
    <w:bookmarkEnd w:id="40"/>
    <w:bookmarkEnd w:id="41"/>
    <w:bookmarkStart w:id="42" w:name="future-directions"/>
    <w:p>
      <w:pPr>
        <w:pStyle w:val="Heading2"/>
      </w:pPr>
      <w:r>
        <w:t xml:space="preserve">Future Directions</w:t>
      </w:r>
    </w:p>
    <w:p>
      <w:pPr>
        <w:pStyle w:val="Compact"/>
        <w:numPr>
          <w:ilvl w:val="0"/>
          <w:numId w:val="1012"/>
        </w:numPr>
      </w:pPr>
      <w:r>
        <w:t xml:space="preserve">Opportunities for real-time AI moderation (Han et al., 2024)</w:t>
      </w:r>
    </w:p>
    <w:p>
      <w:pPr>
        <w:pStyle w:val="Compact"/>
        <w:numPr>
          <w:ilvl w:val="0"/>
          <w:numId w:val="1012"/>
        </w:numPr>
      </w:pPr>
      <w:r>
        <w:t xml:space="preserve">Evolving norms around AI accountability (Smith et al., 2025)</w:t>
      </w:r>
    </w:p>
    <w:p>
      <w:pPr>
        <w:pStyle w:val="Compact"/>
        <w:numPr>
          <w:ilvl w:val="0"/>
          <w:numId w:val="1012"/>
        </w:numPr>
      </w:pPr>
      <w:r>
        <w:t xml:space="preserve">potential negative impacts of AI on human skills, critical thinking, and agency (Gerlich, 2025; H. Kumar et al., 2024)</w:t>
      </w:r>
    </w:p>
    <w:p>
      <w:pPr>
        <w:pStyle w:val="Compact"/>
        <w:numPr>
          <w:ilvl w:val="0"/>
          <w:numId w:val="1012"/>
        </w:numPr>
      </w:pPr>
      <w:r>
        <w:t xml:space="preserve">Effects of AI on group extremity and the emergence of echo chambers or polarization phenomena (van Swol et al., 2023).</w:t>
      </w:r>
    </w:p>
    <w:p>
      <w:pPr>
        <w:pStyle w:val="Compact"/>
        <w:numPr>
          <w:ilvl w:val="0"/>
          <w:numId w:val="1012"/>
        </w:numPr>
      </w:pPr>
      <w:r>
        <w:t xml:space="preserve">privacy, accountability, and fairness in AI-assisted group decision making (Cui &amp; Yasseri, 2024; Barredo Arrieta et al., 2020).</w:t>
      </w:r>
    </w:p>
    <w:bookmarkEnd w:id="42"/>
    <w:bookmarkStart w:id="147" w:name="references"/>
    <w:p>
      <w:pPr>
        <w:pStyle w:val="Heading2"/>
      </w:pPr>
      <w:r>
        <w:t xml:space="preserve">References</w:t>
      </w:r>
    </w:p>
    <w:bookmarkStart w:id="146" w:name="refs"/>
    <w:bookmarkStart w:id="44" w:name="X1049ca9ebba084d17ed838fba89a36fe04b4f36"/>
    <w:p>
      <w:pPr>
        <w:pStyle w:val="Bibliography"/>
      </w:pPr>
      <w:r>
        <w:t xml:space="preserve">Anderl, C., Klein, S. H., Sarigül, B., Schneider, F. M., Han, J., Fiedler, P. L., &amp; Utz, S. (2024). Conversational presentation mode increases credibility judgements during information search with</w:t>
      </w:r>
      <w:r>
        <w:t xml:space="preserve"> </w:t>
      </w:r>
      <w:r>
        <w:t xml:space="preserve">ChatGPT</w:t>
      </w:r>
      <w:r>
        <w:t xml:space="preserve">.</w:t>
      </w:r>
      <w:r>
        <w:t xml:space="preserve"> </w:t>
      </w:r>
      <w:r>
        <w:rPr>
          <w:i/>
          <w:iCs/>
        </w:rPr>
        <w:t xml:space="preserve">Scientific Reports</w:t>
      </w:r>
      <w:r>
        <w:t xml:space="preserve">,</w:t>
      </w:r>
      <w:r>
        <w:t xml:space="preserve"> </w:t>
      </w:r>
      <w:r>
        <w:rPr>
          <w:i/>
          <w:iCs/>
        </w:rPr>
        <w:t xml:space="preserve">14</w:t>
      </w:r>
      <w:r>
        <w:t xml:space="preserve">(1), 17127.</w:t>
      </w:r>
      <w:r>
        <w:t xml:space="preserve"> </w:t>
      </w:r>
      <w:hyperlink r:id="rId43">
        <w:r>
          <w:rPr>
            <w:rStyle w:val="Hyperlink"/>
          </w:rPr>
          <w:t xml:space="preserve">https://doi.org/10.1038/s41598-024-67829-6</w:t>
        </w:r>
      </w:hyperlink>
    </w:p>
    <w:bookmarkEnd w:id="44"/>
    <w:bookmarkStart w:id="46" w:name="ref-ashkinazeHowAIIdeas2024"/>
    <w:p>
      <w:pPr>
        <w:pStyle w:val="Bibliography"/>
      </w:pPr>
      <w:r>
        <w:t xml:space="preserve">Ashkinaze, J., Mendelsohn, J., Qiwei, L., Budak, C., &amp; Gilbert, E. (2024).</w:t>
      </w:r>
      <w:r>
        <w:t xml:space="preserve"> </w:t>
      </w:r>
      <w:r>
        <w:rPr>
          <w:i/>
          <w:iCs/>
        </w:rPr>
        <w:t xml:space="preserve">How</w:t>
      </w:r>
      <w:r>
        <w:rPr>
          <w:i/>
          <w:iCs/>
        </w:rPr>
        <w:t xml:space="preserve"> </w:t>
      </w:r>
      <w:r>
        <w:rPr>
          <w:i/>
          <w:iCs/>
        </w:rPr>
        <w:t xml:space="preserve">AI Ideas Affect</w:t>
      </w:r>
      <w:r>
        <w:rPr>
          <w:i/>
          <w:iCs/>
        </w:rPr>
        <w:t xml:space="preserve"> </w:t>
      </w:r>
      <w:r>
        <w:rPr>
          <w:i/>
          <w:iCs/>
        </w:rPr>
        <w:t xml:space="preserve">the</w:t>
      </w:r>
      <w:r>
        <w:rPr>
          <w:i/>
          <w:iCs/>
        </w:rPr>
        <w:t xml:space="preserve"> </w:t>
      </w:r>
      <w:r>
        <w:rPr>
          <w:i/>
          <w:iCs/>
        </w:rPr>
        <w:t xml:space="preserve">Creativity</w:t>
      </w:r>
      <w:r>
        <w:rPr>
          <w:i/>
          <w:iCs/>
        </w:rPr>
        <w:t xml:space="preserve">,</w:t>
      </w:r>
      <w:r>
        <w:rPr>
          <w:i/>
          <w:iCs/>
        </w:rPr>
        <w:t xml:space="preserve"> </w:t>
      </w:r>
      <w:r>
        <w:rPr>
          <w:i/>
          <w:iCs/>
        </w:rPr>
        <w:t xml:space="preserve">Diversity</w:t>
      </w:r>
      <w:r>
        <w:rPr>
          <w:i/>
          <w:iCs/>
        </w:rPr>
        <w:t xml:space="preserve">, and</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Human Ideas</w:t>
      </w:r>
      <w:r>
        <w:rPr>
          <w:i/>
          <w:iCs/>
        </w:rPr>
        <w:t xml:space="preserve">:</w:t>
      </w:r>
      <w:r>
        <w:rPr>
          <w:i/>
          <w:iCs/>
        </w:rPr>
        <w:t xml:space="preserve"> </w:t>
      </w:r>
      <w:r>
        <w:rPr>
          <w:i/>
          <w:iCs/>
        </w:rPr>
        <w:t xml:space="preserve">Evidence From</w:t>
      </w:r>
      <w:r>
        <w:rPr>
          <w:i/>
          <w:iCs/>
        </w:rPr>
        <w:t xml:space="preserve"> </w:t>
      </w:r>
      <w:r>
        <w:rPr>
          <w:i/>
          <w:iCs/>
        </w:rPr>
        <w:t xml:space="preserve">a</w:t>
      </w:r>
      <w:r>
        <w:rPr>
          <w:i/>
          <w:iCs/>
        </w:rPr>
        <w:t xml:space="preserve"> </w:t>
      </w:r>
      <w:r>
        <w:rPr>
          <w:i/>
          <w:iCs/>
        </w:rPr>
        <w:t xml:space="preserve">Large</w:t>
      </w:r>
      <w:r>
        <w:rPr>
          <w:i/>
          <w:iCs/>
        </w:rPr>
        <w:t xml:space="preserve">,</w:t>
      </w:r>
      <w:r>
        <w:rPr>
          <w:i/>
          <w:iCs/>
        </w:rPr>
        <w:t xml:space="preserve"> </w:t>
      </w:r>
      <w:r>
        <w:rPr>
          <w:i/>
          <w:iCs/>
        </w:rPr>
        <w:t xml:space="preserve">Dynamic Experiment</w:t>
      </w:r>
      <w:r>
        <w:t xml:space="preserve"> </w:t>
      </w:r>
      <w:r>
        <w:t xml:space="preserve">(arXiv:2401.13481). arXiv.</w:t>
      </w:r>
      <w:r>
        <w:t xml:space="preserve"> </w:t>
      </w:r>
      <w:hyperlink r:id="rId45">
        <w:r>
          <w:rPr>
            <w:rStyle w:val="Hyperlink"/>
          </w:rPr>
          <w:t xml:space="preserve">https://doi.org/10.48550/arXiv.2401.13481</w:t>
        </w:r>
      </w:hyperlink>
    </w:p>
    <w:bookmarkEnd w:id="46"/>
    <w:bookmarkStart w:id="48"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47">
        <w:r>
          <w:rPr>
            <w:rStyle w:val="Hyperlink"/>
          </w:rPr>
          <w:t xml:space="preserve">https://doi.org/10.1080/12460125.2024.2349425</w:t>
        </w:r>
      </w:hyperlink>
    </w:p>
    <w:bookmarkEnd w:id="48"/>
    <w:bookmarkStart w:id="50"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49">
        <w:r>
          <w:rPr>
            <w:rStyle w:val="Hyperlink"/>
          </w:rPr>
          <w:t xml:space="preserve">https://arxiv.org/abs/2306.11980</w:t>
        </w:r>
      </w:hyperlink>
    </w:p>
    <w:bookmarkEnd w:id="50"/>
    <w:bookmarkStart w:id="52"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51">
        <w:r>
          <w:rPr>
            <w:rStyle w:val="Hyperlink"/>
          </w:rPr>
          <w:t xml:space="preserve">https://doi.org/10.1007/s42113-022-00149-y</w:t>
        </w:r>
      </w:hyperlink>
    </w:p>
    <w:bookmarkEnd w:id="52"/>
    <w:bookmarkStart w:id="54" w:name="X94a7e90039d2e124759a75f8cbeda4207a3ccab"/>
    <w:p>
      <w:pPr>
        <w:pStyle w:val="Bibliography"/>
      </w:pPr>
      <w:r>
        <w:t xml:space="preserve">Bennett, M. S., Hedley, L., Love, J., Houpt, J. W., Brown, S. D., &amp; Eidels, A. (2023). Human</w:t>
      </w:r>
      <w:r>
        <w:t xml:space="preserve"> </w:t>
      </w:r>
      <w:r>
        <w:t xml:space="preserve">Performance</w:t>
      </w:r>
      <w:r>
        <w:t xml:space="preserve"> </w:t>
      </w:r>
      <w:r>
        <w:t xml:space="preserve">in</w:t>
      </w:r>
      <w:r>
        <w:t xml:space="preserve"> </w:t>
      </w:r>
      <w:r>
        <w:t xml:space="preserve">Competitive</w:t>
      </w:r>
      <w:r>
        <w:t xml:space="preserve"> </w:t>
      </w:r>
      <w:r>
        <w:t xml:space="preserve">and</w:t>
      </w:r>
      <w:r>
        <w:t xml:space="preserve"> </w:t>
      </w:r>
      <w:r>
        <w:t xml:space="preserve">Collaborative Human</w:t>
      </w:r>
      <w:r>
        <w:t xml:space="preserve">–</w:t>
      </w:r>
      <w:r>
        <w:t xml:space="preserve">Machine Teams</w:t>
      </w:r>
      <w:r>
        <w:t xml:space="preserve">.</w:t>
      </w:r>
      <w:r>
        <w:t xml:space="preserve"> </w:t>
      </w:r>
      <w:r>
        <w:rPr>
          <w:i/>
          <w:iCs/>
        </w:rPr>
        <w:t xml:space="preserve">Topics in Cognitive Science</w:t>
      </w:r>
      <w:r>
        <w:t xml:space="preserve">, 1–25.</w:t>
      </w:r>
      <w:r>
        <w:t xml:space="preserve"> </w:t>
      </w:r>
      <w:hyperlink r:id="rId53">
        <w:r>
          <w:rPr>
            <w:rStyle w:val="Hyperlink"/>
          </w:rPr>
          <w:t xml:space="preserve">https://doi.org/10.1111/tops.12683</w:t>
        </w:r>
      </w:hyperlink>
    </w:p>
    <w:bookmarkEnd w:id="54"/>
    <w:bookmarkStart w:id="56"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55">
        <w:r>
          <w:rPr>
            <w:rStyle w:val="Hyperlink"/>
          </w:rPr>
          <w:t xml:space="preserve">https://doi.org/10.1037/xge0001607</w:t>
        </w:r>
      </w:hyperlink>
    </w:p>
    <w:bookmarkEnd w:id="56"/>
    <w:bookmarkStart w:id="58"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57">
        <w:r>
          <w:rPr>
            <w:rStyle w:val="Hyperlink"/>
          </w:rPr>
          <w:t xml:space="preserve">https://doi.org/10.3389/fpsyg.2023.1208019</w:t>
        </w:r>
      </w:hyperlink>
    </w:p>
    <w:bookmarkEnd w:id="58"/>
    <w:bookmarkStart w:id="60" w:name="Xf55a190082ae72963ac218e09f6c497d399d413"/>
    <w:p>
      <w:pPr>
        <w:pStyle w:val="Bibliography"/>
      </w:pPr>
      <w:r>
        <w:t xml:space="preserve">Bouschery, S. G., Blazevic, V., &amp; Piller, F. T. (2023). Augmenting human innovation teams with artificial intelligence:</w:t>
      </w:r>
      <w:r>
        <w:t xml:space="preserve"> </w:t>
      </w:r>
      <w:r>
        <w:t xml:space="preserve">Exploring</w:t>
      </w:r>
      <w:r>
        <w:t xml:space="preserve"> </w:t>
      </w:r>
      <w:r>
        <w:t xml:space="preserve">transformer-based language models.</w:t>
      </w:r>
      <w:r>
        <w:t xml:space="preserve"> </w:t>
      </w:r>
      <w:r>
        <w:rPr>
          <w:i/>
          <w:iCs/>
        </w:rPr>
        <w:t xml:space="preserve">Journal of Product Innovation Management</w:t>
      </w:r>
      <w:r>
        <w:t xml:space="preserve">,</w:t>
      </w:r>
      <w:r>
        <w:t xml:space="preserve"> </w:t>
      </w:r>
      <w:r>
        <w:rPr>
          <w:i/>
          <w:iCs/>
        </w:rPr>
        <w:t xml:space="preserve">40</w:t>
      </w:r>
      <w:r>
        <w:t xml:space="preserve">(2), 139–153.</w:t>
      </w:r>
      <w:r>
        <w:t xml:space="preserve"> </w:t>
      </w:r>
      <w:hyperlink r:id="rId59">
        <w:r>
          <w:rPr>
            <w:rStyle w:val="Hyperlink"/>
          </w:rPr>
          <w:t xml:space="preserve">https://doi.org/10.1111/jpim.12656</w:t>
        </w:r>
      </w:hyperlink>
    </w:p>
    <w:bookmarkEnd w:id="60"/>
    <w:bookmarkStart w:id="62" w:name="X35177ac51361017a9fbd20a91dd04a19e15d283"/>
    <w:p>
      <w:pPr>
        <w:pStyle w:val="Bibliography"/>
      </w:pPr>
      <w:r>
        <w:t xml:space="preserve">Boussioux, L., Lane, J. N., Zhang, M., Jacimovic, V., &amp; Lakhani, K. R. (2024). The</w:t>
      </w:r>
      <w:r>
        <w:t xml:space="preserve"> </w:t>
      </w:r>
      <w:r>
        <w:t xml:space="preserve">Crowdless Future</w:t>
      </w:r>
      <w:r>
        <w:t xml:space="preserve">?</w:t>
      </w:r>
      <w:r>
        <w:t xml:space="preserve"> </w:t>
      </w:r>
      <w:r>
        <w:t xml:space="preserve">Generative AI</w:t>
      </w:r>
      <w:r>
        <w:t xml:space="preserve"> </w:t>
      </w:r>
      <w:r>
        <w:t xml:space="preserve">and</w:t>
      </w:r>
      <w:r>
        <w:t xml:space="preserve"> </w:t>
      </w:r>
      <w:r>
        <w:t xml:space="preserve">Creative Problem-Solving</w:t>
      </w:r>
      <w:r>
        <w:t xml:space="preserve">.</w:t>
      </w:r>
      <w:r>
        <w:t xml:space="preserve"> </w:t>
      </w:r>
      <w:r>
        <w:rPr>
          <w:i/>
          <w:iCs/>
        </w:rPr>
        <w:t xml:space="preserve">Organization Science</w:t>
      </w:r>
      <w:r>
        <w:t xml:space="preserve">,</w:t>
      </w:r>
      <w:r>
        <w:t xml:space="preserve"> </w:t>
      </w:r>
      <w:r>
        <w:rPr>
          <w:i/>
          <w:iCs/>
        </w:rPr>
        <w:t xml:space="preserve">35</w:t>
      </w:r>
      <w:r>
        <w:t xml:space="preserve">(5), 1589–1607.</w:t>
      </w:r>
      <w:r>
        <w:t xml:space="preserve"> </w:t>
      </w:r>
      <w:hyperlink r:id="rId61">
        <w:r>
          <w:rPr>
            <w:rStyle w:val="Hyperlink"/>
          </w:rPr>
          <w:t xml:space="preserve">https://doi.org/10.1287/orsc.2023.18430</w:t>
        </w:r>
      </w:hyperlink>
    </w:p>
    <w:bookmarkEnd w:id="62"/>
    <w:bookmarkStart w:id="64"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63">
        <w:r>
          <w:rPr>
            <w:rStyle w:val="Hyperlink"/>
          </w:rPr>
          <w:t xml:space="preserve">https://doi.org/10.1145/3449287</w:t>
        </w:r>
      </w:hyperlink>
    </w:p>
    <w:bookmarkEnd w:id="64"/>
    <w:bookmarkStart w:id="66"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65">
        <w:r>
          <w:rPr>
            <w:rStyle w:val="Hyperlink"/>
          </w:rPr>
          <w:t xml:space="preserve">https://doi.org/10.1038/s41562-024-01959-9</w:t>
        </w:r>
      </w:hyperlink>
    </w:p>
    <w:bookmarkEnd w:id="66"/>
    <w:bookmarkStart w:id="68" w:name="ref-carlebachFlexibleUseConfidence2023"/>
    <w:p>
      <w:pPr>
        <w:pStyle w:val="Bibliography"/>
      </w:pPr>
      <w:r>
        <w:t xml:space="preserve">Carlebach, N., &amp; Yeung, N. (2023). Flexible use of confidence to guide advice requests.</w:t>
      </w:r>
      <w:r>
        <w:t xml:space="preserve"> </w:t>
      </w:r>
      <w:r>
        <w:rPr>
          <w:i/>
          <w:iCs/>
        </w:rPr>
        <w:t xml:space="preserve">Cognition</w:t>
      </w:r>
      <w:r>
        <w:t xml:space="preserve">,</w:t>
      </w:r>
      <w:r>
        <w:t xml:space="preserve"> </w:t>
      </w:r>
      <w:r>
        <w:rPr>
          <w:i/>
          <w:iCs/>
        </w:rPr>
        <w:t xml:space="preserve">230</w:t>
      </w:r>
      <w:r>
        <w:t xml:space="preserve">, 105264.</w:t>
      </w:r>
      <w:r>
        <w:t xml:space="preserve"> </w:t>
      </w:r>
      <w:hyperlink r:id="rId67">
        <w:r>
          <w:rPr>
            <w:rStyle w:val="Hyperlink"/>
          </w:rPr>
          <w:t xml:space="preserve">https://doi.org/10.1016/j.cognition.2022.105264</w:t>
        </w:r>
      </w:hyperlink>
    </w:p>
    <w:bookmarkEnd w:id="68"/>
    <w:bookmarkStart w:id="70"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69">
        <w:r>
          <w:rPr>
            <w:rStyle w:val="Hyperlink"/>
          </w:rPr>
          <w:t xml:space="preserve">https://doi.org/10.1111/emre.12685</w:t>
        </w:r>
      </w:hyperlink>
    </w:p>
    <w:bookmarkEnd w:id="70"/>
    <w:bookmarkStart w:id="72"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71">
        <w:r>
          <w:rPr>
            <w:rStyle w:val="Hyperlink"/>
          </w:rPr>
          <w:t xml:space="preserve">https://doi.org/10.1145/3640543.3645199</w:t>
        </w:r>
      </w:hyperlink>
    </w:p>
    <w:bookmarkEnd w:id="72"/>
    <w:bookmarkStart w:id="73"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73"/>
    <w:bookmarkStart w:id="75"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74">
        <w:r>
          <w:rPr>
            <w:rStyle w:val="Hyperlink"/>
          </w:rPr>
          <w:t xml:space="preserve">https://doi.org/10.1038/s41562-024-01991-9</w:t>
        </w:r>
      </w:hyperlink>
    </w:p>
    <w:bookmarkEnd w:id="75"/>
    <w:bookmarkStart w:id="77"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76">
        <w:r>
          <w:rPr>
            <w:rStyle w:val="Hyperlink"/>
          </w:rPr>
          <w:t xml:space="preserve">https://doi.org/10.1016/j.patter.2024.101074</w:t>
        </w:r>
      </w:hyperlink>
    </w:p>
    <w:bookmarkEnd w:id="77"/>
    <w:bookmarkStart w:id="78" w:name="X37541cf244c10da0f02f0358201972084896dab"/>
    <w:p>
      <w:pPr>
        <w:pStyle w:val="Bibliography"/>
      </w:pPr>
      <w:r>
        <w:t xml:space="preserve">Flores, P., Rong, G., &amp; Cowley, B. (2024). Information foraging in human-</w:t>
      </w:r>
      <w:r>
        <w:t xml:space="preserve">ChatGPT</w:t>
      </w:r>
      <w:r>
        <w:t xml:space="preserve"> </w:t>
      </w:r>
      <w:r>
        <w:t xml:space="preserve">interactions: Factors of computational thinking dissociate exploration and exploitation.</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78"/>
    <w:bookmarkStart w:id="80"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79">
        <w:r>
          <w:rPr>
            <w:rStyle w:val="Hyperlink"/>
          </w:rPr>
          <w:t xml:space="preserve">https://doi.org/10.1037/0033-2909.121.1.43</w:t>
        </w:r>
      </w:hyperlink>
    </w:p>
    <w:bookmarkEnd w:id="80"/>
    <w:bookmarkStart w:id="82" w:name="ref-joostenComparingIdeationQuality2024"/>
    <w:p>
      <w:pPr>
        <w:pStyle w:val="Bibliography"/>
      </w:pPr>
      <w:r>
        <w:t xml:space="preserve">Joosten, J., Bilgram, V., Hahn, A., &amp; Totzek, D. (2024). Comparing the</w:t>
      </w:r>
      <w:r>
        <w:t xml:space="preserve"> </w:t>
      </w:r>
      <w:r>
        <w:t xml:space="preserve">Ideation Quality</w:t>
      </w:r>
      <w:r>
        <w:t xml:space="preserve"> </w:t>
      </w:r>
      <w:r>
        <w:t xml:space="preserve">of</w:t>
      </w:r>
      <w:r>
        <w:t xml:space="preserve"> </w:t>
      </w:r>
      <w:r>
        <w:t xml:space="preserve">Humans With Generative Artificial Intelligence</w:t>
      </w:r>
      <w:r>
        <w:t xml:space="preserve">.</w:t>
      </w:r>
      <w:r>
        <w:t xml:space="preserve"> </w:t>
      </w:r>
      <w:r>
        <w:rPr>
          <w:i/>
          <w:iCs/>
        </w:rPr>
        <w:t xml:space="preserve">IEEE Engineering Management Review</w:t>
      </w:r>
      <w:r>
        <w:t xml:space="preserve">,</w:t>
      </w:r>
      <w:r>
        <w:t xml:space="preserve"> </w:t>
      </w:r>
      <w:r>
        <w:rPr>
          <w:i/>
          <w:iCs/>
        </w:rPr>
        <w:t xml:space="preserve">52</w:t>
      </w:r>
      <w:r>
        <w:t xml:space="preserve">(2), 153–164.</w:t>
      </w:r>
      <w:r>
        <w:t xml:space="preserve"> </w:t>
      </w:r>
      <w:hyperlink r:id="rId81">
        <w:r>
          <w:rPr>
            <w:rStyle w:val="Hyperlink"/>
          </w:rPr>
          <w:t xml:space="preserve">https://doi.org/10.1109/EMR.2024.3353338</w:t>
        </w:r>
      </w:hyperlink>
    </w:p>
    <w:bookmarkEnd w:id="82"/>
    <w:bookmarkStart w:id="84"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83">
        <w:r>
          <w:rPr>
            <w:rStyle w:val="Hyperlink"/>
          </w:rPr>
          <w:t xml:space="preserve">https://doi.org/10.31234/osf.io/seqjr</w:t>
        </w:r>
      </w:hyperlink>
    </w:p>
    <w:bookmarkEnd w:id="84"/>
    <w:bookmarkStart w:id="86" w:name="ref-kumarHumanCreativityAge2024"/>
    <w:p>
      <w:pPr>
        <w:pStyle w:val="Bibliography"/>
      </w:pPr>
      <w:r>
        <w:t xml:space="preserve">Kumar, H., Vincentius, J., Jordan, E., &amp; Anderson, A. (2024).</w:t>
      </w:r>
      <w:r>
        <w:t xml:space="preserve"> </w:t>
      </w:r>
      <w:r>
        <w:rPr>
          <w:i/>
          <w:iCs/>
        </w:rPr>
        <w:t xml:space="preserve">Human</w:t>
      </w:r>
      <w:r>
        <w:rPr>
          <w:i/>
          <w:iCs/>
        </w:rPr>
        <w:t xml:space="preserve"> </w:t>
      </w:r>
      <w:r>
        <w:rPr>
          <w:i/>
          <w:iCs/>
        </w:rPr>
        <w:t xml:space="preserve">Creativity</w:t>
      </w:r>
      <w:r>
        <w:rPr>
          <w:i/>
          <w:iCs/>
        </w:rPr>
        <w:t xml:space="preserve"> </w:t>
      </w:r>
      <w:r>
        <w:rPr>
          <w:i/>
          <w:iCs/>
        </w:rPr>
        <w:t xml:space="preserve">in the</w:t>
      </w:r>
      <w:r>
        <w:rPr>
          <w:i/>
          <w:iCs/>
        </w:rPr>
        <w:t xml:space="preserve"> </w:t>
      </w:r>
      <w:r>
        <w:rPr>
          <w:i/>
          <w:iCs/>
        </w:rPr>
        <w:t xml:space="preserve">Age</w:t>
      </w:r>
      <w:r>
        <w:rPr>
          <w:i/>
          <w:iCs/>
        </w:rPr>
        <w:t xml:space="preserve"> </w:t>
      </w:r>
      <w:r>
        <w:rPr>
          <w:i/>
          <w:iCs/>
        </w:rPr>
        <w:t xml:space="preserve">of</w:t>
      </w:r>
      <w:r>
        <w:rPr>
          <w:i/>
          <w:iCs/>
        </w:rPr>
        <w:t xml:space="preserve"> </w:t>
      </w:r>
      <w:r>
        <w:rPr>
          <w:i/>
          <w:iCs/>
        </w:rPr>
        <w:t xml:space="preserve">LLMs</w:t>
      </w:r>
      <w:r>
        <w:rPr>
          <w:i/>
          <w:iCs/>
        </w:rPr>
        <w:t xml:space="preserve">:</w:t>
      </w:r>
      <w:r>
        <w:rPr>
          <w:i/>
          <w:iCs/>
        </w:rPr>
        <w:t xml:space="preserve"> </w:t>
      </w:r>
      <w:r>
        <w:rPr>
          <w:i/>
          <w:iCs/>
        </w:rPr>
        <w:t xml:space="preserve">Randomized Experiments</w:t>
      </w:r>
      <w:r>
        <w:rPr>
          <w:i/>
          <w:iCs/>
        </w:rPr>
        <w:t xml:space="preserve"> </w:t>
      </w:r>
      <w:r>
        <w:rPr>
          <w:i/>
          <w:iCs/>
        </w:rPr>
        <w:t xml:space="preserve">on</w:t>
      </w:r>
      <w:r>
        <w:rPr>
          <w:i/>
          <w:iCs/>
        </w:rPr>
        <w:t xml:space="preserve"> </w:t>
      </w:r>
      <w:r>
        <w:rPr>
          <w:i/>
          <w:iCs/>
        </w:rPr>
        <w:t xml:space="preserve">Divergent</w:t>
      </w:r>
      <w:r>
        <w:rPr>
          <w:i/>
          <w:iCs/>
        </w:rPr>
        <w:t xml:space="preserve"> </w:t>
      </w:r>
      <w:r>
        <w:rPr>
          <w:i/>
          <w:iCs/>
        </w:rPr>
        <w:t xml:space="preserve">and</w:t>
      </w:r>
      <w:r>
        <w:rPr>
          <w:i/>
          <w:iCs/>
        </w:rPr>
        <w:t xml:space="preserve"> </w:t>
      </w:r>
      <w:r>
        <w:rPr>
          <w:i/>
          <w:iCs/>
        </w:rPr>
        <w:t xml:space="preserve">Convergent Thinking</w:t>
      </w:r>
      <w:r>
        <w:t xml:space="preserve"> </w:t>
      </w:r>
      <w:r>
        <w:t xml:space="preserve">(arXiv:2410.03703). arXiv.</w:t>
      </w:r>
      <w:r>
        <w:t xml:space="preserve"> </w:t>
      </w:r>
      <w:hyperlink r:id="rId85">
        <w:r>
          <w:rPr>
            <w:rStyle w:val="Hyperlink"/>
          </w:rPr>
          <w:t xml:space="preserve">https://arxiv.org/abs/2410.03703</w:t>
        </w:r>
      </w:hyperlink>
    </w:p>
    <w:bookmarkEnd w:id="86"/>
    <w:bookmarkStart w:id="88" w:name="ref-liangAdaptingAlgorithmHow2022"/>
    <w:p>
      <w:pPr>
        <w:pStyle w:val="Bibliography"/>
      </w:pPr>
      <w:r>
        <w:t xml:space="preserve">Liang, G., Sloane, J. F., Donkin, C., &amp; Newell, B. R. (2022). Adapting to the algorithm: How accuracy comparisons promote the use of a decision aid.</w:t>
      </w:r>
      <w:r>
        <w:t xml:space="preserve"> </w:t>
      </w:r>
      <w:r>
        <w:rPr>
          <w:i/>
          <w:iCs/>
        </w:rPr>
        <w:t xml:space="preserve">Cognitive Research: Principles and Implications</w:t>
      </w:r>
      <w:r>
        <w:t xml:space="preserve">,</w:t>
      </w:r>
      <w:r>
        <w:t xml:space="preserve"> </w:t>
      </w:r>
      <w:r>
        <w:rPr>
          <w:i/>
          <w:iCs/>
        </w:rPr>
        <w:t xml:space="preserve">7</w:t>
      </w:r>
      <w:r>
        <w:t xml:space="preserve">(1), 14.</w:t>
      </w:r>
      <w:r>
        <w:t xml:space="preserve"> </w:t>
      </w:r>
      <w:hyperlink r:id="rId87">
        <w:r>
          <w:rPr>
            <w:rStyle w:val="Hyperlink"/>
          </w:rPr>
          <w:t xml:space="preserve">https://doi.org/10.1186/s41235-022-00364-y</w:t>
        </w:r>
      </w:hyperlink>
    </w:p>
    <w:bookmarkEnd w:id="88"/>
    <w:bookmarkStart w:id="90"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89">
        <w:r>
          <w:rPr>
            <w:rStyle w:val="Hyperlink"/>
          </w:rPr>
          <w:t xml:space="preserve">https://doi.org/10.1609/hcomp.v12i1.31604</w:t>
        </w:r>
      </w:hyperlink>
    </w:p>
    <w:bookmarkEnd w:id="90"/>
    <w:bookmarkStart w:id="92"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91">
        <w:r>
          <w:rPr>
            <w:rStyle w:val="Hyperlink"/>
          </w:rPr>
          <w:t xml:space="preserve">https://arxiv.org/abs/2403.16812</w:t>
        </w:r>
      </w:hyperlink>
    </w:p>
    <w:bookmarkEnd w:id="92"/>
    <w:bookmarkStart w:id="93"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93"/>
    <w:bookmarkStart w:id="95"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94">
        <w:r>
          <w:rPr>
            <w:rStyle w:val="Hyperlink"/>
          </w:rPr>
          <w:t xml:space="preserve">https://doi.org/10.1016/j.chb.2023.107874</w:t>
        </w:r>
      </w:hyperlink>
    </w:p>
    <w:bookmarkEnd w:id="95"/>
    <w:bookmarkStart w:id="97" w:name="ref-meinckeUsingLargeLanguage2024"/>
    <w:p>
      <w:pPr>
        <w:pStyle w:val="Bibliography"/>
      </w:pPr>
      <w:r>
        <w:t xml:space="preserve">Meincke, L., Girotra, K., Nave, G., Terwiesch, C., &amp; Ulrich, K. T. (2024).</w:t>
      </w:r>
      <w:r>
        <w:t xml:space="preserve"> </w:t>
      </w:r>
      <w:r>
        <w:rPr>
          <w:i/>
          <w:iCs/>
        </w:rPr>
        <w:t xml:space="preserve">Using</w:t>
      </w:r>
      <w:r>
        <w:rPr>
          <w:i/>
          <w:iCs/>
        </w:rPr>
        <w:t xml:space="preserve"> </w:t>
      </w:r>
      <w:r>
        <w:rPr>
          <w:i/>
          <w:iCs/>
        </w:rPr>
        <w:t xml:space="preserve">Large Language Models</w:t>
      </w:r>
      <w:r>
        <w:rPr>
          <w:i/>
          <w:iCs/>
        </w:rPr>
        <w:t xml:space="preserve"> </w:t>
      </w:r>
      <w:r>
        <w:rPr>
          <w:i/>
          <w:iCs/>
        </w:rPr>
        <w:t xml:space="preserve">for</w:t>
      </w:r>
      <w:r>
        <w:rPr>
          <w:i/>
          <w:iCs/>
        </w:rPr>
        <w:t xml:space="preserve"> </w:t>
      </w:r>
      <w:r>
        <w:rPr>
          <w:i/>
          <w:iCs/>
        </w:rPr>
        <w:t xml:space="preserve">Idea Generation</w:t>
      </w:r>
      <w:r>
        <w:rPr>
          <w:i/>
          <w:iCs/>
        </w:rPr>
        <w:t xml:space="preserve"> </w:t>
      </w:r>
      <w:r>
        <w:rPr>
          <w:i/>
          <w:iCs/>
        </w:rPr>
        <w:t xml:space="preserve">in</w:t>
      </w:r>
      <w:r>
        <w:rPr>
          <w:i/>
          <w:iCs/>
        </w:rPr>
        <w:t xml:space="preserve"> </w:t>
      </w:r>
      <w:r>
        <w:rPr>
          <w:i/>
          <w:iCs/>
        </w:rPr>
        <w:t xml:space="preserve">Innovation</w:t>
      </w:r>
      <w:r>
        <w:t xml:space="preserve">.</w:t>
      </w:r>
      <w:r>
        <w:t xml:space="preserve"> </w:t>
      </w:r>
      <w:hyperlink r:id="rId96">
        <w:r>
          <w:rPr>
            <w:rStyle w:val="Hyperlink"/>
          </w:rPr>
          <w:t xml:space="preserve">https://doi.org/10.2139/ssrn.4526071</w:t>
        </w:r>
      </w:hyperlink>
    </w:p>
    <w:bookmarkEnd w:id="97"/>
    <w:bookmarkStart w:id="99"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98">
        <w:r>
          <w:rPr>
            <w:rStyle w:val="Hyperlink"/>
          </w:rPr>
          <w:t xml:space="preserve">https://doi.org/10.1145/3600211.3604709</w:t>
        </w:r>
      </w:hyperlink>
    </w:p>
    <w:bookmarkEnd w:id="99"/>
    <w:bookmarkStart w:id="101"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100">
        <w:r>
          <w:rPr>
            <w:rStyle w:val="Hyperlink"/>
          </w:rPr>
          <w:t xml:space="preserve">https://doi.org/10.1111/jpr.12552</w:t>
        </w:r>
      </w:hyperlink>
    </w:p>
    <w:bookmarkEnd w:id="101"/>
    <w:bookmarkStart w:id="103" w:name="ref-pescetelliRoleDecisionConfidence2021"/>
    <w:p>
      <w:pPr>
        <w:pStyle w:val="Bibliography"/>
      </w:pPr>
      <w:r>
        <w:t xml:space="preserve">Pescetelli, N., &amp; Yeung, N. (2021). The role of decision confidence in advice-taking and trust formation.</w:t>
      </w:r>
      <w:r>
        <w:t xml:space="preserve"> </w:t>
      </w:r>
      <w:r>
        <w:rPr>
          <w:i/>
          <w:iCs/>
        </w:rPr>
        <w:t xml:space="preserve">Journal of Experimental Psychology: General</w:t>
      </w:r>
      <w:r>
        <w:t xml:space="preserve">,</w:t>
      </w:r>
      <w:r>
        <w:t xml:space="preserve"> </w:t>
      </w:r>
      <w:r>
        <w:rPr>
          <w:i/>
          <w:iCs/>
        </w:rPr>
        <w:t xml:space="preserve">150</w:t>
      </w:r>
      <w:r>
        <w:t xml:space="preserve">(3), 507–526.</w:t>
      </w:r>
      <w:r>
        <w:t xml:space="preserve"> </w:t>
      </w:r>
      <w:hyperlink r:id="rId102">
        <w:r>
          <w:rPr>
            <w:rStyle w:val="Hyperlink"/>
          </w:rPr>
          <w:t xml:space="preserve">https://doi.org/10.1037/xge0000960</w:t>
        </w:r>
      </w:hyperlink>
    </w:p>
    <w:bookmarkEnd w:id="103"/>
    <w:bookmarkStart w:id="105"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104">
        <w:r>
          <w:rPr>
            <w:rStyle w:val="Hyperlink"/>
          </w:rPr>
          <w:t xml:space="preserve">https://doi.org/10.1609/aaaiss.v3i1.31202</w:t>
        </w:r>
      </w:hyperlink>
    </w:p>
    <w:bookmarkEnd w:id="105"/>
    <w:bookmarkStart w:id="107"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106">
        <w:r>
          <w:rPr>
            <w:rStyle w:val="Hyperlink"/>
          </w:rPr>
          <w:t xml:space="preserve">https://doi.org/10.1609/hcomp.v11i1.27554</w:t>
        </w:r>
      </w:hyperlink>
    </w:p>
    <w:bookmarkEnd w:id="107"/>
    <w:bookmarkStart w:id="109" w:name="ref-sharmaGenerativeEchoChamber2024"/>
    <w:p>
      <w:pPr>
        <w:pStyle w:val="Bibliography"/>
      </w:pPr>
      <w:r>
        <w:t xml:space="preserve">Sharma, N., Liao, Q. V., &amp; Xiao, Z. (2024). Generative</w:t>
      </w:r>
      <w:r>
        <w:t xml:space="preserve"> </w:t>
      </w:r>
      <w:r>
        <w:t xml:space="preserve">Echo Chamber</w:t>
      </w:r>
      <w:r>
        <w:t xml:space="preserve">?</w:t>
      </w:r>
      <w:r>
        <w:t xml:space="preserve"> </w:t>
      </w:r>
      <w:r>
        <w:t xml:space="preserve">Effect</w:t>
      </w:r>
      <w:r>
        <w:t xml:space="preserve"> </w:t>
      </w:r>
      <w:r>
        <w:t xml:space="preserve">of</w:t>
      </w:r>
      <w:r>
        <w:t xml:space="preserve"> </w:t>
      </w:r>
      <w:r>
        <w:t xml:space="preserve">LLM-Powered Search Systems</w:t>
      </w:r>
      <w:r>
        <w:t xml:space="preserve"> </w:t>
      </w:r>
      <w:r>
        <w:t xml:space="preserve">on</w:t>
      </w:r>
      <w:r>
        <w:t xml:space="preserve"> </w:t>
      </w:r>
      <w:r>
        <w:t xml:space="preserve">Diverse Information Seeking</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1–17.</w:t>
      </w:r>
      <w:r>
        <w:t xml:space="preserve"> </w:t>
      </w:r>
      <w:hyperlink r:id="rId108">
        <w:r>
          <w:rPr>
            <w:rStyle w:val="Hyperlink"/>
          </w:rPr>
          <w:t xml:space="preserve">https://doi.org/10.1145/3613904.3642459</w:t>
        </w:r>
      </w:hyperlink>
    </w:p>
    <w:bookmarkEnd w:id="109"/>
    <w:bookmarkStart w:id="111" w:name="Xbbba9a3b084c1083b30e327308fd9239fd6bfe0"/>
    <w:p>
      <w:pPr>
        <w:pStyle w:val="Bibliography"/>
      </w:pPr>
      <w:r>
        <w:t xml:space="preserve">Shin, M., Kim, J., van Opheusden, B., &amp; Griffiths, T. L. (2023). Superhuman artificial intelligence can improve human decision-making by increasing novelty.</w:t>
      </w:r>
      <w:r>
        <w:t xml:space="preserve"> </w:t>
      </w:r>
      <w:r>
        <w:rPr>
          <w:i/>
          <w:iCs/>
        </w:rPr>
        <w:t xml:space="preserve">Proceedings of the National Academy of Sciences</w:t>
      </w:r>
      <w:r>
        <w:t xml:space="preserve">,</w:t>
      </w:r>
      <w:r>
        <w:t xml:space="preserve"> </w:t>
      </w:r>
      <w:r>
        <w:rPr>
          <w:i/>
          <w:iCs/>
        </w:rPr>
        <w:t xml:space="preserve">120</w:t>
      </w:r>
      <w:r>
        <w:t xml:space="preserve">(12), e2214840120.</w:t>
      </w:r>
      <w:r>
        <w:t xml:space="preserve"> </w:t>
      </w:r>
      <w:hyperlink r:id="rId110">
        <w:r>
          <w:rPr>
            <w:rStyle w:val="Hyperlink"/>
          </w:rPr>
          <w:t xml:space="preserve">https://doi.org/10.1073/pnas.2214840120</w:t>
        </w:r>
      </w:hyperlink>
    </w:p>
    <w:bookmarkEnd w:id="111"/>
    <w:bookmarkStart w:id="113" w:name="ref-siCanLLMsGenerate2024"/>
    <w:p>
      <w:pPr>
        <w:pStyle w:val="Bibliography"/>
      </w:pPr>
      <w:r>
        <w:t xml:space="preserve">Si, C., Yang, D., &amp; Hashimoto, T. (2024).</w:t>
      </w:r>
      <w:r>
        <w:t xml:space="preserve"> </w:t>
      </w:r>
      <w:r>
        <w:rPr>
          <w:i/>
          <w:iCs/>
        </w:rPr>
        <w:t xml:space="preserve">Can</w:t>
      </w:r>
      <w:r>
        <w:rPr>
          <w:i/>
          <w:iCs/>
        </w:rPr>
        <w:t xml:space="preserve"> </w:t>
      </w:r>
      <w:r>
        <w:rPr>
          <w:i/>
          <w:iCs/>
        </w:rPr>
        <w:t xml:space="preserve">LLMs Generate Novel Research Ideas</w:t>
      </w:r>
      <w:r>
        <w:rPr>
          <w:i/>
          <w:iCs/>
        </w:rPr>
        <w:t xml:space="preserve">?</w:t>
      </w:r>
      <w:r>
        <w:rPr>
          <w:i/>
          <w:iCs/>
        </w:rPr>
        <w:t xml:space="preserve"> </w:t>
      </w:r>
      <w:r>
        <w:rPr>
          <w:i/>
          <w:iCs/>
        </w:rPr>
        <w:t xml:space="preserve">A Large-Scale Human Study</w:t>
      </w:r>
      <w:r>
        <w:rPr>
          <w:i/>
          <w:iCs/>
        </w:rPr>
        <w:t xml:space="preserve"> </w:t>
      </w:r>
      <w:r>
        <w:rPr>
          <w:i/>
          <w:iCs/>
        </w:rPr>
        <w:t xml:space="preserve">with 100+</w:t>
      </w:r>
      <w:r>
        <w:rPr>
          <w:i/>
          <w:iCs/>
        </w:rPr>
        <w:t xml:space="preserve"> </w:t>
      </w:r>
      <w:r>
        <w:rPr>
          <w:i/>
          <w:iCs/>
        </w:rPr>
        <w:t xml:space="preserve">NLP Researchers</w:t>
      </w:r>
      <w:r>
        <w:t xml:space="preserve"> </w:t>
      </w:r>
      <w:r>
        <w:t xml:space="preserve">(arXiv:2409.04109). arXiv.</w:t>
      </w:r>
      <w:r>
        <w:t xml:space="preserve"> </w:t>
      </w:r>
      <w:hyperlink r:id="rId112">
        <w:r>
          <w:rPr>
            <w:rStyle w:val="Hyperlink"/>
          </w:rPr>
          <w:t xml:space="preserve">https://doi.org/10.48550/arXiv.2409.04109</w:t>
        </w:r>
      </w:hyperlink>
    </w:p>
    <w:bookmarkEnd w:id="113"/>
    <w:bookmarkStart w:id="115"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114">
        <w:r>
          <w:rPr>
            <w:rStyle w:val="Hyperlink"/>
          </w:rPr>
          <w:t xml:space="preserve">https://doi.org/10.1145/3677081</w:t>
        </w:r>
      </w:hyperlink>
    </w:p>
    <w:bookmarkEnd w:id="115"/>
    <w:bookmarkStart w:id="117" w:name="Xd985fc2988c8e39fb0687f4ded63d70ff884c94"/>
    <w:p>
      <w:pPr>
        <w:pStyle w:val="Bibliography"/>
      </w:pPr>
      <w:r>
        <w:t xml:space="preserve">Spatharioti, S. E., Rothschild, D. M., Goldstein, D. G., &amp; Hofman, J. M. (2023).</w:t>
      </w:r>
      <w:r>
        <w:t xml:space="preserve"> </w:t>
      </w:r>
      <w:r>
        <w:rPr>
          <w:i/>
          <w:iCs/>
        </w:rPr>
        <w:t xml:space="preserve">Comparing</w:t>
      </w:r>
      <w:r>
        <w:rPr>
          <w:i/>
          <w:iCs/>
        </w:rPr>
        <w:t xml:space="preserve"> </w:t>
      </w:r>
      <w:r>
        <w:rPr>
          <w:i/>
          <w:iCs/>
        </w:rPr>
        <w:t xml:space="preserve">Traditional</w:t>
      </w:r>
      <w:r>
        <w:rPr>
          <w:i/>
          <w:iCs/>
        </w:rPr>
        <w:t xml:space="preserve"> </w:t>
      </w:r>
      <w:r>
        <w:rPr>
          <w:i/>
          <w:iCs/>
        </w:rPr>
        <w:t xml:space="preserve">and</w:t>
      </w:r>
      <w:r>
        <w:rPr>
          <w:i/>
          <w:iCs/>
        </w:rPr>
        <w:t xml:space="preserve"> </w:t>
      </w:r>
      <w:r>
        <w:rPr>
          <w:i/>
          <w:iCs/>
        </w:rPr>
        <w:t xml:space="preserve">LLM-based Search</w:t>
      </w:r>
      <w:r>
        <w:rPr>
          <w:i/>
          <w:iCs/>
        </w:rPr>
        <w:t xml:space="preserve"> </w:t>
      </w:r>
      <w:r>
        <w:rPr>
          <w:i/>
          <w:iCs/>
        </w:rPr>
        <w:t xml:space="preserve">for</w:t>
      </w:r>
      <w:r>
        <w:rPr>
          <w:i/>
          <w:iCs/>
        </w:rPr>
        <w:t xml:space="preserve"> </w:t>
      </w:r>
      <w:r>
        <w:rPr>
          <w:i/>
          <w:iCs/>
        </w:rPr>
        <w:t xml:space="preserve">Consumer Choice</w:t>
      </w:r>
      <w:r>
        <w:rPr>
          <w:i/>
          <w:iCs/>
        </w:rPr>
        <w:t xml:space="preserve">:</w:t>
      </w:r>
      <w:r>
        <w:rPr>
          <w:i/>
          <w:iCs/>
        </w:rPr>
        <w:t xml:space="preserve"> </w:t>
      </w:r>
      <w:r>
        <w:rPr>
          <w:i/>
          <w:iCs/>
        </w:rPr>
        <w:t xml:space="preserve">A Randomized Experiment</w:t>
      </w:r>
      <w:r>
        <w:t xml:space="preserve"> </w:t>
      </w:r>
      <w:r>
        <w:t xml:space="preserve">(arXiv:2307.03744). arXiv.</w:t>
      </w:r>
      <w:r>
        <w:t xml:space="preserve"> </w:t>
      </w:r>
      <w:hyperlink r:id="rId116">
        <w:r>
          <w:rPr>
            <w:rStyle w:val="Hyperlink"/>
          </w:rPr>
          <w:t xml:space="preserve">https://doi.org/10.48550/arXiv.2307.03744</w:t>
        </w:r>
      </w:hyperlink>
    </w:p>
    <w:bookmarkEnd w:id="117"/>
    <w:bookmarkStart w:id="119"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118">
        <w:r>
          <w:rPr>
            <w:rStyle w:val="Hyperlink"/>
          </w:rPr>
          <w:t xml:space="preserve">https://doi.org/10.1016/j.chb.2024.108386</w:t>
        </w:r>
      </w:hyperlink>
    </w:p>
    <w:bookmarkEnd w:id="119"/>
    <w:bookmarkStart w:id="121" w:name="ref-steyversCalibrationGapModel2024"/>
    <w:p>
      <w:pPr>
        <w:pStyle w:val="Bibliography"/>
      </w:pPr>
      <w:r>
        <w:t xml:space="preserve">Steyvers, M., Tejeda, H., Kumar, A., Belem, C., Karny, S., Hu, X., Mayer, L., &amp; Smyth, P. (2024).</w:t>
      </w:r>
      <w:r>
        <w:t xml:space="preserve"> </w:t>
      </w:r>
      <w:r>
        <w:rPr>
          <w:i/>
          <w:iCs/>
        </w:rPr>
        <w:t xml:space="preserve">The</w:t>
      </w:r>
      <w:r>
        <w:rPr>
          <w:i/>
          <w:iCs/>
        </w:rPr>
        <w:t xml:space="preserve"> </w:t>
      </w:r>
      <w:r>
        <w:rPr>
          <w:i/>
          <w:iCs/>
        </w:rPr>
        <w:t xml:space="preserve">Calibration Gap</w:t>
      </w:r>
      <w:r>
        <w:rPr>
          <w:i/>
          <w:iCs/>
        </w:rPr>
        <w:t xml:space="preserve"> </w:t>
      </w:r>
      <w:r>
        <w:rPr>
          <w:i/>
          <w:iCs/>
        </w:rPr>
        <w:t xml:space="preserve">between</w:t>
      </w:r>
      <w:r>
        <w:rPr>
          <w:i/>
          <w:iCs/>
        </w:rPr>
        <w:t xml:space="preserve"> </w:t>
      </w:r>
      <w:r>
        <w:rPr>
          <w:i/>
          <w:iCs/>
        </w:rPr>
        <w:t xml:space="preserve">Model</w:t>
      </w:r>
      <w:r>
        <w:rPr>
          <w:i/>
          <w:iCs/>
        </w:rPr>
        <w:t xml:space="preserve"> </w:t>
      </w:r>
      <w:r>
        <w:rPr>
          <w:i/>
          <w:iCs/>
        </w:rPr>
        <w:t xml:space="preserve">and</w:t>
      </w:r>
      <w:r>
        <w:rPr>
          <w:i/>
          <w:iCs/>
        </w:rPr>
        <w:t xml:space="preserve"> </w:t>
      </w:r>
      <w:r>
        <w:rPr>
          <w:i/>
          <w:iCs/>
        </w:rPr>
        <w:t xml:space="preserve">Human Confidence</w:t>
      </w:r>
      <w:r>
        <w:rPr>
          <w:i/>
          <w:iCs/>
        </w:rPr>
        <w:t xml:space="preserve"> </w:t>
      </w:r>
      <w:r>
        <w:rPr>
          <w:i/>
          <w:iCs/>
        </w:rPr>
        <w:t xml:space="preserve">in</w:t>
      </w:r>
      <w:r>
        <w:rPr>
          <w:i/>
          <w:iCs/>
        </w:rPr>
        <w:t xml:space="preserve"> </w:t>
      </w:r>
      <w:r>
        <w:rPr>
          <w:i/>
          <w:iCs/>
        </w:rPr>
        <w:t xml:space="preserve">Large Language Models</w:t>
      </w:r>
      <w:r>
        <w:t xml:space="preserve"> </w:t>
      </w:r>
      <w:r>
        <w:t xml:space="preserve">(arXiv:2401.13835). arXiv.</w:t>
      </w:r>
      <w:r>
        <w:t xml:space="preserve"> </w:t>
      </w:r>
      <w:hyperlink r:id="rId120">
        <w:r>
          <w:rPr>
            <w:rStyle w:val="Hyperlink"/>
          </w:rPr>
          <w:t xml:space="preserve">https://arxiv.org/abs/2401.13835</w:t>
        </w:r>
      </w:hyperlink>
    </w:p>
    <w:bookmarkEnd w:id="121"/>
    <w:bookmarkStart w:id="123"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122">
        <w:r>
          <w:rPr>
            <w:rStyle w:val="Hyperlink"/>
          </w:rPr>
          <w:t xml:space="preserve">https://doi.org/10.1126/science.adq2852</w:t>
        </w:r>
      </w:hyperlink>
    </w:p>
    <w:bookmarkEnd w:id="123"/>
    <w:bookmarkStart w:id="125"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124">
        <w:r>
          <w:rPr>
            <w:rStyle w:val="Hyperlink"/>
          </w:rPr>
          <w:t xml:space="preserve">https://doi.org/10.31234/osf.io/m4yad</w:t>
        </w:r>
      </w:hyperlink>
    </w:p>
    <w:bookmarkEnd w:id="125"/>
    <w:bookmarkStart w:id="127" w:name="ref-ueshimaDiscoveringNovelSocial2024"/>
    <w:p>
      <w:pPr>
        <w:pStyle w:val="Bibliography"/>
      </w:pPr>
      <w:r>
        <w:t xml:space="preserve">Ueshima, A., &amp; Takikawa, H. (2024). Discovering</w:t>
      </w:r>
      <w:r>
        <w:t xml:space="preserve"> </w:t>
      </w:r>
      <w:r>
        <w:t xml:space="preserve">Novel Social Preferences Using Simple Artificial Neural Networks</w:t>
      </w:r>
      <w:r>
        <w:t xml:space="preserve">.</w:t>
      </w:r>
      <w:r>
        <w:t xml:space="preserve"> </w:t>
      </w:r>
      <w:r>
        <w:rPr>
          <w:i/>
          <w:iCs/>
        </w:rPr>
        <w:t xml:space="preserve">Collabra: Psychology</w:t>
      </w:r>
      <w:r>
        <w:t xml:space="preserve">,</w:t>
      </w:r>
      <w:r>
        <w:t xml:space="preserve"> </w:t>
      </w:r>
      <w:r>
        <w:rPr>
          <w:i/>
          <w:iCs/>
        </w:rPr>
        <w:t xml:space="preserve">10</w:t>
      </w:r>
      <w:r>
        <w:t xml:space="preserve">(1), 121234.</w:t>
      </w:r>
      <w:r>
        <w:t xml:space="preserve"> </w:t>
      </w:r>
      <w:hyperlink r:id="rId126">
        <w:r>
          <w:rPr>
            <w:rStyle w:val="Hyperlink"/>
          </w:rPr>
          <w:t xml:space="preserve">https://doi.org/10.1525/collabra.121234</w:t>
        </w:r>
      </w:hyperlink>
    </w:p>
    <w:bookmarkEnd w:id="127"/>
    <w:bookmarkStart w:id="129"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128">
        <w:r>
          <w:rPr>
            <w:rStyle w:val="Hyperlink"/>
          </w:rPr>
          <w:t xml:space="preserve">https://doi.org/10.1038/s41562-024-02024-1</w:t>
        </w:r>
      </w:hyperlink>
    </w:p>
    <w:bookmarkEnd w:id="129"/>
    <w:bookmarkStart w:id="131" w:name="ref-wangSocialRAGRetrievingGroup2024"/>
    <w:p>
      <w:pPr>
        <w:pStyle w:val="Bibliography"/>
      </w:pPr>
      <w:r>
        <w:t xml:space="preserve">Wang, R., Zhou, X., Qiu, L., Chang, J. C., Bragg, J., &amp; Zhang, A. X. (2024).</w:t>
      </w:r>
      <w:r>
        <w:t xml:space="preserve"> </w:t>
      </w:r>
      <w:r>
        <w:rPr>
          <w:i/>
          <w:iCs/>
        </w:rPr>
        <w:t xml:space="preserve">Social-</w:t>
      </w:r>
      <w:r>
        <w:rPr>
          <w:i/>
          <w:iCs/>
        </w:rPr>
        <w:t xml:space="preserve">RAG</w:t>
      </w:r>
      <w:r>
        <w:rPr>
          <w:i/>
          <w:iCs/>
        </w:rPr>
        <w:t xml:space="preserve">:</w:t>
      </w:r>
      <w:r>
        <w:rPr>
          <w:i/>
          <w:iCs/>
        </w:rPr>
        <w:t xml:space="preserve"> </w:t>
      </w:r>
      <w:r>
        <w:rPr>
          <w:i/>
          <w:iCs/>
        </w:rPr>
        <w:t xml:space="preserve">Retrieving</w:t>
      </w:r>
      <w:r>
        <w:rPr>
          <w:i/>
          <w:iCs/>
        </w:rPr>
        <w:t xml:space="preserve"> </w:t>
      </w:r>
      <w:r>
        <w:rPr>
          <w:i/>
          <w:iCs/>
        </w:rPr>
        <w:t xml:space="preserve">from</w:t>
      </w:r>
      <w:r>
        <w:rPr>
          <w:i/>
          <w:iCs/>
        </w:rPr>
        <w:t xml:space="preserve"> </w:t>
      </w:r>
      <w:r>
        <w:rPr>
          <w:i/>
          <w:iCs/>
        </w:rPr>
        <w:t xml:space="preserve">Group Interactions</w:t>
      </w:r>
      <w:r>
        <w:rPr>
          <w:i/>
          <w:iCs/>
        </w:rPr>
        <w:t xml:space="preserve"> </w:t>
      </w:r>
      <w:r>
        <w:rPr>
          <w:i/>
          <w:iCs/>
        </w:rPr>
        <w:t xml:space="preserve">to</w:t>
      </w:r>
      <w:r>
        <w:rPr>
          <w:i/>
          <w:iCs/>
        </w:rPr>
        <w:t xml:space="preserve"> </w:t>
      </w:r>
      <w:r>
        <w:rPr>
          <w:i/>
          <w:iCs/>
        </w:rPr>
        <w:t xml:space="preserve">Socially Ground Proactive AI Generation</w:t>
      </w:r>
      <w:r>
        <w:rPr>
          <w:i/>
          <w:iCs/>
        </w:rPr>
        <w:t xml:space="preserve"> </w:t>
      </w:r>
      <w:r>
        <w:rPr>
          <w:i/>
          <w:iCs/>
        </w:rPr>
        <w:t xml:space="preserve">to</w:t>
      </w:r>
      <w:r>
        <w:rPr>
          <w:i/>
          <w:iCs/>
        </w:rPr>
        <w:t xml:space="preserve"> </w:t>
      </w:r>
      <w:r>
        <w:rPr>
          <w:i/>
          <w:iCs/>
        </w:rPr>
        <w:t xml:space="preserve">Group Preferences</w:t>
      </w:r>
      <w:r>
        <w:t xml:space="preserve"> </w:t>
      </w:r>
      <w:r>
        <w:t xml:space="preserve">(arXiv:2411.02353). arXiv.</w:t>
      </w:r>
      <w:r>
        <w:t xml:space="preserve"> </w:t>
      </w:r>
      <w:hyperlink r:id="rId130">
        <w:r>
          <w:rPr>
            <w:rStyle w:val="Hyperlink"/>
          </w:rPr>
          <w:t xml:space="preserve">https://doi.org/10.48550/arXiv.2411.02353</w:t>
        </w:r>
      </w:hyperlink>
    </w:p>
    <w:bookmarkEnd w:id="131"/>
    <w:bookmarkStart w:id="133"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132">
        <w:r>
          <w:rPr>
            <w:rStyle w:val="Hyperlink"/>
          </w:rPr>
          <w:t xml:space="preserve">https://doi.org/10.1007/978-1-4612-4634-3_9</w:t>
        </w:r>
      </w:hyperlink>
    </w:p>
    <w:bookmarkEnd w:id="133"/>
    <w:bookmarkStart w:id="135" w:name="X6ef6580514da44e75cc552bd783a308c0359518"/>
    <w:p>
      <w:pPr>
        <w:pStyle w:val="Bibliography"/>
      </w:pPr>
      <w:r>
        <w:t xml:space="preserve">Yan, B., Hollingshead, A. B., Alexander, K. S., Cruz, I., &amp; Shaikh, S. J. (2021). Communication in</w:t>
      </w:r>
      <w:r>
        <w:t xml:space="preserve"> </w:t>
      </w:r>
      <w:r>
        <w:t xml:space="preserve">Transactive Memory Systems</w:t>
      </w:r>
      <w:r>
        <w:t xml:space="preserve">:</w:t>
      </w:r>
      <w:r>
        <w:t xml:space="preserve"> </w:t>
      </w:r>
      <w:r>
        <w:t xml:space="preserve">A Review</w:t>
      </w:r>
      <w:r>
        <w:t xml:space="preserve"> </w:t>
      </w:r>
      <w:r>
        <w:t xml:space="preserve">and</w:t>
      </w:r>
      <w:r>
        <w:t xml:space="preserve"> </w:t>
      </w:r>
      <w:r>
        <w:t xml:space="preserve">Multidimensional Network Perspective</w:t>
      </w:r>
      <w:r>
        <w:t xml:space="preserve">.</w:t>
      </w:r>
      <w:r>
        <w:t xml:space="preserve"> </w:t>
      </w:r>
      <w:r>
        <w:rPr>
          <w:i/>
          <w:iCs/>
        </w:rPr>
        <w:t xml:space="preserve">Small Group Research</w:t>
      </w:r>
      <w:r>
        <w:t xml:space="preserve">,</w:t>
      </w:r>
      <w:r>
        <w:t xml:space="preserve"> </w:t>
      </w:r>
      <w:r>
        <w:rPr>
          <w:i/>
          <w:iCs/>
        </w:rPr>
        <w:t xml:space="preserve">52</w:t>
      </w:r>
      <w:r>
        <w:t xml:space="preserve">(1), 3–32.</w:t>
      </w:r>
      <w:r>
        <w:t xml:space="preserve"> </w:t>
      </w:r>
      <w:hyperlink r:id="rId134">
        <w:r>
          <w:rPr>
            <w:rStyle w:val="Hyperlink"/>
          </w:rPr>
          <w:t xml:space="preserve">https://doi.org/10.1177/1046496420967764</w:t>
        </w:r>
      </w:hyperlink>
    </w:p>
    <w:bookmarkEnd w:id="135"/>
    <w:bookmarkStart w:id="137"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136">
        <w:r>
          <w:rPr>
            <w:rStyle w:val="Hyperlink"/>
          </w:rPr>
          <w:t xml:space="preserve">https://doi.org/10.1145/3659625</w:t>
        </w:r>
      </w:hyperlink>
    </w:p>
    <w:bookmarkEnd w:id="137"/>
    <w:bookmarkStart w:id="139" w:name="ref-yenSearchGenExploring2024"/>
    <w:p>
      <w:pPr>
        <w:pStyle w:val="Bibliography"/>
      </w:pPr>
      <w:r>
        <w:t xml:space="preserve">Yen, R., Sultanum, N., &amp; Zhao, J. (2024). To</w:t>
      </w:r>
      <w:r>
        <w:t xml:space="preserve"> </w:t>
      </w:r>
      <w:r>
        <w:t xml:space="preserve">Search</w:t>
      </w:r>
      <w:r>
        <w:t xml:space="preserve"> </w:t>
      </w:r>
      <w:r>
        <w:t xml:space="preserve">or</w:t>
      </w:r>
      <w:r>
        <w:t xml:space="preserve"> </w:t>
      </w:r>
      <w:r>
        <w:t xml:space="preserve">To Gen</w:t>
      </w:r>
      <w:r>
        <w:t xml:space="preserve">?</w:t>
      </w:r>
      <w:r>
        <w:t xml:space="preserve"> </w:t>
      </w:r>
      <w:r>
        <w:t xml:space="preserve">Exploring</w:t>
      </w:r>
      <w:r>
        <w:t xml:space="preserve"> </w:t>
      </w:r>
      <w:r>
        <w:t xml:space="preserve">the</w:t>
      </w:r>
      <w:r>
        <w:t xml:space="preserve"> </w:t>
      </w:r>
      <w:r>
        <w:t xml:space="preserve">Synergy</w:t>
      </w:r>
      <w:r>
        <w:t xml:space="preserve"> </w:t>
      </w:r>
      <w:r>
        <w:t xml:space="preserve">between</w:t>
      </w:r>
      <w:r>
        <w:t xml:space="preserve"> </w:t>
      </w:r>
      <w:r>
        <w:t xml:space="preserve">Generative AI</w:t>
      </w:r>
      <w:r>
        <w:t xml:space="preserve"> </w:t>
      </w:r>
      <w:r>
        <w:t xml:space="preserve">and</w:t>
      </w:r>
      <w:r>
        <w:t xml:space="preserve"> </w:t>
      </w:r>
      <w:r>
        <w:t xml:space="preserve">Web Search</w:t>
      </w:r>
      <w:r>
        <w:t xml:space="preserve"> </w:t>
      </w:r>
      <w:r>
        <w:t xml:space="preserve">in</w:t>
      </w:r>
      <w:r>
        <w:t xml:space="preserve"> </w:t>
      </w:r>
      <w:r>
        <w:t xml:space="preserve">Programming</w:t>
      </w:r>
      <w:r>
        <w:t xml:space="preserve">.</w:t>
      </w:r>
      <w:r>
        <w:t xml:space="preserve"> </w:t>
      </w:r>
      <w:r>
        <w:rPr>
          <w:i/>
          <w:iCs/>
        </w:rPr>
        <w:t xml:space="preserve">Extended</w:t>
      </w:r>
      <w:r>
        <w:rPr>
          <w:i/>
          <w:iCs/>
        </w:rPr>
        <w:t xml:space="preserve"> </w:t>
      </w:r>
      <w:r>
        <w:rPr>
          <w:i/>
          <w:iCs/>
        </w:rPr>
        <w:t xml:space="preserve">Abstracts</w:t>
      </w:r>
      <w:r>
        <w:rPr>
          <w:i/>
          <w:iCs/>
        </w:rPr>
        <w:t xml:space="preserve"> </w:t>
      </w:r>
      <w:r>
        <w:rPr>
          <w:i/>
          <w:iCs/>
        </w:rPr>
        <w:t xml:space="preserve">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1–8.</w:t>
      </w:r>
      <w:r>
        <w:t xml:space="preserve"> </w:t>
      </w:r>
      <w:hyperlink r:id="rId138">
        <w:r>
          <w:rPr>
            <w:rStyle w:val="Hyperlink"/>
          </w:rPr>
          <w:t xml:space="preserve">https://doi.org/10.1145/3613905.3650867</w:t>
        </w:r>
      </w:hyperlink>
    </w:p>
    <w:bookmarkEnd w:id="139"/>
    <w:bookmarkStart w:id="141" w:name="X1217d36497ea6b8cc7ee613707b3f36e961f0d5"/>
    <w:p>
      <w:pPr>
        <w:pStyle w:val="Bibliography"/>
      </w:pPr>
      <w:r>
        <w:t xml:space="preserve">Zheng, C., Zhang, Y., Huang, Z., Shi, C., Xu, M., &amp; Ma, X. (2024).</w:t>
      </w:r>
      <w:r>
        <w:t xml:space="preserve"> </w:t>
      </w:r>
      <w:r>
        <w:t xml:space="preserve">DiscipLink</w:t>
      </w:r>
      <w:r>
        <w:t xml:space="preserve">:</w:t>
      </w:r>
      <w:r>
        <w:t xml:space="preserve"> </w:t>
      </w:r>
      <w:r>
        <w:t xml:space="preserve">Unfolding Interdisciplinary Information Seeking Process</w:t>
      </w:r>
      <w:r>
        <w:t xml:space="preserve"> </w:t>
      </w:r>
      <w:r>
        <w:t xml:space="preserve">via</w:t>
      </w:r>
      <w:r>
        <w:t xml:space="preserve"> </w:t>
      </w:r>
      <w:r>
        <w:t xml:space="preserve">Human-AI Co-Exploration</w:t>
      </w:r>
      <w:r>
        <w:t xml:space="preserve">.</w:t>
      </w:r>
      <w:r>
        <w:t xml:space="preserve"> </w:t>
      </w:r>
      <w:r>
        <w:rPr>
          <w:i/>
          <w:iCs/>
        </w:rPr>
        <w:t xml:space="preserve">Proceedings of the 37th</w:t>
      </w:r>
      <w:r>
        <w:rPr>
          <w:i/>
          <w:iCs/>
        </w:rPr>
        <w:t xml:space="preserve"> </w:t>
      </w:r>
      <w:r>
        <w:rPr>
          <w:i/>
          <w:iCs/>
        </w:rPr>
        <w:t xml:space="preserve">Annual ACM Symposium</w:t>
      </w:r>
      <w:r>
        <w:rPr>
          <w:i/>
          <w:iCs/>
        </w:rPr>
        <w:t xml:space="preserve"> </w:t>
      </w:r>
      <w:r>
        <w:rPr>
          <w:i/>
          <w:iCs/>
        </w:rPr>
        <w:t xml:space="preserve">on</w:t>
      </w:r>
      <w:r>
        <w:rPr>
          <w:i/>
          <w:iCs/>
        </w:rPr>
        <w:t xml:space="preserve"> </w:t>
      </w:r>
      <w:r>
        <w:rPr>
          <w:i/>
          <w:iCs/>
        </w:rPr>
        <w:t xml:space="preserve">User Interface Software</w:t>
      </w:r>
      <w:r>
        <w:rPr>
          <w:i/>
          <w:iCs/>
        </w:rPr>
        <w:t xml:space="preserve"> </w:t>
      </w:r>
      <w:r>
        <w:rPr>
          <w:i/>
          <w:iCs/>
        </w:rPr>
        <w:t xml:space="preserve">and</w:t>
      </w:r>
      <w:r>
        <w:rPr>
          <w:i/>
          <w:iCs/>
        </w:rPr>
        <w:t xml:space="preserve"> </w:t>
      </w:r>
      <w:r>
        <w:rPr>
          <w:i/>
          <w:iCs/>
        </w:rPr>
        <w:t xml:space="preserve">Technology</w:t>
      </w:r>
      <w:r>
        <w:t xml:space="preserve">, 1–20.</w:t>
      </w:r>
      <w:r>
        <w:t xml:space="preserve"> </w:t>
      </w:r>
      <w:hyperlink r:id="rId140">
        <w:r>
          <w:rPr>
            <w:rStyle w:val="Hyperlink"/>
          </w:rPr>
          <w:t xml:space="preserve">https://doi.org/10.1145/3654777.3676366</w:t>
        </w:r>
      </w:hyperlink>
    </w:p>
    <w:bookmarkEnd w:id="141"/>
    <w:bookmarkStart w:id="143"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142">
        <w:r>
          <w:rPr>
            <w:rStyle w:val="Hyperlink"/>
          </w:rPr>
          <w:t xml:space="preserve">https://arxiv.org/abs/2405.19313</w:t>
        </w:r>
      </w:hyperlink>
    </w:p>
    <w:bookmarkEnd w:id="143"/>
    <w:bookmarkStart w:id="145" w:name="Xa6c5c54b6c96da42afa809fa58efe14146a450d"/>
    <w:p>
      <w:pPr>
        <w:pStyle w:val="Bibliography"/>
      </w:pPr>
      <w:r>
        <w:t xml:space="preserve">Zvelebilova, J., Savage, S., &amp; Riedl, C. (2024).</w:t>
      </w:r>
      <w:r>
        <w:t xml:space="preserve"> </w:t>
      </w:r>
      <w:r>
        <w:rPr>
          <w:i/>
          <w:iCs/>
        </w:rPr>
        <w:t xml:space="preserve">Collective</w:t>
      </w:r>
      <w:r>
        <w:rPr>
          <w:i/>
          <w:iCs/>
        </w:rPr>
        <w:t xml:space="preserve"> </w:t>
      </w:r>
      <w:r>
        <w:rPr>
          <w:i/>
          <w:iCs/>
        </w:rPr>
        <w:t xml:space="preserve">Attention</w:t>
      </w:r>
      <w:r>
        <w:rPr>
          <w:i/>
          <w:iCs/>
        </w:rPr>
        <w:t xml:space="preserve"> </w:t>
      </w:r>
      <w:r>
        <w:rPr>
          <w:i/>
          <w:iCs/>
        </w:rPr>
        <w:t xml:space="preserve">in</w:t>
      </w:r>
      <w:r>
        <w:rPr>
          <w:i/>
          <w:iCs/>
        </w:rPr>
        <w:t xml:space="preserve"> </w:t>
      </w:r>
      <w:r>
        <w:rPr>
          <w:i/>
          <w:iCs/>
        </w:rPr>
        <w:t xml:space="preserve">Human-AI Teams</w:t>
      </w:r>
      <w:r>
        <w:t xml:space="preserve"> </w:t>
      </w:r>
      <w:r>
        <w:t xml:space="preserve">(arXiv:2407.17489). arXiv.</w:t>
      </w:r>
      <w:r>
        <w:t xml:space="preserve"> </w:t>
      </w:r>
      <w:hyperlink r:id="rId144">
        <w:r>
          <w:rPr>
            <w:rStyle w:val="Hyperlink"/>
          </w:rPr>
          <w:t xml:space="preserve">https://doi.org/10.48550/arXiv.2407.17489</w:t>
        </w:r>
      </w:hyperlink>
    </w:p>
    <w:bookmarkEnd w:id="145"/>
    <w:bookmarkEnd w:id="146"/>
    <w:bookmarkEnd w:id="147"/>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CA66A9"/>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CA66A9"/>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9" Target="https://arxiv.org/abs/2306.11980" TargetMode="External" /><Relationship Type="http://schemas.openxmlformats.org/officeDocument/2006/relationships/hyperlink" Id="rId120" Target="https://arxiv.org/abs/2401.13835" TargetMode="External" /><Relationship Type="http://schemas.openxmlformats.org/officeDocument/2006/relationships/hyperlink" Id="rId91" Target="https://arxiv.org/abs/2403.16812" TargetMode="External" /><Relationship Type="http://schemas.openxmlformats.org/officeDocument/2006/relationships/hyperlink" Id="rId142" Target="https://arxiv.org/abs/2405.19313" TargetMode="External" /><Relationship Type="http://schemas.openxmlformats.org/officeDocument/2006/relationships/hyperlink" Id="rId85" Target="https://arxiv.org/abs/2410.03703" TargetMode="External" /><Relationship Type="http://schemas.openxmlformats.org/officeDocument/2006/relationships/hyperlink" Id="rId132" Target="https://doi.org/10.1007/978-1-4612-4634-3_9" TargetMode="External" /><Relationship Type="http://schemas.openxmlformats.org/officeDocument/2006/relationships/hyperlink" Id="rId51" Target="https://doi.org/10.1007/s42113-022-00149-y" TargetMode="External" /><Relationship Type="http://schemas.openxmlformats.org/officeDocument/2006/relationships/hyperlink" Id="rId94" Target="https://doi.org/10.1016/j.chb.2023.107874" TargetMode="External" /><Relationship Type="http://schemas.openxmlformats.org/officeDocument/2006/relationships/hyperlink" Id="rId118" Target="https://doi.org/10.1016/j.chb.2024.108386" TargetMode="External" /><Relationship Type="http://schemas.openxmlformats.org/officeDocument/2006/relationships/hyperlink" Id="rId67" Target="https://doi.org/10.1016/j.cognition.2022.105264" TargetMode="External" /><Relationship Type="http://schemas.openxmlformats.org/officeDocument/2006/relationships/hyperlink" Id="rId76" Target="https://doi.org/10.1016/j.patter.2024.101074" TargetMode="External" /><Relationship Type="http://schemas.openxmlformats.org/officeDocument/2006/relationships/hyperlink" Id="rId79" Target="https://doi.org/10.1037/0033-2909.121.1.43" TargetMode="External" /><Relationship Type="http://schemas.openxmlformats.org/officeDocument/2006/relationships/hyperlink" Id="rId102" Target="https://doi.org/10.1037/xge0000960" TargetMode="External" /><Relationship Type="http://schemas.openxmlformats.org/officeDocument/2006/relationships/hyperlink" Id="rId55" Target="https://doi.org/10.1037/xge0001607" TargetMode="External" /><Relationship Type="http://schemas.openxmlformats.org/officeDocument/2006/relationships/hyperlink" Id="rId65" Target="https://doi.org/10.1038/s41562-024-01959-9" TargetMode="External" /><Relationship Type="http://schemas.openxmlformats.org/officeDocument/2006/relationships/hyperlink" Id="rId74" Target="https://doi.org/10.1038/s41562-024-01991-9" TargetMode="External" /><Relationship Type="http://schemas.openxmlformats.org/officeDocument/2006/relationships/hyperlink" Id="rId128" Target="https://doi.org/10.1038/s41562-024-02024-1" TargetMode="External" /><Relationship Type="http://schemas.openxmlformats.org/officeDocument/2006/relationships/hyperlink" Id="rId43" Target="https://doi.org/10.1038/s41598-024-67829-6" TargetMode="External" /><Relationship Type="http://schemas.openxmlformats.org/officeDocument/2006/relationships/hyperlink" Id="rId110" Target="https://doi.org/10.1073/pnas.2214840120" TargetMode="External" /><Relationship Type="http://schemas.openxmlformats.org/officeDocument/2006/relationships/hyperlink" Id="rId47" Target="https://doi.org/10.1080/12460125.2024.2349425" TargetMode="External" /><Relationship Type="http://schemas.openxmlformats.org/officeDocument/2006/relationships/hyperlink" Id="rId81" Target="https://doi.org/10.1109/EMR.2024.3353338" TargetMode="External" /><Relationship Type="http://schemas.openxmlformats.org/officeDocument/2006/relationships/hyperlink" Id="rId69" Target="https://doi.org/10.1111/emre.12685" TargetMode="External" /><Relationship Type="http://schemas.openxmlformats.org/officeDocument/2006/relationships/hyperlink" Id="rId59" Target="https://doi.org/10.1111/jpim.12656" TargetMode="External" /><Relationship Type="http://schemas.openxmlformats.org/officeDocument/2006/relationships/hyperlink" Id="rId100" Target="https://doi.org/10.1111/jpr.12552" TargetMode="External" /><Relationship Type="http://schemas.openxmlformats.org/officeDocument/2006/relationships/hyperlink" Id="rId53" Target="https://doi.org/10.1111/tops.12683" TargetMode="External" /><Relationship Type="http://schemas.openxmlformats.org/officeDocument/2006/relationships/hyperlink" Id="rId122" Target="https://doi.org/10.1126/science.adq2852" TargetMode="External" /><Relationship Type="http://schemas.openxmlformats.org/officeDocument/2006/relationships/hyperlink" Id="rId63" Target="https://doi.org/10.1145/3449287" TargetMode="External" /><Relationship Type="http://schemas.openxmlformats.org/officeDocument/2006/relationships/hyperlink" Id="rId98" Target="https://doi.org/10.1145/3600211.3604709" TargetMode="External" /><Relationship Type="http://schemas.openxmlformats.org/officeDocument/2006/relationships/hyperlink" Id="rId108" Target="https://doi.org/10.1145/3613904.3642459" TargetMode="External" /><Relationship Type="http://schemas.openxmlformats.org/officeDocument/2006/relationships/hyperlink" Id="rId138" Target="https://doi.org/10.1145/3613905.3650867" TargetMode="External" /><Relationship Type="http://schemas.openxmlformats.org/officeDocument/2006/relationships/hyperlink" Id="rId71" Target="https://doi.org/10.1145/3640543.3645199" TargetMode="External" /><Relationship Type="http://schemas.openxmlformats.org/officeDocument/2006/relationships/hyperlink" Id="rId140" Target="https://doi.org/10.1145/3654777.3676366" TargetMode="External" /><Relationship Type="http://schemas.openxmlformats.org/officeDocument/2006/relationships/hyperlink" Id="rId136" Target="https://doi.org/10.1145/3659625" TargetMode="External" /><Relationship Type="http://schemas.openxmlformats.org/officeDocument/2006/relationships/hyperlink" Id="rId114" Target="https://doi.org/10.1145/3677081" TargetMode="External" /><Relationship Type="http://schemas.openxmlformats.org/officeDocument/2006/relationships/hyperlink" Id="rId134" Target="https://doi.org/10.1177/1046496420967764" TargetMode="External" /><Relationship Type="http://schemas.openxmlformats.org/officeDocument/2006/relationships/hyperlink" Id="rId87" Target="https://doi.org/10.1186/s41235-022-00364-y" TargetMode="External" /><Relationship Type="http://schemas.openxmlformats.org/officeDocument/2006/relationships/hyperlink" Id="rId61" Target="https://doi.org/10.1287/orsc.2023.18430" TargetMode="External" /><Relationship Type="http://schemas.openxmlformats.org/officeDocument/2006/relationships/hyperlink" Id="rId126" Target="https://doi.org/10.1525/collabra.121234" TargetMode="External" /><Relationship Type="http://schemas.openxmlformats.org/officeDocument/2006/relationships/hyperlink" Id="rId104" Target="https://doi.org/10.1609/aaaiss.v3i1.31202" TargetMode="External" /><Relationship Type="http://schemas.openxmlformats.org/officeDocument/2006/relationships/hyperlink" Id="rId106" Target="https://doi.org/10.1609/hcomp.v11i1.27554" TargetMode="External" /><Relationship Type="http://schemas.openxmlformats.org/officeDocument/2006/relationships/hyperlink" Id="rId89" Target="https://doi.org/10.1609/hcomp.v12i1.31604" TargetMode="External" /><Relationship Type="http://schemas.openxmlformats.org/officeDocument/2006/relationships/hyperlink" Id="rId96" Target="https://doi.org/10.2139/ssrn.4526071" TargetMode="External" /><Relationship Type="http://schemas.openxmlformats.org/officeDocument/2006/relationships/hyperlink" Id="rId124" Target="https://doi.org/10.31234/osf.io/m4yad" TargetMode="External" /><Relationship Type="http://schemas.openxmlformats.org/officeDocument/2006/relationships/hyperlink" Id="rId83" Target="https://doi.org/10.31234/osf.io/seqjr" TargetMode="External" /><Relationship Type="http://schemas.openxmlformats.org/officeDocument/2006/relationships/hyperlink" Id="rId57" Target="https://doi.org/10.3389/fpsyg.2023.1208019" TargetMode="External" /><Relationship Type="http://schemas.openxmlformats.org/officeDocument/2006/relationships/hyperlink" Id="rId116" Target="https://doi.org/10.48550/arXiv.2307.03744" TargetMode="External" /><Relationship Type="http://schemas.openxmlformats.org/officeDocument/2006/relationships/hyperlink" Id="rId45" Target="https://doi.org/10.48550/arXiv.2401.13481" TargetMode="External" /><Relationship Type="http://schemas.openxmlformats.org/officeDocument/2006/relationships/hyperlink" Id="rId144" Target="https://doi.org/10.48550/arXiv.2407.17489" TargetMode="External" /><Relationship Type="http://schemas.openxmlformats.org/officeDocument/2006/relationships/hyperlink" Id="rId112" Target="https://doi.org/10.48550/arXiv.2409.04109" TargetMode="External" /><Relationship Type="http://schemas.openxmlformats.org/officeDocument/2006/relationships/hyperlink" Id="rId130" Target="https://doi.org/10.48550/arXiv.2411.02353" TargetMode="External" /></Relationships>
</file>

<file path=word/_rels/footnotes.xml.rels><?xml version="1.0" encoding="UTF-8"?><Relationships xmlns="http://schemas.openxmlformats.org/package/2006/relationships"><Relationship Type="http://schemas.openxmlformats.org/officeDocument/2006/relationships/hyperlink" Id="rId49" Target="https://arxiv.org/abs/2306.11980" TargetMode="External" /><Relationship Type="http://schemas.openxmlformats.org/officeDocument/2006/relationships/hyperlink" Id="rId120" Target="https://arxiv.org/abs/2401.13835" TargetMode="External" /><Relationship Type="http://schemas.openxmlformats.org/officeDocument/2006/relationships/hyperlink" Id="rId91" Target="https://arxiv.org/abs/2403.16812" TargetMode="External" /><Relationship Type="http://schemas.openxmlformats.org/officeDocument/2006/relationships/hyperlink" Id="rId142" Target="https://arxiv.org/abs/2405.19313" TargetMode="External" /><Relationship Type="http://schemas.openxmlformats.org/officeDocument/2006/relationships/hyperlink" Id="rId85" Target="https://arxiv.org/abs/2410.03703" TargetMode="External" /><Relationship Type="http://schemas.openxmlformats.org/officeDocument/2006/relationships/hyperlink" Id="rId132" Target="https://doi.org/10.1007/978-1-4612-4634-3_9" TargetMode="External" /><Relationship Type="http://schemas.openxmlformats.org/officeDocument/2006/relationships/hyperlink" Id="rId51" Target="https://doi.org/10.1007/s42113-022-00149-y" TargetMode="External" /><Relationship Type="http://schemas.openxmlformats.org/officeDocument/2006/relationships/hyperlink" Id="rId94" Target="https://doi.org/10.1016/j.chb.2023.107874" TargetMode="External" /><Relationship Type="http://schemas.openxmlformats.org/officeDocument/2006/relationships/hyperlink" Id="rId118" Target="https://doi.org/10.1016/j.chb.2024.108386" TargetMode="External" /><Relationship Type="http://schemas.openxmlformats.org/officeDocument/2006/relationships/hyperlink" Id="rId67" Target="https://doi.org/10.1016/j.cognition.2022.105264" TargetMode="External" /><Relationship Type="http://schemas.openxmlformats.org/officeDocument/2006/relationships/hyperlink" Id="rId76" Target="https://doi.org/10.1016/j.patter.2024.101074" TargetMode="External" /><Relationship Type="http://schemas.openxmlformats.org/officeDocument/2006/relationships/hyperlink" Id="rId79" Target="https://doi.org/10.1037/0033-2909.121.1.43" TargetMode="External" /><Relationship Type="http://schemas.openxmlformats.org/officeDocument/2006/relationships/hyperlink" Id="rId102" Target="https://doi.org/10.1037/xge0000960" TargetMode="External" /><Relationship Type="http://schemas.openxmlformats.org/officeDocument/2006/relationships/hyperlink" Id="rId55" Target="https://doi.org/10.1037/xge0001607" TargetMode="External" /><Relationship Type="http://schemas.openxmlformats.org/officeDocument/2006/relationships/hyperlink" Id="rId65" Target="https://doi.org/10.1038/s41562-024-01959-9" TargetMode="External" /><Relationship Type="http://schemas.openxmlformats.org/officeDocument/2006/relationships/hyperlink" Id="rId74" Target="https://doi.org/10.1038/s41562-024-01991-9" TargetMode="External" /><Relationship Type="http://schemas.openxmlformats.org/officeDocument/2006/relationships/hyperlink" Id="rId128" Target="https://doi.org/10.1038/s41562-024-02024-1" TargetMode="External" /><Relationship Type="http://schemas.openxmlformats.org/officeDocument/2006/relationships/hyperlink" Id="rId43" Target="https://doi.org/10.1038/s41598-024-67829-6" TargetMode="External" /><Relationship Type="http://schemas.openxmlformats.org/officeDocument/2006/relationships/hyperlink" Id="rId110" Target="https://doi.org/10.1073/pnas.2214840120" TargetMode="External" /><Relationship Type="http://schemas.openxmlformats.org/officeDocument/2006/relationships/hyperlink" Id="rId47" Target="https://doi.org/10.1080/12460125.2024.2349425" TargetMode="External" /><Relationship Type="http://schemas.openxmlformats.org/officeDocument/2006/relationships/hyperlink" Id="rId81" Target="https://doi.org/10.1109/EMR.2024.3353338" TargetMode="External" /><Relationship Type="http://schemas.openxmlformats.org/officeDocument/2006/relationships/hyperlink" Id="rId69" Target="https://doi.org/10.1111/emre.12685" TargetMode="External" /><Relationship Type="http://schemas.openxmlformats.org/officeDocument/2006/relationships/hyperlink" Id="rId59" Target="https://doi.org/10.1111/jpim.12656" TargetMode="External" /><Relationship Type="http://schemas.openxmlformats.org/officeDocument/2006/relationships/hyperlink" Id="rId100" Target="https://doi.org/10.1111/jpr.12552" TargetMode="External" /><Relationship Type="http://schemas.openxmlformats.org/officeDocument/2006/relationships/hyperlink" Id="rId53" Target="https://doi.org/10.1111/tops.12683" TargetMode="External" /><Relationship Type="http://schemas.openxmlformats.org/officeDocument/2006/relationships/hyperlink" Id="rId122" Target="https://doi.org/10.1126/science.adq2852" TargetMode="External" /><Relationship Type="http://schemas.openxmlformats.org/officeDocument/2006/relationships/hyperlink" Id="rId63" Target="https://doi.org/10.1145/3449287" TargetMode="External" /><Relationship Type="http://schemas.openxmlformats.org/officeDocument/2006/relationships/hyperlink" Id="rId98" Target="https://doi.org/10.1145/3600211.3604709" TargetMode="External" /><Relationship Type="http://schemas.openxmlformats.org/officeDocument/2006/relationships/hyperlink" Id="rId108" Target="https://doi.org/10.1145/3613904.3642459" TargetMode="External" /><Relationship Type="http://schemas.openxmlformats.org/officeDocument/2006/relationships/hyperlink" Id="rId138" Target="https://doi.org/10.1145/3613905.3650867" TargetMode="External" /><Relationship Type="http://schemas.openxmlformats.org/officeDocument/2006/relationships/hyperlink" Id="rId71" Target="https://doi.org/10.1145/3640543.3645199" TargetMode="External" /><Relationship Type="http://schemas.openxmlformats.org/officeDocument/2006/relationships/hyperlink" Id="rId140" Target="https://doi.org/10.1145/3654777.3676366" TargetMode="External" /><Relationship Type="http://schemas.openxmlformats.org/officeDocument/2006/relationships/hyperlink" Id="rId136" Target="https://doi.org/10.1145/3659625" TargetMode="External" /><Relationship Type="http://schemas.openxmlformats.org/officeDocument/2006/relationships/hyperlink" Id="rId114" Target="https://doi.org/10.1145/3677081" TargetMode="External" /><Relationship Type="http://schemas.openxmlformats.org/officeDocument/2006/relationships/hyperlink" Id="rId134" Target="https://doi.org/10.1177/1046496420967764" TargetMode="External" /><Relationship Type="http://schemas.openxmlformats.org/officeDocument/2006/relationships/hyperlink" Id="rId87" Target="https://doi.org/10.1186/s41235-022-00364-y" TargetMode="External" /><Relationship Type="http://schemas.openxmlformats.org/officeDocument/2006/relationships/hyperlink" Id="rId61" Target="https://doi.org/10.1287/orsc.2023.18430" TargetMode="External" /><Relationship Type="http://schemas.openxmlformats.org/officeDocument/2006/relationships/hyperlink" Id="rId126" Target="https://doi.org/10.1525/collabra.121234" TargetMode="External" /><Relationship Type="http://schemas.openxmlformats.org/officeDocument/2006/relationships/hyperlink" Id="rId104" Target="https://doi.org/10.1609/aaaiss.v3i1.31202" TargetMode="External" /><Relationship Type="http://schemas.openxmlformats.org/officeDocument/2006/relationships/hyperlink" Id="rId106" Target="https://doi.org/10.1609/hcomp.v11i1.27554" TargetMode="External" /><Relationship Type="http://schemas.openxmlformats.org/officeDocument/2006/relationships/hyperlink" Id="rId89" Target="https://doi.org/10.1609/hcomp.v12i1.31604" TargetMode="External" /><Relationship Type="http://schemas.openxmlformats.org/officeDocument/2006/relationships/hyperlink" Id="rId96" Target="https://doi.org/10.2139/ssrn.4526071" TargetMode="External" /><Relationship Type="http://schemas.openxmlformats.org/officeDocument/2006/relationships/hyperlink" Id="rId124" Target="https://doi.org/10.31234/osf.io/m4yad" TargetMode="External" /><Relationship Type="http://schemas.openxmlformats.org/officeDocument/2006/relationships/hyperlink" Id="rId83" Target="https://doi.org/10.31234/osf.io/seqjr" TargetMode="External" /><Relationship Type="http://schemas.openxmlformats.org/officeDocument/2006/relationships/hyperlink" Id="rId57" Target="https://doi.org/10.3389/fpsyg.2023.1208019" TargetMode="External" /><Relationship Type="http://schemas.openxmlformats.org/officeDocument/2006/relationships/hyperlink" Id="rId116" Target="https://doi.org/10.48550/arXiv.2307.03744" TargetMode="External" /><Relationship Type="http://schemas.openxmlformats.org/officeDocument/2006/relationships/hyperlink" Id="rId45" Target="https://doi.org/10.48550/arXiv.2401.13481" TargetMode="External" /><Relationship Type="http://schemas.openxmlformats.org/officeDocument/2006/relationships/hyperlink" Id="rId144" Target="https://doi.org/10.48550/arXiv.2407.17489" TargetMode="External" /><Relationship Type="http://schemas.openxmlformats.org/officeDocument/2006/relationships/hyperlink" Id="rId112" Target="https://doi.org/10.48550/arXiv.2409.04109" TargetMode="External" /><Relationship Type="http://schemas.openxmlformats.org/officeDocument/2006/relationships/hyperlink" Id="rId130" Target="https://doi.org/10.48550/arXiv.2411.0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2025-02-01T02:47:15Z</dcterms:created>
  <dcterms:modified xsi:type="dcterms:W3CDTF">2025-02-01T02:47:15Z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date-format">
    <vt:lpwstr>full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revealjs-plugins">
    <vt:lpwstr/>
  </property>
  <property fmtid="{D5CDD505-2E9C-101B-9397-08002B2CF9AE}" pid="16" name="toc-title">
    <vt:lpwstr>Table of contents</vt:lpwstr>
  </property>
</Properties>
</file>