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27.png" ContentType="image/png"/>
  <Override PartName="/word/media/rId39.jpg" ContentType="image/jpe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Transactive Memory Systems</w:t>
      </w:r>
    </w:p>
    <w:p>
      <w:pPr>
        <w:pStyle w:val="FirstParagraph"/>
      </w:pPr>
      <w:hyperlink r:id="rId20">
        <w:r>
          <w:rPr>
            <w:rStyle w:val="Hyperlink"/>
          </w:rPr>
          <w:t xml:space="preserve">https://tegorman13.github.io/ccl/tms.html</w:t>
        </w:r>
      </w:hyperlink>
    </w:p>
    <w:bookmarkStart w:id="24" w:name="Xbe8a271d250abe79e1b723c70913cc462b33cf6"/>
    <w:p>
      <w:pPr>
        <w:pStyle w:val="Heading2"/>
      </w:pPr>
      <w:r>
        <w:t xml:space="preserve">Human-AI teaming: Leveraging transactive memory and speaking up for enhanced team effectiveness.</w:t>
      </w:r>
    </w:p>
    <w:p>
      <w:pPr>
        <w:pStyle w:val="FirstParagraph"/>
      </w:pPr>
      <w:r>
        <w:t xml:space="preserve">Bienefeld, N., Kolbe, M., Camen, G., Huser, D., &amp; Buehler, P. K. (2023).</w:t>
      </w:r>
      <w:r>
        <w:t xml:space="preserve"> </w:t>
      </w:r>
      <w:r>
        <w:rPr>
          <w:b/>
          <w:bCs/>
        </w:rPr>
        <w:t xml:space="preserve">Human-AI teaming: Leveraging transactive memory and speaking up for enhanced team effectiveness.</w:t>
      </w:r>
      <w:r>
        <w:t xml:space="preserve"> </w:t>
      </w:r>
      <w:r>
        <w:t xml:space="preserve">Frontiers in Psychology, 14. https://doi.org/10.3389/fpsyg.2023.1208019</w:t>
      </w:r>
    </w:p>
    <w:p>
      <w:pPr>
        <w:pStyle w:val="BodyText"/>
      </w:pPr>
      <w:r>
        <w:t xml:space="preserve">Abstract</w:t>
      </w:r>
    </w:p>
    <w:p>
      <w:pPr>
        <w:pStyle w:val="BodyText"/>
      </w:pPr>
      <w:r>
        <w:t xml:space="preserve">In this prospective observational study, we investigate the role of transactive memory and speaking up in human-AI teams comprising 180 intensive care (ICU) physicians and nurses working with AI in a simulated clinical environment. Our findings indicate that interactions with AI agents differ significantly from human interactions, as accessing information from AI agents is positively linked to a team’s ability to generate novel hypotheses and demonstrate speaking-up behavior, but only in higher-performing teams. Conversely, accessing information from human team members is negatively associated with these aspects, regardless of team performance. This study is a valuable contribution to the expanding field of research on human-AI teams and team science in general, as it emphasizes the necessity of incorporating AI agents as knowledge sources in a team’s transactive memory system, as well as highlighting their role as catalysts for speaking up. Practical implications include suggestions for the design of future AI systems and human-AI team training in healthcare and beyond.</w:t>
      </w:r>
    </w:p>
    <w:p>
      <w:pPr>
        <w:pStyle w:val="CaptionedFigure"/>
      </w:pPr>
      <w:r>
        <w:drawing>
          <wp:inline>
            <wp:extent cx="5334000" cy="4101662"/>
            <wp:effectExtent b="0" l="0" r="0" t="0"/>
            <wp:docPr descr="Bienefeld et al. (2023)" title="" id="22" name="Picture"/>
            <a:graphic>
              <a:graphicData uri="http://schemas.openxmlformats.org/drawingml/2006/picture">
                <pic:pic>
                  <pic:nvPicPr>
                    <pic:cNvPr descr="images/Bienefeld_23_img.png" id="23" name="Picture"/>
                    <pic:cNvPicPr>
                      <a:picLocks noChangeArrowheads="1" noChangeAspect="1"/>
                    </pic:cNvPicPr>
                  </pic:nvPicPr>
                  <pic:blipFill>
                    <a:blip r:embed="rId21"/>
                    <a:stretch>
                      <a:fillRect/>
                    </a:stretch>
                  </pic:blipFill>
                  <pic:spPr bwMode="auto">
                    <a:xfrm>
                      <a:off x="0" y="0"/>
                      <a:ext cx="5334000" cy="4101662"/>
                    </a:xfrm>
                    <a:prstGeom prst="rect">
                      <a:avLst/>
                    </a:prstGeom>
                    <a:noFill/>
                    <a:ln w="9525">
                      <a:noFill/>
                      <a:headEnd/>
                      <a:tailEnd/>
                    </a:ln>
                  </pic:spPr>
                </pic:pic>
              </a:graphicData>
            </a:graphic>
          </wp:inline>
        </w:drawing>
      </w:r>
    </w:p>
    <w:p>
      <w:pPr>
        <w:pStyle w:val="ImageCaption"/>
      </w:pPr>
      <w:r>
        <w:t xml:space="preserve">Bienefeld et al. (2023)</w:t>
      </w:r>
    </w:p>
    <w:bookmarkEnd w:id="24"/>
    <w:bookmarkStart w:id="25" w:name="Xfc6a917026564109a3f37d39d083ca533fbd26e"/>
    <w:p>
      <w:pPr>
        <w:pStyle w:val="Heading2"/>
      </w:pPr>
      <w:r>
        <w:t xml:space="preserve">Communication in Transactive Memory Systems: A Review and Multidimensional Network Perspective</w:t>
      </w:r>
    </w:p>
    <w:p>
      <w:pPr>
        <w:pStyle w:val="FirstParagraph"/>
      </w:pPr>
      <w:r>
        <w:t xml:space="preserve">Yan, B., Hollingshead, A. B., Alexander, K. S., Cruz, I., &amp; Shaikh, S. J. (2021).</w:t>
      </w:r>
      <w:r>
        <w:t xml:space="preserve"> </w:t>
      </w:r>
      <w:r>
        <w:rPr>
          <w:b/>
          <w:bCs/>
        </w:rPr>
        <w:t xml:space="preserve">Communication in Transactive Memory Systems: A Review and Multidimensional Network Perspective.</w:t>
      </w:r>
      <w:r>
        <w:t xml:space="preserve"> </w:t>
      </w:r>
      <w:r>
        <w:t xml:space="preserve">Small Group Research, 52(1), 3–32. https://doi.org/10.1177/1046496420967764</w:t>
      </w:r>
    </w:p>
    <w:p>
      <w:pPr>
        <w:pStyle w:val="BodyText"/>
      </w:pPr>
      <w:r>
        <w:t xml:space="preserve">Abstract</w:t>
      </w:r>
    </w:p>
    <w:p>
      <w:pPr>
        <w:pStyle w:val="BodyText"/>
      </w:pPr>
      <w:r>
        <w:t xml:space="preserve">The comprehensive review synthesizes 64 empirical studies on communication and transactive memory systems (TMS). The results reveal that (a) a TMS forms through communication about expertise; (b) as a TMS develops, communication to allocate information and coordinate retrieval increases, promoting information exchange; and (c) groups update their TMS through communicative learning. However, direct interpersonal communication is not necessary for TMS development or utilization. Nor do high-quality information-sharing processes always occur within developed TMS structures. For future research, we propose a multidimensional network approach to TMS that incorporates technologies, addresses member characteristics, considers multiple communication types, and situates groups in context.</w:t>
      </w:r>
    </w:p>
    <w:bookmarkEnd w:id="25"/>
    <w:bookmarkStart w:id="26" w:name="Xb40b53b3f17354ed1389f7fdcb0f60dd605266c"/>
    <w:p>
      <w:pPr>
        <w:pStyle w:val="Heading2"/>
      </w:pPr>
      <w:r>
        <w:t xml:space="preserve">Alignment, Transactive Memory, and Collective Cognitive Systems</w:t>
      </w:r>
    </w:p>
    <w:p>
      <w:pPr>
        <w:pStyle w:val="FirstParagraph"/>
      </w:pPr>
      <w:r>
        <w:t xml:space="preserve">Tollefsen, D. P., Dale, R., &amp; Paxton, A. (2013).</w:t>
      </w:r>
      <w:r>
        <w:t xml:space="preserve"> </w:t>
      </w:r>
      <w:r>
        <w:rPr>
          <w:b/>
          <w:bCs/>
        </w:rPr>
        <w:t xml:space="preserve">Alignment, Transactive Memory, and Collective Cognitive Systems.</w:t>
      </w:r>
      <w:r>
        <w:t xml:space="preserve"> </w:t>
      </w:r>
      <w:r>
        <w:t xml:space="preserve">Review of Philosophy and Psychology, 4(1), 49–64. https://doi.org/10.1007/s13164-012-0126-z</w:t>
      </w:r>
    </w:p>
    <w:p>
      <w:pPr>
        <w:pStyle w:val="BodyText"/>
      </w:pPr>
      <w:r>
        <w:t xml:space="preserve">Abstract</w:t>
      </w:r>
    </w:p>
    <w:p>
      <w:pPr>
        <w:pStyle w:val="BodyText"/>
      </w:pPr>
      <w:r>
        <w:t xml:space="preserve">Research on linguistic interaction suggests that two or more individuals can sometimes form adaptive and cohesive systems. We describe an</w:t>
      </w:r>
      <w:r>
        <w:t xml:space="preserve"> </w:t>
      </w:r>
      <w:r>
        <w:t xml:space="preserve">“alignment system”</w:t>
      </w:r>
      <w:r>
        <w:t xml:space="preserve"> </w:t>
      </w:r>
      <w:r>
        <w:t xml:space="preserve">as a loosely interconnected set of cognitive processes that facilitate social interactions. As a dynamic, multi-component system, it is responsive to higher-level cognitive states such as shared beliefs and intentions (those involving collective intentionality) but can also give rise to such shared cognitive states via bottom-up processes. As an example of putative group cognition we turn to transactive memory and suggest how further research on alignment in these cases might reveal how such systems can be genuinely described as cognitive. Finally, we address a prominent critique of collective cognitive systems, arguing that there is much empirical and explanatory benefit to be gained from considering the possibility of group cognitive systems, especially in the context of small-group human interaction.</w:t>
      </w:r>
    </w:p>
    <w:bookmarkEnd w:id="26"/>
    <w:bookmarkStart w:id="34" w:name="X2888e479ee494104875f5ac6a9c56ac2e0b7d1c"/>
    <w:p>
      <w:pPr>
        <w:pStyle w:val="Heading2"/>
      </w:pPr>
      <w:r>
        <w:t xml:space="preserve">Building Machines that Learn and Think with People</w:t>
      </w:r>
    </w:p>
    <w:p>
      <w:pPr>
        <w:pStyle w:val="FirstParagraph"/>
      </w:pPr>
      <w:r>
        <w:t xml:space="preserve">Collins, K. M., Sucholutsky, I., Bhatt, U., Chandra, K., Wong, L., Lee, M., Zhang, C. E., Zhi-Xuan, T., Ho, M., Mansinghka, V., Weller, A., Tenenbaum, J. B., &amp; Griffiths, T. L. (2024).</w:t>
      </w:r>
      <w:r>
        <w:t xml:space="preserve"> </w:t>
      </w:r>
      <w:r>
        <w:rPr>
          <w:b/>
          <w:bCs/>
        </w:rPr>
        <w:t xml:space="preserve">Building machines that learn and think with people.</w:t>
      </w:r>
      <w:r>
        <w:t xml:space="preserve"> </w:t>
      </w:r>
      <w:r>
        <w:t xml:space="preserve">Nature Human Behaviour, 8(10), 1851–1863. https://doi.org/10.1038/s41562-024-01991-9</w:t>
      </w:r>
    </w:p>
    <w:p>
      <w:pPr>
        <w:pStyle w:val="BodyText"/>
      </w:pPr>
      <w:r>
        <w:t xml:space="preserve">Abstract</w:t>
      </w:r>
    </w:p>
    <w:p>
      <w:pPr>
        <w:pStyle w:val="BodyText"/>
      </w:pPr>
      <w:r>
        <w:t xml:space="preserve">What do we want from machine intelligence? We envision machines that are not just tools for thought, but partners in thought: reasonable, insightful, knowledgeable, reliable, and trustworthy systems that think with us. Current artificial intelligence (AI) systems satisfy some of these criteria, some of the time. In this Perspective, we show how the science of collaborative cognition can be put to work to engineer systems that really can be called</w:t>
      </w:r>
      <w:r>
        <w:t xml:space="preserve"> </w:t>
      </w:r>
      <w:r>
        <w:t xml:space="preserve">“thought partners,”</w:t>
      </w:r>
      <w:r>
        <w:t xml:space="preserve"> </w:t>
      </w:r>
      <w:r>
        <w:t xml:space="preserve">systems built to meet our expectations and complement our limitations. We lay out several modes of collaborative thought in which humans and AI thought partners can engage and propose desiderata for human-compatible thought partnerships. Drawing on motifs from computational cognitive science, we motivate an alternative scaling path for the design of thought partners and ecosystems around their use through a Bayesian lens, whereby the partners we construct actively build and reason over models of the human and world.</w:t>
      </w:r>
    </w:p>
    <w:bookmarkStart w:id="33" w:name="fig-collins"/>
    <w:tbl>
      <w:tblPr>
        <w:tblStyle w:val="Table"/>
        <w:tblW w:type="pct" w:w="4900"/>
        <w:tblLayout w:type="fixed"/>
        <w:tblLook w:firstRow="0" w:lastRow="0" w:firstColumn="0" w:lastColumn="0" w:noHBand="0" w:noVBand="0" w:val="0000"/>
      </w:tblPr>
      <w:tblGrid>
        <w:gridCol w:w="7761"/>
      </w:tblGrid>
      <w:tr>
        <w:tc>
          <w:tcPr/>
          <w:p>
            <w:pPr>
              <w:jc w:val="center"/>
            </w:pPr>
            <w:r>
              <w:drawing>
                <wp:inline>
                  <wp:extent cx="5334000" cy="1962399"/>
                  <wp:effectExtent b="0" l="0" r="0" t="0"/>
                  <wp:docPr descr="" title="" id="28" name="Picture"/>
                  <a:graphic>
                    <a:graphicData uri="http://schemas.openxmlformats.org/drawingml/2006/picture">
                      <pic:pic>
                        <pic:nvPicPr>
                          <pic:cNvPr descr="images/Collins_24_img.png" id="29" name="Picture"/>
                          <pic:cNvPicPr>
                            <a:picLocks noChangeArrowheads="1" noChangeAspect="1"/>
                          </pic:cNvPicPr>
                        </pic:nvPicPr>
                        <pic:blipFill>
                          <a:blip r:embed="rId27"/>
                          <a:stretch>
                            <a:fillRect/>
                          </a:stretch>
                        </pic:blipFill>
                        <pic:spPr bwMode="auto">
                          <a:xfrm>
                            <a:off x="0" y="0"/>
                            <a:ext cx="5334000" cy="1962399"/>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center"/>
            </w:pPr>
            <w:r>
              <w:drawing>
                <wp:inline>
                  <wp:extent cx="5334000" cy="3226448"/>
                  <wp:effectExtent b="0" l="0" r="0" t="0"/>
                  <wp:docPr descr="" title="" id="31" name="Picture"/>
                  <a:graphic>
                    <a:graphicData uri="http://schemas.openxmlformats.org/drawingml/2006/picture">
                      <pic:pic>
                        <pic:nvPicPr>
                          <pic:cNvPr descr="images/Collins2.png" id="32" name="Picture"/>
                          <pic:cNvPicPr>
                            <a:picLocks noChangeArrowheads="1" noChangeAspect="1"/>
                          </pic:cNvPicPr>
                        </pic:nvPicPr>
                        <pic:blipFill>
                          <a:blip r:embed="rId30"/>
                          <a:stretch>
                            <a:fillRect/>
                          </a:stretch>
                        </pic:blipFill>
                        <pic:spPr bwMode="auto">
                          <a:xfrm>
                            <a:off x="0" y="0"/>
                            <a:ext cx="5334000" cy="3226448"/>
                          </a:xfrm>
                          <a:prstGeom prst="rect">
                            <a:avLst/>
                          </a:prstGeom>
                          <a:noFill/>
                          <a:ln w="9525">
                            <a:noFill/>
                            <a:headEnd/>
                            <a:tailEnd/>
                          </a:ln>
                        </pic:spPr>
                      </pic:pic>
                    </a:graphicData>
                  </a:graphic>
                </wp:inline>
              </w:drawing>
            </w:r>
          </w:p>
        </w:tc>
      </w:tr>
    </w:tbl>
    <w:p>
      <w:pPr>
        <w:pStyle w:val="BodyText"/>
      </w:pPr>
      <w:pPr>
        <w:spacing w:before="200"/>
        <w:pStyle w:val="ImageCaption"/>
      </w:pPr>
      <w:r>
        <w:t xml:space="preserve">Figure 1: Figures from</w:t>
      </w:r>
      <w:r>
        <w:t xml:space="preserve"> </w:t>
      </w:r>
      <w:r>
        <w:t xml:space="preserve">Collins et al. (2024)</w:t>
      </w:r>
    </w:p>
    <w:bookmarkEnd w:id="33"/>
    <w:bookmarkEnd w:id="34"/>
    <w:bookmarkStart w:id="38" w:name="Xf6144bed0f4fc86a9d846d10e0af5890e004e57"/>
    <w:p>
      <w:pPr>
        <w:pStyle w:val="Heading2"/>
      </w:pPr>
      <w:r>
        <w:t xml:space="preserve">Task Allocation in Teams as a Multi-Armed Bandit.</w:t>
      </w:r>
    </w:p>
    <w:p>
      <w:pPr>
        <w:pStyle w:val="FirstParagraph"/>
      </w:pPr>
      <w:r>
        <w:t xml:space="preserve">Marjieh, R., Gokhale, A., Bullo, F., &amp; Griffiths, T. L. (2024).</w:t>
      </w:r>
      <w:r>
        <w:t xml:space="preserve"> </w:t>
      </w:r>
      <w:r>
        <w:rPr>
          <w:b/>
          <w:bCs/>
        </w:rPr>
        <w:t xml:space="preserve">Task Allocation in Teams as a Multi-Armed Bandit.</w:t>
      </w:r>
      <w:r>
        <w:t xml:space="preserve"> </w:t>
      </w:r>
      <w:r>
        <w:t xml:space="preserve">https://cocosci.princeton.edu/papers/marjieh2024task.pdf</w:t>
      </w:r>
    </w:p>
    <w:p>
      <w:pPr>
        <w:pStyle w:val="BodyText"/>
      </w:pPr>
      <w:r>
        <w:t xml:space="preserve">Abstract</w:t>
      </w:r>
    </w:p>
    <w:p>
      <w:pPr>
        <w:pStyle w:val="BodyText"/>
      </w:pPr>
      <w:r>
        <w:t xml:space="preserve">Humans rely on efficient distribution of resources to transcend the abilities of individuals. Successful task allocation, whether in small teams or across large institutions, depends on individuals’ ability to discern their own and others’ strengths and weaknesses, and to optimally act on them. This dependence creates a tension between exploring the capabilities of others and exploiting the knowledge acquired so far, which can be challenging. How do people navigate this tension? To address this question, we propose a novel task allocation paradigm in which a human agent is asked to repeatedly allocate tasks in three distinct classes (categorizing a blurry image, detecting a noisy voice command, and solving an anagram) between themselves and two other (bot) team members to maximize team performance. We show that this problem can be recast as a combinatorial multi-armed bandit which allows us to compare people’s performance against two well-known strategies, Thompson Sampling and Upper Confidence Bound (UCB). We find that humans are able to successfully integrate information about the capabilities of different team members to infer optimal allocations, and in some cases perform on par with these optimal strategies. Our approach opens up new avenues for studying the mechanisms underlying collective cooperation in teams.</w:t>
      </w:r>
    </w:p>
    <w:p>
      <w:pPr>
        <w:pStyle w:val="CaptionedFigure"/>
      </w:pPr>
      <w:r>
        <w:drawing>
          <wp:inline>
            <wp:extent cx="5334000" cy="2254750"/>
            <wp:effectExtent b="0" l="0" r="0" t="0"/>
            <wp:docPr descr="Figure from Marjieh et al. (2024)" title="" id="36" name="Picture"/>
            <a:graphic>
              <a:graphicData uri="http://schemas.openxmlformats.org/drawingml/2006/picture">
                <pic:pic>
                  <pic:nvPicPr>
                    <pic:cNvPr descr="images/marjieh_24_img.png" id="37" name="Picture"/>
                    <pic:cNvPicPr>
                      <a:picLocks noChangeArrowheads="1" noChangeAspect="1"/>
                    </pic:cNvPicPr>
                  </pic:nvPicPr>
                  <pic:blipFill>
                    <a:blip r:embed="rId35"/>
                    <a:stretch>
                      <a:fillRect/>
                    </a:stretch>
                  </pic:blipFill>
                  <pic:spPr bwMode="auto">
                    <a:xfrm>
                      <a:off x="0" y="0"/>
                      <a:ext cx="5334000" cy="2254750"/>
                    </a:xfrm>
                    <a:prstGeom prst="rect">
                      <a:avLst/>
                    </a:prstGeom>
                    <a:noFill/>
                    <a:ln w="9525">
                      <a:noFill/>
                      <a:headEnd/>
                      <a:tailEnd/>
                    </a:ln>
                  </pic:spPr>
                </pic:pic>
              </a:graphicData>
            </a:graphic>
          </wp:inline>
        </w:drawing>
      </w:r>
    </w:p>
    <w:p>
      <w:pPr>
        <w:pStyle w:val="ImageCaption"/>
      </w:pPr>
      <w:r>
        <w:t xml:space="preserve">Figure from</w:t>
      </w:r>
      <w:r>
        <w:t xml:space="preserve"> </w:t>
      </w:r>
      <w:r>
        <w:t xml:space="preserve">Marjieh et al. (2024)</w:t>
      </w:r>
    </w:p>
    <w:bookmarkEnd w:id="38"/>
    <w:bookmarkStart w:id="42" w:name="Xc22e1615607c003f40b8004c46565cf38b83235"/>
    <w:p>
      <w:pPr>
        <w:pStyle w:val="Heading2"/>
      </w:pPr>
      <w:r>
        <w:t xml:space="preserve">Bridging the Gulf of Envisioning: Cognitive Design Challenges in LLM Interfaces</w:t>
      </w:r>
    </w:p>
    <w:p>
      <w:pPr>
        <w:pStyle w:val="FirstParagraph"/>
      </w:pPr>
      <w:r>
        <w:t xml:space="preserve">Subramonyam, H., Pea, R., Pondoc, C. L., Agrawala, M., &amp; Seifert, C. (2024).</w:t>
      </w:r>
      <w:r>
        <w:t xml:space="preserve"> </w:t>
      </w:r>
      <w:r>
        <w:rPr>
          <w:b/>
          <w:bCs/>
        </w:rPr>
        <w:t xml:space="preserve">Bridging the Gulf of Envisioning: Cognitive Design Challenges in LLM Interfaces</w:t>
      </w:r>
      <w:r>
        <w:t xml:space="preserve"> </w:t>
      </w:r>
      <w:r>
        <w:t xml:space="preserve">(arXiv:2309.14459; Version 2). arXiv. http://arxiv.org/abs/2309.14459</w:t>
      </w:r>
    </w:p>
    <w:p>
      <w:pPr>
        <w:pStyle w:val="BodyText"/>
      </w:pPr>
      <w:r>
        <w:t xml:space="preserve">Abstract</w:t>
      </w:r>
    </w:p>
    <w:p>
      <w:pPr>
        <w:pStyle w:val="BodyText"/>
      </w:pPr>
      <w:r>
        <w:t xml:space="preserve">Large language models (LLMs) exhibit dynamic capabilities and appear to comprehend complex and ambiguous natural language prompts. However, calibrating LLM interactions is challenging for interface designers and end-users alike. A central issue is our limited grasp of how human cognitive processes begin with a goal and form intentions for executing actions, a blindspot even in established interaction models such as Norman’s gulfs of execution and evaluation. To address this gap, we theorize how end-users</w:t>
      </w:r>
      <w:r>
        <w:t xml:space="preserve"> </w:t>
      </w:r>
      <w:r>
        <w:t xml:space="preserve">‘envision’</w:t>
      </w:r>
      <w:r>
        <w:t xml:space="preserve"> </w:t>
      </w:r>
      <w:r>
        <w:t xml:space="preserve">translating their goals into clear intentions and craft prompts to obtain the desired LLM response. We define a process of Envisioning by highlighting three misalignments: (1) knowing whether LLMs can accomplish the task, (2) how to instruct the LLM to do the task, and (3) how to evaluate the success of the LLM’s output in meeting the goal. Finally, we make recommendations to narrow the envisioning gulf in human-LLM interactions.</w:t>
      </w:r>
    </w:p>
    <w:p>
      <w:pPr>
        <w:pStyle w:val="CaptionedFigure"/>
      </w:pPr>
      <w:r>
        <w:drawing>
          <wp:inline>
            <wp:extent cx="5334000" cy="3483428"/>
            <wp:effectExtent b="0" l="0" r="0" t="0"/>
            <wp:docPr descr="Figure from Subramonyam et al. (2024)" title="" id="40" name="Picture"/>
            <a:graphic>
              <a:graphicData uri="http://schemas.openxmlformats.org/drawingml/2006/picture">
                <pic:pic>
                  <pic:nvPicPr>
                    <pic:cNvPr descr="images/Subramonyam1.jpg" id="41" name="Picture"/>
                    <pic:cNvPicPr>
                      <a:picLocks noChangeArrowheads="1" noChangeAspect="1"/>
                    </pic:cNvPicPr>
                  </pic:nvPicPr>
                  <pic:blipFill>
                    <a:blip r:embed="rId39"/>
                    <a:stretch>
                      <a:fillRect/>
                    </a:stretch>
                  </pic:blipFill>
                  <pic:spPr bwMode="auto">
                    <a:xfrm>
                      <a:off x="0" y="0"/>
                      <a:ext cx="5334000" cy="3483428"/>
                    </a:xfrm>
                    <a:prstGeom prst="rect">
                      <a:avLst/>
                    </a:prstGeom>
                    <a:noFill/>
                    <a:ln w="9525">
                      <a:noFill/>
                      <a:headEnd/>
                      <a:tailEnd/>
                    </a:ln>
                  </pic:spPr>
                </pic:pic>
              </a:graphicData>
            </a:graphic>
          </wp:inline>
        </w:drawing>
      </w:r>
    </w:p>
    <w:p>
      <w:pPr>
        <w:pStyle w:val="ImageCaption"/>
      </w:pPr>
      <w:r>
        <w:t xml:space="preserve">Figure from</w:t>
      </w:r>
      <w:r>
        <w:t xml:space="preserve"> </w:t>
      </w:r>
      <w:r>
        <w:t xml:space="preserve">Subramonyam et al. (2024)</w:t>
      </w:r>
    </w:p>
    <w:bookmarkEnd w:id="42"/>
    <w:bookmarkStart w:id="51" w:name="misc-papers"/>
    <w:p>
      <w:pPr>
        <w:pStyle w:val="Heading2"/>
      </w:pPr>
      <w:r>
        <w:t xml:space="preserve">Misc Papers</w:t>
      </w:r>
    </w:p>
    <w:p>
      <w:pPr>
        <w:pStyle w:val="FirstParagraph"/>
      </w:pPr>
      <w:r>
        <w:t xml:space="preserve">Argote, L., &amp; Ren, Y. (2012). Transactive Memory Systems: A Microfoundation of Dynamic Capabilities. Journal of Management Studies, 49(8), 1375–1382. https://doi.org/10.1111/j.1467-6486.2012.01077.x</w:t>
      </w:r>
    </w:p>
    <w:p>
      <w:pPr>
        <w:pStyle w:val="BodyText"/>
      </w:pPr>
      <w:r>
        <w:t xml:space="preserve">Bienefeld, N., Kolbe, M., Camen, G., Huser, D., &amp; Buehler, P. K. (2023). Human-AI teaming: Leveraging transactive memory and speaking up for enhanced team effectiveness. Frontiers in Psychology, 14. https://doi.org/10.3389/fpsyg.2023.1208019</w:t>
      </w:r>
    </w:p>
    <w:p>
      <w:pPr>
        <w:pStyle w:val="BodyText"/>
      </w:pPr>
      <w:r>
        <w:t xml:space="preserve">Brandon, D. P., &amp; Hollingshead, A. B. (2004). Transactive Memory Systems in Organizations: Matching Tasks, Expertise, and People. Organization Science, 15(6), 633–644. https://doi.org/10.1287/orsc.1040.0069</w:t>
      </w:r>
    </w:p>
    <w:p>
      <w:pPr>
        <w:pStyle w:val="BodyText"/>
      </w:pPr>
      <w:r>
        <w:t xml:space="preserve">Hollingshead, A. B. (1998). Communication, Learning, and Retrieval in Transactive Memory Systems. Journal of Experimental Social Psychology, 34(5), 423–442. https://doi.org/10.1006/jesp.1998.1358</w:t>
      </w:r>
    </w:p>
    <w:p>
      <w:pPr>
        <w:pStyle w:val="BodyText"/>
      </w:pPr>
      <w:r>
        <w:t xml:space="preserve">Kimura, T. (2024). Virtual Teams: A Smart Literature Review of Four Decades of Research. Human Behavior and Emerging Technologies, 2024(1), 8373370. https://doi.org/10.1155/2024/8373370</w:t>
      </w:r>
    </w:p>
    <w:p>
      <w:pPr>
        <w:pStyle w:val="BodyText"/>
      </w:pPr>
      <w:r>
        <w:t xml:space="preserve">Marjieh, R., Gokhale, A., Bullo, F., &amp; Griffiths, T. L. (2024). Task Allocation in Teams as a Multi-Armed Bandit. https://cocosci.princeton.edu/papers/marjieh2024task.pdf</w:t>
      </w:r>
    </w:p>
    <w:p>
      <w:pPr>
        <w:pStyle w:val="BodyText"/>
      </w:pPr>
      <w:r>
        <w:t xml:space="preserve">McWilliams, D. J., &amp; Randolph, A. B. (2024). Transactive memory systems in superteams: The effect of an intelligent assistant in virtual teams. Information Technology &amp; People, ahead-of-print(ahead-of-print). https://doi.org/10.1108/ITP-12-2022-0918</w:t>
      </w:r>
    </w:p>
    <w:p>
      <w:pPr>
        <w:pStyle w:val="BodyText"/>
      </w:pPr>
      <w:r>
        <w:t xml:space="preserve">Samipour-Biel, S. P. (2022). A Process Model of Transactive Memory System Shared Knowledge Structure Emergence: A Computational Model in R [Ph.D., The University of Akron]. https://www.proquest.com/docview/2711844070/abstract/DBDAB24DBBB34601PQ/1</w:t>
      </w:r>
    </w:p>
    <w:p>
      <w:pPr>
        <w:pStyle w:val="BodyText"/>
      </w:pPr>
      <w:r>
        <w:t xml:space="preserve">Tollefsen, D. P., Dale, R., &amp; Paxton, A. (2013). Alignment, Transactive Memory, and Collective Cognitive Systems. Review of Philosophy and Psychology, 4(1), 49–64. https://doi.org/10.1007/s13164-012-0126-z</w:t>
      </w:r>
    </w:p>
    <w:p>
      <w:pPr>
        <w:pStyle w:val="BodyText"/>
      </w:pPr>
      <w:r>
        <w:t xml:space="preserve">Uden, L., &amp; Ting, I.-H. (Eds.). (2024). The Design of AI-Enabled Experience-Based Knowledge Management System to Facilitate Knowing and Doing in Communities of Practice (Vol. 2152). Springer Nature Switzerland. https://doi.org/10.1007/978-3-031-63269-3</w:t>
      </w:r>
    </w:p>
    <w:p>
      <w:pPr>
        <w:pStyle w:val="BodyText"/>
      </w:pPr>
      <w:r>
        <w:t xml:space="preserve">Wegner, D. M. (1995). A Computer Network Model of Human Transactive Memory. Social Cognition, 13(3), 319–339. https://doi.org/10.1521/soco.1995.13.3.319</w:t>
      </w:r>
    </w:p>
    <w:p>
      <w:pPr>
        <w:pStyle w:val="BodyText"/>
      </w:pPr>
      <w:r>
        <w:t xml:space="preserve">Yan, B., Hollingshead, A. B., Alexander, K. S., Cruz, I., &amp; Shaikh, S. J. (2021). Communication in Transactive Memory Systems: A Review and Multidimensional Network Perspective. Small Group Research, 52(1), 3–32. https://doi.org/10.1177/1046496420967764</w:t>
      </w:r>
    </w:p>
    <w:bookmarkStart w:id="50" w:name="refs"/>
    <w:bookmarkStart w:id="44"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43">
        <w:r>
          <w:rPr>
            <w:rStyle w:val="Hyperlink"/>
          </w:rPr>
          <w:t xml:space="preserve">https://doi.org/10.3389/fpsyg.2023.1208019</w:t>
        </w:r>
      </w:hyperlink>
    </w:p>
    <w:bookmarkEnd w:id="44"/>
    <w:bookmarkStart w:id="46"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45">
        <w:r>
          <w:rPr>
            <w:rStyle w:val="Hyperlink"/>
          </w:rPr>
          <w:t xml:space="preserve">https://doi.org/10.1038/s41562-024-01991-9</w:t>
        </w:r>
      </w:hyperlink>
    </w:p>
    <w:bookmarkEnd w:id="46"/>
    <w:bookmarkStart w:id="47"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47"/>
    <w:bookmarkStart w:id="49" w:name="X29835723da5df11af228a06c30a5a3797a2bc9b"/>
    <w:p>
      <w:pPr>
        <w:pStyle w:val="Bibliography"/>
      </w:pPr>
      <w:r>
        <w:t xml:space="preserve">Subramonyam, H., Pea, R., Pondoc, C. L., Agrawala, M., &amp; Seifert, C. (2024). Bridging the</w:t>
      </w:r>
      <w:r>
        <w:t xml:space="preserve"> </w:t>
      </w:r>
      <w:r>
        <w:t xml:space="preserve">Gulf</w:t>
      </w:r>
      <w:r>
        <w:t xml:space="preserve"> </w:t>
      </w:r>
      <w:r>
        <w:t xml:space="preserve">of</w:t>
      </w:r>
      <w:r>
        <w:t xml:space="preserve"> </w:t>
      </w:r>
      <w:r>
        <w:t xml:space="preserve">Envisioning</w:t>
      </w:r>
      <w:r>
        <w:t xml:space="preserve">:</w:t>
      </w:r>
      <w:r>
        <w:t xml:space="preserve"> </w:t>
      </w:r>
      <w:r>
        <w:t xml:space="preserve">Cognitive Design Challenges</w:t>
      </w:r>
      <w:r>
        <w:t xml:space="preserve"> </w:t>
      </w:r>
      <w:r>
        <w:t xml:space="preserve">in</w:t>
      </w:r>
      <w:r>
        <w:t xml:space="preserve"> </w:t>
      </w:r>
      <w:r>
        <w:t xml:space="preserve">LLM Interfaces</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1–19.</w:t>
      </w:r>
      <w:r>
        <w:t xml:space="preserve"> </w:t>
      </w:r>
      <w:hyperlink r:id="rId48">
        <w:r>
          <w:rPr>
            <w:rStyle w:val="Hyperlink"/>
          </w:rPr>
          <w:t xml:space="preserve">https://arxiv.org/abs/2309.14459</w:t>
        </w:r>
      </w:hyperlink>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9" Target="media/rId39.jpg" /><Relationship Type="http://schemas.openxmlformats.org/officeDocument/2006/relationships/image" Id="rId35" Target="media/rId35.png" /><Relationship Type="http://schemas.openxmlformats.org/officeDocument/2006/relationships/hyperlink" Id="rId48" Target="https://arxiv.org/abs/2309.14459" TargetMode="External" /><Relationship Type="http://schemas.openxmlformats.org/officeDocument/2006/relationships/hyperlink" Id="rId45" Target="https://doi.org/10.1038/s41562-024-01991-9" TargetMode="External" /><Relationship Type="http://schemas.openxmlformats.org/officeDocument/2006/relationships/hyperlink" Id="rId43" Target="https://doi.org/10.3389/fpsyg.2023.1208019" TargetMode="External" /><Relationship Type="http://schemas.openxmlformats.org/officeDocument/2006/relationships/hyperlink" Id="rId20" Target="https://tegorman13.github.io/ccl/tms.html" TargetMode="External" /></Relationships>
</file>

<file path=word/_rels/footnotes.xml.rels><?xml version="1.0" encoding="UTF-8"?><Relationships xmlns="http://schemas.openxmlformats.org/package/2006/relationships"><Relationship Type="http://schemas.openxmlformats.org/officeDocument/2006/relationships/hyperlink" Id="rId48" Target="https://arxiv.org/abs/2309.14459" TargetMode="External" /><Relationship Type="http://schemas.openxmlformats.org/officeDocument/2006/relationships/hyperlink" Id="rId45" Target="https://doi.org/10.1038/s41562-024-01991-9" TargetMode="External" /><Relationship Type="http://schemas.openxmlformats.org/officeDocument/2006/relationships/hyperlink" Id="rId43" Target="https://doi.org/10.3389/fpsyg.2023.1208019" TargetMode="External" /><Relationship Type="http://schemas.openxmlformats.org/officeDocument/2006/relationships/hyperlink" Id="rId20" Target="https://tegorman13.github.io/ccl/tm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Transactive Memory Systems</dc:title>
  <dc:creator/>
  <cp:keywords/>
  <dcterms:created xsi:type="dcterms:W3CDTF">2025-03-26T11:26:29Z</dcterms:created>
  <dcterms:modified xsi:type="dcterms:W3CDTF">2025-03-26T11:26:29Z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Assets/apa.csl</vt:lpwstr>
  </property>
  <property fmtid="{D5CDD505-2E9C-101B-9397-08002B2CF9AE}" pid="5" name="exclud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