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27.png" ContentType="image/png"/>
  <Override PartName="/word/media/rId39.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FirstParagraph"/>
      </w:pPr>
      <w:hyperlink r:id="rId20">
        <w:r>
          <w:rPr>
            <w:rStyle w:val="Hyperlink"/>
          </w:rPr>
          <w:t xml:space="preserve">https://tegorman13.github.io/ccl/tms.html</w:t>
        </w:r>
      </w:hyperlink>
    </w:p>
    <w:bookmarkStart w:id="24"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w:t>
      </w:r>
      <w:r>
        <w:t xml:space="preserve"> </w:t>
      </w:r>
      <w:r>
        <w:rPr>
          <w:b/>
          <w:bCs/>
        </w:rPr>
        <w:t xml:space="preserve">Human-AI teaming: Leveraging transactive memory and speaking up for enhanced team effectiveness.</w:t>
      </w:r>
      <w:r>
        <w:t xml:space="preserve"> </w:t>
      </w:r>
      <w:r>
        <w:t xml:space="preserve">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2" name="Picture"/>
            <a:graphic>
              <a:graphicData uri="http://schemas.openxmlformats.org/drawingml/2006/picture">
                <pic:pic>
                  <pic:nvPicPr>
                    <pic:cNvPr descr="images/Bienefeld_23_img.png" id="23" name="Picture"/>
                    <pic:cNvPicPr>
                      <a:picLocks noChangeArrowheads="1" noChangeAspect="1"/>
                    </pic:cNvPicPr>
                  </pic:nvPicPr>
                  <pic:blipFill>
                    <a:blip r:embed="rId21"/>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4"/>
    <w:bookmarkStart w:id="25"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5"/>
    <w:bookmarkStart w:id="26"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6"/>
    <w:bookmarkStart w:id="34"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Nature Human Behaviour, 8(10), 1851–1863. https://doi.org/10.1038/s41562-024-01991-9</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bookmarkStart w:id="33" w:name="fig-collins"/>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1962399"/>
                  <wp:effectExtent b="0" l="0" r="0" t="0"/>
                  <wp:docPr descr="" title="" id="28" name="Picture"/>
                  <a:graphic>
                    <a:graphicData uri="http://schemas.openxmlformats.org/drawingml/2006/picture">
                      <pic:pic>
                        <pic:nvPicPr>
                          <pic:cNvPr descr="images/Collins_24_img.png" id="29" name="Picture"/>
                          <pic:cNvPicPr>
                            <a:picLocks noChangeArrowheads="1" noChangeAspect="1"/>
                          </pic:cNvPicPr>
                        </pic:nvPicPr>
                        <pic:blipFill>
                          <a:blip r:embed="rId27"/>
                          <a:stretch>
                            <a:fillRect/>
                          </a:stretch>
                        </pic:blipFill>
                        <pic:spPr bwMode="auto">
                          <a:xfrm>
                            <a:off x="0" y="0"/>
                            <a:ext cx="5334000" cy="1962399"/>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center"/>
            </w:pPr>
            <w:r>
              <w:drawing>
                <wp:inline>
                  <wp:extent cx="5334000" cy="3226448"/>
                  <wp:effectExtent b="0" l="0" r="0" t="0"/>
                  <wp:docPr descr="" title="" id="31" name="Picture"/>
                  <a:graphic>
                    <a:graphicData uri="http://schemas.openxmlformats.org/drawingml/2006/picture">
                      <pic:pic>
                        <pic:nvPicPr>
                          <pic:cNvPr descr="images/Collins2.png" id="32" name="Picture"/>
                          <pic:cNvPicPr>
                            <a:picLocks noChangeArrowheads="1" noChangeAspect="1"/>
                          </pic:cNvPicPr>
                        </pic:nvPicPr>
                        <pic:blipFill>
                          <a:blip r:embed="rId30"/>
                          <a:stretch>
                            <a:fillRect/>
                          </a:stretch>
                        </pic:blipFill>
                        <pic:spPr bwMode="auto">
                          <a:xfrm>
                            <a:off x="0" y="0"/>
                            <a:ext cx="5334000" cy="3226448"/>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 Figures from</w:t>
      </w:r>
      <w:r>
        <w:t xml:space="preserve"> </w:t>
      </w:r>
      <w:r>
        <w:t xml:space="preserve">Collins et al. (2024)</w:t>
      </w:r>
    </w:p>
    <w:bookmarkEnd w:id="33"/>
    <w:bookmarkEnd w:id="34"/>
    <w:bookmarkStart w:id="38"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6" name="Picture"/>
            <a:graphic>
              <a:graphicData uri="http://schemas.openxmlformats.org/drawingml/2006/picture">
                <pic:pic>
                  <pic:nvPicPr>
                    <pic:cNvPr descr="images/marjieh_24_img.png" id="37" name="Picture"/>
                    <pic:cNvPicPr>
                      <a:picLocks noChangeArrowheads="1" noChangeAspect="1"/>
                    </pic:cNvPicPr>
                  </pic:nvPicPr>
                  <pic:blipFill>
                    <a:blip r:embed="rId35"/>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bookmarkEnd w:id="38"/>
    <w:bookmarkStart w:id="42" w:name="Xc22e1615607c003f40b8004c46565cf38b83235"/>
    <w:p>
      <w:pPr>
        <w:pStyle w:val="Heading2"/>
      </w:pPr>
      <w:r>
        <w:t xml:space="preserve">Bridging the Gulf of Envisioning: Cognitive Design Challenges in LLM Interfaces</w:t>
      </w:r>
    </w:p>
    <w:p>
      <w:pPr>
        <w:pStyle w:val="FirstParagraph"/>
      </w:pPr>
      <w:r>
        <w:t xml:space="preserve">Subramonyam, H., Pea, R., Pondoc, C. L., Agrawala, M., &amp; Seifert, C. (2024).</w:t>
      </w:r>
      <w:r>
        <w:t xml:space="preserve"> </w:t>
      </w:r>
      <w:r>
        <w:rPr>
          <w:b/>
          <w:bCs/>
        </w:rPr>
        <w:t xml:space="preserve">Bridging the Gulf of Envisioning: Cognitive Design Challenges in LLM Interfaces</w:t>
      </w:r>
      <w:r>
        <w:t xml:space="preserve"> </w:t>
      </w:r>
      <w:r>
        <w:t xml:space="preserve">(arXiv:2309.14459; Version 2). arXiv. http://arxiv.org/abs/2309.14459</w:t>
      </w:r>
    </w:p>
    <w:p>
      <w:pPr>
        <w:pStyle w:val="BodyText"/>
      </w:pPr>
      <w:r>
        <w:t xml:space="preserve">Abstract</w:t>
      </w:r>
    </w:p>
    <w:p>
      <w:pPr>
        <w:pStyle w:val="BodyText"/>
      </w:pPr>
      <w:r>
        <w:t xml:space="preserve">Large language models (LLMs) exhibit dynamic capabilities and appear to comprehend complex and ambiguous natural language prompts. However, calibrating LLM interactions is challenging for interface designers and end-users alike. A central issue is our limited grasp of how human cognitive processes begin with a goal and form intentions for executing actions, a blindspot even in established interaction models such as Norman’s gulfs of execution and evaluation. To address this gap, we theorize how end-users</w:t>
      </w:r>
      <w:r>
        <w:t xml:space="preserve"> </w:t>
      </w:r>
      <w:r>
        <w:t xml:space="preserve">‘envision’</w:t>
      </w:r>
      <w:r>
        <w:t xml:space="preserve"> </w:t>
      </w:r>
      <w:r>
        <w:t xml:space="preserve">translating their goals into clear intentions and craft prompts to obtain the desired LLM response. We define a process of Envisioning by highlighting three misalignments: (1) knowing whether LLMs can accomplish the task, (2) how to instruct the LLM to do the task, and (3) how to evaluate the success of the LLM’s output in meeting the goal. Finally, we make recommendations to narrow the envisioning gulf in human-LLM interactions.</w:t>
      </w:r>
    </w:p>
    <w:p>
      <w:pPr>
        <w:pStyle w:val="CaptionedFigure"/>
      </w:pPr>
      <w:r>
        <w:drawing>
          <wp:inline>
            <wp:extent cx="5334000" cy="3483428"/>
            <wp:effectExtent b="0" l="0" r="0" t="0"/>
            <wp:docPr descr="Figure from Subramonyam et al. (2024)" title="" id="40" name="Picture"/>
            <a:graphic>
              <a:graphicData uri="http://schemas.openxmlformats.org/drawingml/2006/picture">
                <pic:pic>
                  <pic:nvPicPr>
                    <pic:cNvPr descr="images/Subramonyam1.jpg" id="41" name="Picture"/>
                    <pic:cNvPicPr>
                      <a:picLocks noChangeArrowheads="1" noChangeAspect="1"/>
                    </pic:cNvPicPr>
                  </pic:nvPicPr>
                  <pic:blipFill>
                    <a:blip r:embed="rId39"/>
                    <a:stretch>
                      <a:fillRect/>
                    </a:stretch>
                  </pic:blipFill>
                  <pic:spPr bwMode="auto">
                    <a:xfrm>
                      <a:off x="0" y="0"/>
                      <a:ext cx="5334000" cy="3483428"/>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Subramonyam et al. (2024)</w:t>
      </w:r>
    </w:p>
    <w:bookmarkEnd w:id="42"/>
    <w:bookmarkStart w:id="51" w:name="misc-papers"/>
    <w:p>
      <w:pPr>
        <w:pStyle w:val="Heading2"/>
      </w:pPr>
      <w:r>
        <w:t xml:space="preserve">Misc Papers</w:t>
      </w:r>
    </w:p>
    <w:p>
      <w:pPr>
        <w:pStyle w:val="FirstParagraph"/>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50" w:name="refs"/>
    <w:bookmarkStart w:id="4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3">
        <w:r>
          <w:rPr>
            <w:rStyle w:val="Hyperlink"/>
          </w:rPr>
          <w:t xml:space="preserve">https://doi.org/10.3389/fpsyg.2023.1208019</w:t>
        </w:r>
      </w:hyperlink>
    </w:p>
    <w:bookmarkEnd w:id="44"/>
    <w:bookmarkStart w:id="46"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45">
        <w:r>
          <w:rPr>
            <w:rStyle w:val="Hyperlink"/>
          </w:rPr>
          <w:t xml:space="preserve">https://doi.org/10.1038/s41562-024-01991-9</w:t>
        </w:r>
      </w:hyperlink>
    </w:p>
    <w:bookmarkEnd w:id="46"/>
    <w:bookmarkStart w:id="47"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47"/>
    <w:bookmarkStart w:id="49" w:name="X29835723da5df11af228a06c30a5a3797a2bc9b"/>
    <w:p>
      <w:pPr>
        <w:pStyle w:val="Bibliography"/>
      </w:pPr>
      <w:r>
        <w:t xml:space="preserve">Subramonyam, H., Pea, R., Pondoc, C. L., Agrawala, M., &amp; Seifert, C. (2024).</w:t>
      </w:r>
      <w:r>
        <w:t xml:space="preserve"> </w:t>
      </w:r>
      <w:r>
        <w:rPr>
          <w:i/>
          <w:iCs/>
        </w:rPr>
        <w:t xml:space="preserve">Bridging the</w:t>
      </w:r>
      <w:r>
        <w:rPr>
          <w:i/>
          <w:iCs/>
        </w:rPr>
        <w:t xml:space="preserve"> </w:t>
      </w:r>
      <w:r>
        <w:rPr>
          <w:i/>
          <w:iCs/>
        </w:rPr>
        <w:t xml:space="preserve">Gulf</w:t>
      </w:r>
      <w:r>
        <w:rPr>
          <w:i/>
          <w:iCs/>
        </w:rPr>
        <w:t xml:space="preserve"> </w:t>
      </w:r>
      <w:r>
        <w:rPr>
          <w:i/>
          <w:iCs/>
        </w:rPr>
        <w:t xml:space="preserve">of</w:t>
      </w:r>
      <w:r>
        <w:rPr>
          <w:i/>
          <w:iCs/>
        </w:rPr>
        <w:t xml:space="preserve"> </w:t>
      </w:r>
      <w:r>
        <w:rPr>
          <w:i/>
          <w:iCs/>
        </w:rPr>
        <w:t xml:space="preserve">Envisioning</w:t>
      </w:r>
      <w:r>
        <w:rPr>
          <w:i/>
          <w:iCs/>
        </w:rPr>
        <w:t xml:space="preserve">:</w:t>
      </w:r>
      <w:r>
        <w:rPr>
          <w:i/>
          <w:iCs/>
        </w:rPr>
        <w:t xml:space="preserve"> </w:t>
      </w:r>
      <w:r>
        <w:rPr>
          <w:i/>
          <w:iCs/>
        </w:rPr>
        <w:t xml:space="preserve">Cognitive Design Challenges</w:t>
      </w:r>
      <w:r>
        <w:rPr>
          <w:i/>
          <w:iCs/>
        </w:rPr>
        <w:t xml:space="preserve"> </w:t>
      </w:r>
      <w:r>
        <w:rPr>
          <w:i/>
          <w:iCs/>
        </w:rPr>
        <w:t xml:space="preserve">in</w:t>
      </w:r>
      <w:r>
        <w:rPr>
          <w:i/>
          <w:iCs/>
        </w:rPr>
        <w:t xml:space="preserve"> </w:t>
      </w:r>
      <w:r>
        <w:rPr>
          <w:i/>
          <w:iCs/>
        </w:rPr>
        <w:t xml:space="preserve">LLM Interfaces</w:t>
      </w:r>
      <w:r>
        <w:t xml:space="preserve"> </w:t>
      </w:r>
      <w:r>
        <w:t xml:space="preserve">(arXiv:2309.14459). arXiv.</w:t>
      </w:r>
      <w:r>
        <w:t xml:space="preserve"> </w:t>
      </w:r>
      <w:hyperlink r:id="rId48">
        <w:r>
          <w:rPr>
            <w:rStyle w:val="Hyperlink"/>
          </w:rPr>
          <w:t xml:space="preserve">https://arxiv.org/abs/2309.14459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jpg" /><Relationship Type="http://schemas.openxmlformats.org/officeDocument/2006/relationships/image" Id="rId35" Target="media/rId35.png" /><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_rels/footnotes.xml.rels><?xml version="1.0" encoding="UTF-8"?><Relationships xmlns="http://schemas.openxmlformats.org/package/2006/relationships"><Relationship Type="http://schemas.openxmlformats.org/officeDocument/2006/relationships/hyperlink" Id="rId48" Target="https://arxiv.org/abs/2309.14459" TargetMode="External" /><Relationship Type="http://schemas.openxmlformats.org/officeDocument/2006/relationships/hyperlink" Id="rId45" Target="https://doi.org/10.1038/s41562-024-01991-9" TargetMode="External" /><Relationship Type="http://schemas.openxmlformats.org/officeDocument/2006/relationships/hyperlink" Id="rId43" Target="https://doi.org/10.3389/fpsyg.2023.1208019" TargetMode="External" /><Relationship Type="http://schemas.openxmlformats.org/officeDocument/2006/relationships/hyperlink" Id="rId20" Target="https://tegorman13.github.io/ccl/tm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
  <cp:keywords/>
  <dcterms:created xsi:type="dcterms:W3CDTF">2024-11-05T23:43:10Z</dcterms:created>
  <dcterms:modified xsi:type="dcterms:W3CDTF">2024-11-05T23:43:10Z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Assets/apa.csl</vt:lpwstr>
  </property>
  <property fmtid="{D5CDD505-2E9C-101B-9397-08002B2CF9AE}" pid="5" name="exclud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