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62.png" ContentType="image/png"/>
  <Override PartName="/word/media/rId112.png" ContentType="image/png"/>
  <Override PartName="/word/media/rId130.png" ContentType="image/png"/>
  <Override PartName="/word/media/rId139.png" ContentType="image/png"/>
  <Override PartName="/word/media/rId20.png" ContentType="image/png"/>
  <Override PartName="/word/media/rId55.png" ContentType="image/png"/>
  <Override PartName="/word/media/rId46.png" ContentType="image/png"/>
  <Override PartName="/word/media/rId51.png" ContentType="image/png"/>
  <Override PartName="/word/media/rId40.png" ContentType="image/png"/>
  <Override PartName="/word/media/rId82.png" ContentType="image/png"/>
  <Override PartName="/word/media/rId73.png" ContentType="image/png"/>
  <Override PartName="/word/media/rId78.png" ContentType="image/png"/>
  <Override PartName="/word/media/rId67.png" ContentType="image/png"/>
  <Override PartName="/word/media/rId144.png" ContentType="image/png"/>
  <Override PartName="/word/media/rId105.png" ContentType="image/png"/>
  <Override PartName="/word/media/rId96.png" ContentType="image/png"/>
  <Override PartName="/word/media/rId101.png" ContentType="image/png"/>
  <Override PartName="/word/media/rId91.png" ContentType="image/png"/>
  <Override PartName="/word/media/rId134.png" ContentType="image/png"/>
  <Override PartName="/word/media/rId148.png" ContentType="image/png"/>
  <Override PartName="/word/media/rId152.png" ContentType="image/png"/>
  <Override PartName="/word/media/rId122.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Impact</w:t>
      </w:r>
      <w:r>
        <w:t xml:space="preserve"> </w:t>
      </w:r>
      <w:r>
        <w:t xml:space="preserve">of</w:t>
      </w:r>
      <w:r>
        <w:t xml:space="preserve"> </w:t>
      </w:r>
      <w:r>
        <w:t xml:space="preserve">Training</w:t>
      </w:r>
      <w:r>
        <w:t xml:space="preserve"> </w:t>
      </w:r>
      <w:r>
        <w:t xml:space="preserve">Variability</w:t>
      </w:r>
      <w:r>
        <w:t xml:space="preserve"> </w:t>
      </w:r>
      <w:r>
        <w:t xml:space="preserve">on</w:t>
      </w:r>
      <w:r>
        <w:t xml:space="preserve"> </w:t>
      </w:r>
      <w:r>
        <w:t xml:space="preserve">Visuomotor</w:t>
      </w:r>
      <w:r>
        <w:t xml:space="preserve"> </w:t>
      </w:r>
      <w:r>
        <w:t xml:space="preserve">Function</w:t>
      </w:r>
      <w:r>
        <w:t xml:space="preserve"> </w:t>
      </w:r>
      <w:r>
        <w:t xml:space="preserve">Learning</w:t>
      </w:r>
      <w:r>
        <w:t xml:space="preserve"> </w:t>
      </w:r>
      <w:r>
        <w:t xml:space="preserve">and</w:t>
      </w:r>
      <w:r>
        <w:t xml:space="preserve"> </w:t>
      </w:r>
      <w:r>
        <w:t xml:space="preserve">Extrapolation</w:t>
      </w:r>
    </w:p>
    <w:p>
      <w:pPr>
        <w:pStyle w:val="Author"/>
      </w:pPr>
      <w:r>
        <w:t xml:space="preserve">Thomas</w:t>
      </w:r>
      <w:r>
        <w:t xml:space="preserve"> </w:t>
      </w:r>
      <w:r>
        <w:t xml:space="preserve">E.</w:t>
      </w:r>
      <w:r>
        <w:t xml:space="preserve"> </w:t>
      </w:r>
      <w:r>
        <w:t xml:space="preserve">Gorman</w:t>
      </w:r>
    </w:p>
    <w:p>
      <w:pPr>
        <w:pStyle w:val="Author"/>
      </w:pPr>
      <w:r>
        <w:t xml:space="preserve">Robert</w:t>
      </w:r>
      <w:r>
        <w:t xml:space="preserve"> </w:t>
      </w:r>
      <w:r>
        <w:t xml:space="preserve">L.</w:t>
      </w:r>
      <w:r>
        <w:t xml:space="preserve"> </w:t>
      </w:r>
      <w:r>
        <w:t xml:space="preserve">Goldstone</w:t>
      </w:r>
    </w:p>
    <w:bookmarkStart w:id="27" w:name="introduction"/>
    <w:p>
      <w:pPr>
        <w:pStyle w:val="Heading1"/>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24" w:name="function-learning-and-extrapolation"/>
    <w:p>
      <w:pPr>
        <w:pStyle w:val="Heading2"/>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17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delosh-extrap"/>
          <w:p>
            <w:pPr>
              <w:pStyle w:val="Compact"/>
              <w:jc w:val="center"/>
            </w:pPr>
            <w:r>
              <w:drawing>
                <wp:inline>
                  <wp:extent cx="5334000" cy="2133600"/>
                  <wp:effectExtent b="0" l="0" r="0" t="0"/>
                  <wp:docPr descr="" title="" id="21" name="Picture"/>
                  <a:graphic>
                    <a:graphicData uri="http://schemas.openxmlformats.org/drawingml/2006/picture">
                      <pic:pic>
                        <pic:nvPicPr>
                          <pic:cNvPr descr="manuscript_files/figure-docx/fig-delosh-extrap-1.png" id="22" name="Picture"/>
                          <pic:cNvPicPr>
                            <a:picLocks noChangeArrowheads="1" noChangeAspect="1"/>
                          </pic:cNvPicPr>
                        </pic:nvPicPr>
                        <pic:blipFill>
                          <a:blip r:embed="rId2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23"/>
        </w:tc>
      </w:tr>
    </w:tbl>
    <w:bookmarkEnd w:id="24"/>
    <w:bookmarkStart w:id="25" w:name="variability-and-function-learning"/>
    <w:p>
      <w:pPr>
        <w:pStyle w:val="Heading2"/>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25"/>
    <w:bookmarkStart w:id="26" w:name="overview-of-present-study"/>
    <w:p>
      <w:pPr>
        <w:pStyle w:val="Heading2"/>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26"/>
    <w:bookmarkEnd w:id="27"/>
    <w:bookmarkStart w:id="61" w:name="experiment-1"/>
    <w:p>
      <w:pPr>
        <w:pStyle w:val="Heading1"/>
      </w:pPr>
      <w:r>
        <w:t xml:space="preserve">Experiment 1</w:t>
      </w:r>
    </w:p>
    <w:bookmarkStart w:id="37" w:name="methods"/>
    <w:p>
      <w:pPr>
        <w:pStyle w:val="Heading2"/>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28">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32" w:name="fig-htw-task"/>
          <w:p>
            <w:pPr>
              <w:pStyle w:val="Compact"/>
              <w:jc w:val="center"/>
            </w:pPr>
            <w:r>
              <w:drawing>
                <wp:inline>
                  <wp:extent cx="3200400" cy="2875097"/>
                  <wp:effectExtent b="0" l="0" r="0" t="0"/>
                  <wp:docPr descr="" title="" id="30" name="Picture"/>
                  <a:graphic>
                    <a:graphicData uri="http://schemas.openxmlformats.org/drawingml/2006/picture">
                      <pic:pic>
                        <pic:nvPicPr>
                          <pic:cNvPr descr="../Assets/figs/htw_task_fig.png" id="31" name="Picture"/>
                          <pic:cNvPicPr>
                            <a:picLocks noChangeArrowheads="1" noChangeAspect="1"/>
                          </pic:cNvPicPr>
                        </pic:nvPicPr>
                        <pic:blipFill>
                          <a:blip r:embed="rId2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3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36" w:name="fig-design-e1"/>
          <w:p>
            <w:pPr>
              <w:jc w:val="center"/>
            </w:pPr>
            <w:r>
              <w:drawing>
                <wp:inline>
                  <wp:extent cx="5334000" cy="1905000"/>
                  <wp:effectExtent b="0" l="0" r="0" t="0"/>
                  <wp:docPr descr="" title="" id="34" name="Picture"/>
                  <a:graphic>
                    <a:graphicData uri="http://schemas.openxmlformats.org/drawingml/2006/picture">
                      <pic:pic>
                        <pic:nvPicPr>
                          <pic:cNvPr descr="manuscript_files/figure-docx/dot-figure-1.png" id="35"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 1 Design. Constant and Varied participants complete different training conditions.</w:t>
            </w:r>
          </w:p>
          <w:bookmarkEnd w:id="36"/>
        </w:tc>
      </w:tr>
    </w:tbl>
    <w:bookmarkEnd w:id="37"/>
    <w:bookmarkStart w:id="39" w:name="analyses-strategy"/>
    <w:p>
      <w:pPr>
        <w:pStyle w:val="Heading2"/>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38" w:name="tbl-brms-models"/>
          <w:p>
            <w:pPr>
              <w:jc w:val="center"/>
            </w:pPr>
            <w:pPr>
              <w:jc w:val="start"/>
              <w:spacing w:before="200"/>
              <w:pStyle w:val="ImageCaption"/>
            </w:pPr>
            <w:r>
              <w:t xml:space="preserve">Table 1:</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3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39"/>
    <w:bookmarkStart w:id="59" w:name="results"/>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43" w:name="fig-e1-train-dev"/>
          <w:p>
            <w:pPr>
              <w:pStyle w:val="Compact"/>
              <w:jc w:val="center"/>
            </w:pPr>
            <w:r>
              <w:drawing>
                <wp:inline>
                  <wp:extent cx="5334000" cy="4267200"/>
                  <wp:effectExtent b="0" l="0" r="0" t="0"/>
                  <wp:docPr descr="" title="" id="41" name="Picture"/>
                  <a:graphic>
                    <a:graphicData uri="http://schemas.openxmlformats.org/drawingml/2006/picture">
                      <pic:pic>
                        <pic:nvPicPr>
                          <pic:cNvPr descr="manuscript_files/figure-docx/fig-e1-train-dev-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Experiment 1 - Training Stage. Deviations from target band across training blocks. Lower values represent greater accuracy.</w:t>
            </w:r>
          </w:p>
          <w:bookmarkEnd w:id="43"/>
        </w:tc>
      </w:tr>
    </w:tbl>
    <w:tbl>
      <w:tblPr>
        <w:tblStyle w:val="Table"/>
        <w:tblW w:type="pct" w:w="5000"/>
        <w:tblLayout w:type="fixed"/>
        <w:tblLook w:firstRow="0" w:lastRow="0" w:firstColumn="0" w:lastColumn="0" w:noHBand="0" w:noVBand="0" w:val="0000"/>
      </w:tblPr>
      <w:tblGrid>
        <w:gridCol w:w="7920"/>
      </w:tblGrid>
      <w:tr>
        <w:tc>
          <w:tcPr/>
          <w:bookmarkStart w:id="44" w:name="tbl-e1-train-dist"/>
          <w:p>
            <w:pPr>
              <w:jc w:val="center"/>
            </w:pPr>
            <w:pPr>
              <w:jc w:val="start"/>
              <w:spacing w:before="200"/>
              <w:pStyle w:val="ImageCaption"/>
            </w:pPr>
            <w:r>
              <w:t xml:space="preserve">Table 2:</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4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45" w:name="tbl-e1-bmm-dist"/>
          <w:p>
            <w:pPr>
              <w:jc w:val="center"/>
            </w:pPr>
            <w:pPr>
              <w:jc w:val="start"/>
              <w:spacing w:before="200"/>
              <w:pStyle w:val="ImageCaption"/>
            </w:pPr>
            <w:r>
              <w:t xml:space="preserve">Table 3:</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4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3</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49" w:name="fig-e1-test-dev"/>
          <w:p>
            <w:pPr>
              <w:pStyle w:val="Compact"/>
              <w:jc w:val="center"/>
            </w:pPr>
            <w:r>
              <w:drawing>
                <wp:inline>
                  <wp:extent cx="5334000" cy="3394363"/>
                  <wp:effectExtent b="0" l="0" r="0" t="0"/>
                  <wp:docPr descr="" title="" id="47" name="Picture"/>
                  <a:graphic>
                    <a:graphicData uri="http://schemas.openxmlformats.org/drawingml/2006/picture">
                      <pic:pic>
                        <pic:nvPicPr>
                          <pic:cNvPr descr="manuscript_files/figure-docx/fig-e1-test-dev-1.png" id="48" name="Picture"/>
                          <pic:cNvPicPr>
                            <a:picLocks noChangeArrowheads="1" noChangeAspect="1"/>
                          </pic:cNvPicPr>
                        </pic:nvPicPr>
                        <pic:blipFill>
                          <a:blip r:embed="rId4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4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50" w:name="tbl-e1-bmm-vx"/>
          <w:p>
            <w:pPr>
              <w:jc w:val="center"/>
            </w:pPr>
            <w:pPr>
              <w:jc w:val="start"/>
              <w:spacing w:before="200"/>
              <w:pStyle w:val="ImageCaption"/>
            </w:pPr>
            <w:r>
              <w:t xml:space="preserve">Table 4:</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5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4</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6</w:t>
        </w:r>
      </w:hyperlink>
      <w:r>
        <w:t xml:space="preserve"> </w:t>
      </w:r>
      <w:r>
        <w:t xml:space="preserve">and</w:t>
      </w:r>
      <w:r>
        <w:t xml:space="preserve"> </w:t>
      </w:r>
      <w:hyperlink w:anchor="fig-e1-bmm-vx">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e1-test-vx"/>
          <w:p>
            <w:pPr>
              <w:pStyle w:val="Compact"/>
              <w:jc w:val="center"/>
            </w:pPr>
            <w:r>
              <w:drawing>
                <wp:inline>
                  <wp:extent cx="5334000" cy="3879272"/>
                  <wp:effectExtent b="0" l="0" r="0" t="0"/>
                  <wp:docPr descr="" title="" id="52" name="Picture"/>
                  <a:graphic>
                    <a:graphicData uri="http://schemas.openxmlformats.org/drawingml/2006/picture">
                      <pic:pic>
                        <pic:nvPicPr>
                          <pic:cNvPr descr="manuscript_files/figure-docx/fig-e1-test-vx-1.png" id="53" name="Picture"/>
                          <pic:cNvPicPr>
                            <a:picLocks noChangeArrowheads="1" noChangeAspect="1"/>
                          </pic:cNvPicPr>
                        </pic:nvPicPr>
                        <pic:blipFill>
                          <a:blip r:embed="rId5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Experiment 1. Empirical distribution of velocities produced in the testing stage. Translucent bands with dashed lines indicate the correct range for each velocity band.</w:t>
            </w:r>
          </w:p>
          <w:bookmarkEnd w:id="54"/>
        </w:tc>
      </w:tr>
    </w:tbl>
    <w:tbl>
      <w:tblPr>
        <w:tblStyle w:val="Table"/>
        <w:tblW w:type="pct" w:w="5000"/>
        <w:tblLayout w:type="fixed"/>
        <w:tblLook w:firstRow="0" w:lastRow="0" w:firstColumn="0" w:lastColumn="0" w:noHBand="0" w:noVBand="0" w:val="0000"/>
      </w:tblPr>
      <w:tblGrid>
        <w:gridCol w:w="7920"/>
      </w:tblGrid>
      <w:tr>
        <w:tc>
          <w:tcPr/>
          <w:bookmarkStart w:id="58" w:name="fig-e1-bmm-vx"/>
          <w:p>
            <w:pPr>
              <w:pStyle w:val="Compact"/>
              <w:jc w:val="center"/>
            </w:pPr>
            <w:r>
              <w:drawing>
                <wp:inline>
                  <wp:extent cx="5334000" cy="3879272"/>
                  <wp:effectExtent b="0" l="0" r="0" t="0"/>
                  <wp:docPr descr="" title="" id="56" name="Picture"/>
                  <a:graphic>
                    <a:graphicData uri="http://schemas.openxmlformats.org/drawingml/2006/picture">
                      <pic:pic>
                        <pic:nvPicPr>
                          <pic:cNvPr descr="manuscript_files/figure-docx/fig-e1-bmm-vx-1.png" id="57" name="Picture"/>
                          <pic:cNvPicPr>
                            <a:picLocks noChangeArrowheads="1" noChangeAspect="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58"/>
        </w:tc>
      </w:tr>
    </w:tbl>
    <w:bookmarkEnd w:id="59"/>
    <w:bookmarkStart w:id="60" w:name="experiment-1-summary"/>
    <w:p>
      <w:pPr>
        <w:pStyle w:val="Heading2"/>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60"/>
    <w:bookmarkEnd w:id="61"/>
    <w:bookmarkStart w:id="88" w:name="experiment-2"/>
    <w:p>
      <w:pPr>
        <w:pStyle w:val="Heading1"/>
      </w:pPr>
      <w:r>
        <w:t xml:space="preserve">Experiment 2</w:t>
      </w:r>
    </w:p>
    <w:bookmarkStart w:id="66" w:name="methods-procedure"/>
    <w:p>
      <w:pPr>
        <w:pStyle w:val="Heading2"/>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8</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65" w:name="fig-design-e2"/>
          <w:p>
            <w:pPr>
              <w:jc w:val="center"/>
            </w:pPr>
            <w:r>
              <w:drawing>
                <wp:inline>
                  <wp:extent cx="5334000" cy="1676400"/>
                  <wp:effectExtent b="0" l="0" r="0" t="0"/>
                  <wp:docPr descr="" title="" id="63" name="Picture"/>
                  <a:graphic>
                    <a:graphicData uri="http://schemas.openxmlformats.org/drawingml/2006/picture">
                      <pic:pic>
                        <pic:nvPicPr>
                          <pic:cNvPr descr="manuscript_files/figure-docx/dot-figure-2.png" id="64" name="Picture"/>
                          <pic:cNvPicPr>
                            <a:picLocks noChangeArrowheads="1" noChangeAspect="1"/>
                          </pic:cNvPicPr>
                        </pic:nvPicPr>
                        <pic:blipFill>
                          <a:blip r:embed="rId62"/>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Experiment 2 Design. Constant and Varied participants complete different training conditions. The training and testing bands are the reverse of Experiment 1.</w:t>
            </w:r>
          </w:p>
          <w:bookmarkEnd w:id="65"/>
        </w:tc>
      </w:tr>
    </w:tbl>
    <w:bookmarkEnd w:id="66"/>
    <w:bookmarkStart w:id="86" w:name="results-1"/>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0" w:name="fig-e2-train-dev"/>
          <w:p>
            <w:pPr>
              <w:pStyle w:val="Compact"/>
              <w:jc w:val="center"/>
            </w:pPr>
            <w:r>
              <w:drawing>
                <wp:inline>
                  <wp:extent cx="5334000" cy="4267200"/>
                  <wp:effectExtent b="0" l="0" r="0" t="0"/>
                  <wp:docPr descr="" title="" id="68" name="Picture"/>
                  <a:graphic>
                    <a:graphicData uri="http://schemas.openxmlformats.org/drawingml/2006/picture">
                      <pic:pic>
                        <pic:nvPicPr>
                          <pic:cNvPr descr="manuscript_files/figure-docx/fig-e2-train-dev-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Experiment 2 Training Stage. Deviations from target band across training blocks. Lower values represent greater accuracy.</w:t>
            </w:r>
          </w:p>
          <w:bookmarkEnd w:id="70"/>
        </w:tc>
      </w:tr>
    </w:tbl>
    <w:tbl>
      <w:tblPr>
        <w:tblStyle w:val="Table"/>
        <w:tblW w:type="pct" w:w="5000"/>
        <w:tblLayout w:type="fixed"/>
        <w:tblLook w:firstRow="0" w:lastRow="0" w:firstColumn="0" w:lastColumn="0" w:noHBand="0" w:noVBand="0" w:val="0000"/>
      </w:tblPr>
      <w:tblGrid>
        <w:gridCol w:w="7920"/>
      </w:tblGrid>
      <w:tr>
        <w:tc>
          <w:tcPr/>
          <w:bookmarkStart w:id="71" w:name="tbl-e2-train-dist"/>
          <w:p>
            <w:pPr>
              <w:jc w:val="center"/>
            </w:pPr>
            <w:pPr>
              <w:jc w:val="start"/>
              <w:spacing w:before="200"/>
              <w:pStyle w:val="ImageCaption"/>
            </w:pPr>
            <w:r>
              <w:t xml:space="preserve">Table 5:</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7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72" w:name="tbl-e2-bmm-dist"/>
          <w:p>
            <w:pPr>
              <w:jc w:val="center"/>
            </w:pPr>
            <w:pPr>
              <w:jc w:val="start"/>
              <w:spacing w:before="200"/>
              <w:pStyle w:val="ImageCaption"/>
            </w:pPr>
            <w:r>
              <w:t xml:space="preserve">Table 6:</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7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6</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6" w:name="fig-e2-test-dev"/>
          <w:p>
            <w:pPr>
              <w:pStyle w:val="Compact"/>
              <w:jc w:val="center"/>
            </w:pPr>
            <w:r>
              <w:drawing>
                <wp:inline>
                  <wp:extent cx="5334000" cy="3394363"/>
                  <wp:effectExtent b="0" l="0" r="0" t="0"/>
                  <wp:docPr descr="" title="" id="74" name="Picture"/>
                  <a:graphic>
                    <a:graphicData uri="http://schemas.openxmlformats.org/drawingml/2006/picture">
                      <pic:pic>
                        <pic:nvPicPr>
                          <pic:cNvPr descr="manuscript_files/figure-docx/fig-e2-test-dev-1.png" id="75" name="Picture"/>
                          <pic:cNvPicPr>
                            <a:picLocks noChangeArrowheads="1" noChangeAspect="1"/>
                          </pic:cNvPicPr>
                        </pic:nvPicPr>
                        <pic:blipFill>
                          <a:blip r:embed="rId7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76"/>
        </w:tc>
      </w:tr>
    </w:tbl>
    <w:tbl>
      <w:tblPr>
        <w:tblStyle w:val="Table"/>
        <w:tblW w:type="pct" w:w="5000"/>
        <w:tblLayout w:type="fixed"/>
        <w:tblLook w:firstRow="0" w:lastRow="0" w:firstColumn="0" w:lastColumn="0" w:noHBand="0" w:noVBand="0" w:val="0000"/>
      </w:tblPr>
      <w:tblGrid>
        <w:gridCol w:w="7920"/>
      </w:tblGrid>
      <w:tr>
        <w:tc>
          <w:tcPr/>
          <w:bookmarkStart w:id="77" w:name="tbl-e2-bmm-vx"/>
          <w:p>
            <w:pPr>
              <w:jc w:val="center"/>
            </w:pPr>
            <w:pPr>
              <w:jc w:val="start"/>
              <w:spacing w:before="200"/>
              <w:pStyle w:val="ImageCaption"/>
            </w:pPr>
            <w:r>
              <w:t xml:space="preserve">Table 7:</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7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7</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11</w:t>
        </w:r>
      </w:hyperlink>
      <w:r>
        <w:t xml:space="preserve"> </w:t>
      </w:r>
      <w:r>
        <w:t xml:space="preserve">and</w:t>
      </w:r>
      <w:r>
        <w:t xml:space="preserve"> </w:t>
      </w:r>
      <w:hyperlink w:anchor="fig-e2-bmm-vx">
        <w:r>
          <w:rPr>
            <w:rStyle w:val="Hyperlink"/>
          </w:rPr>
          <w:t xml:space="preserve">Figure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fig-e2-test-vx"/>
          <w:p>
            <w:pPr>
              <w:pStyle w:val="Compact"/>
              <w:jc w:val="center"/>
            </w:pPr>
            <w:r>
              <w:drawing>
                <wp:inline>
                  <wp:extent cx="5334000" cy="3879272"/>
                  <wp:effectExtent b="0" l="0" r="0" t="0"/>
                  <wp:docPr descr="" title="" id="79" name="Picture"/>
                  <a:graphic>
                    <a:graphicData uri="http://schemas.openxmlformats.org/drawingml/2006/picture">
                      <pic:pic>
                        <pic:nvPicPr>
                          <pic:cNvPr descr="manuscript_files/figure-docx/fig-e2-test-vx-1.png" id="80" name="Picture"/>
                          <pic:cNvPicPr>
                            <a:picLocks noChangeArrowheads="1" noChangeAspect="1"/>
                          </pic:cNvPicPr>
                        </pic:nvPicPr>
                        <pic:blipFill>
                          <a:blip r:embed="rId7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Experiment 2. Empirical distribution of velocities produced in the testing stage. Translucent bands with dash lines indicate the correct range for each velocity band.</w:t>
            </w:r>
          </w:p>
          <w:bookmarkEnd w:id="81"/>
        </w:tc>
      </w:tr>
    </w:tbl>
    <w:tbl>
      <w:tblPr>
        <w:tblStyle w:val="Table"/>
        <w:tblW w:type="pct" w:w="5000"/>
        <w:tblLayout w:type="fixed"/>
        <w:tblLook w:firstRow="0" w:lastRow="0" w:firstColumn="0" w:lastColumn="0" w:noHBand="0" w:noVBand="0" w:val="0000"/>
      </w:tblPr>
      <w:tblGrid>
        <w:gridCol w:w="7920"/>
      </w:tblGrid>
      <w:tr>
        <w:tc>
          <w:tcPr/>
          <w:bookmarkStart w:id="85" w:name="fig-e2-bmm-vx"/>
          <w:p>
            <w:pPr>
              <w:pStyle w:val="Compact"/>
              <w:jc w:val="center"/>
            </w:pPr>
            <w:r>
              <w:drawing>
                <wp:inline>
                  <wp:extent cx="5334000" cy="3879272"/>
                  <wp:effectExtent b="0" l="0" r="0" t="0"/>
                  <wp:docPr descr="" title="" id="83" name="Picture"/>
                  <a:graphic>
                    <a:graphicData uri="http://schemas.openxmlformats.org/drawingml/2006/picture">
                      <pic:pic>
                        <pic:nvPicPr>
                          <pic:cNvPr descr="manuscript_files/figure-docx/fig-e2-bmm-vx-1.png" id="84" name="Picture"/>
                          <pic:cNvPicPr>
                            <a:picLocks noChangeArrowheads="1" noChangeAspect="1"/>
                          </pic:cNvPicPr>
                        </pic:nvPicPr>
                        <pic:blipFill>
                          <a:blip r:embed="rId8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85"/>
        </w:tc>
      </w:tr>
    </w:tbl>
    <w:bookmarkEnd w:id="86"/>
    <w:bookmarkStart w:id="87" w:name="experiment-2-summary"/>
    <w:p>
      <w:pPr>
        <w:pStyle w:val="Heading2"/>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87"/>
    <w:bookmarkEnd w:id="88"/>
    <w:bookmarkStart w:id="111" w:name="experiment-3"/>
    <w:p>
      <w:pPr>
        <w:pStyle w:val="Heading1"/>
      </w:pPr>
      <w:r>
        <w:t xml:space="preserve">Experiment 3</w:t>
      </w:r>
    </w:p>
    <w:bookmarkStart w:id="89" w:name="methods-procedure-1"/>
    <w:p>
      <w:pPr>
        <w:pStyle w:val="Heading2"/>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89"/>
    <w:bookmarkStart w:id="109" w:name="results-2"/>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90" w:name="tbl-e3-train-dist"/>
          <w:p>
            <w:pPr>
              <w:jc w:val="center"/>
            </w:pPr>
            <w:pPr>
              <w:jc w:val="start"/>
              <w:spacing w:before="200"/>
              <w:pStyle w:val="ImageCaption"/>
            </w:pPr>
            <w:r>
              <w:t xml:space="preserve">Table 8:</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90"/>
          <w:p/>
        </w:tc>
      </w:tr>
    </w:tbl>
    <w:p>
      <w:pPr>
        <w:pStyle w:val="BodyText"/>
      </w:pPr>
      <w:r>
        <w:rPr>
          <w:i/>
          <w:iCs/>
        </w:rPr>
        <w:t xml:space="preserve">Training</w:t>
      </w:r>
      <w:r>
        <w:t xml:space="preserve">.</w:t>
      </w:r>
      <w:r>
        <w:t xml:space="preserve"> </w:t>
      </w:r>
      <w:hyperlink w:anchor="fig-e3-train-dev">
        <w:r>
          <w:rPr>
            <w:rStyle w:val="Hyperlink"/>
          </w:rPr>
          <w:t xml:space="preserve">Figure 13</w:t>
        </w:r>
      </w:hyperlink>
      <w:r>
        <w:t xml:space="preserve"> </w:t>
      </w:r>
      <w:r>
        <w:t xml:space="preserve">displays the average deviations from the target band across training blocks, and</w:t>
      </w:r>
      <w:r>
        <w:t xml:space="preserve"> </w:t>
      </w:r>
      <w:hyperlink w:anchor="tbl-e3-train-dist">
        <w:r>
          <w:rPr>
            <w:rStyle w:val="Hyperlink"/>
          </w:rPr>
          <w:t xml:space="preserve">Table 8</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94" w:name="fig-e3-train-dev"/>
          <w:p>
            <w:pPr>
              <w:pStyle w:val="Compact"/>
              <w:jc w:val="center"/>
            </w:pPr>
            <w:r>
              <w:drawing>
                <wp:inline>
                  <wp:extent cx="5334000" cy="4267200"/>
                  <wp:effectExtent b="0" l="0" r="0" t="0"/>
                  <wp:docPr descr="" title="" id="92" name="Picture"/>
                  <a:graphic>
                    <a:graphicData uri="http://schemas.openxmlformats.org/drawingml/2006/picture">
                      <pic:pic>
                        <pic:nvPicPr>
                          <pic:cNvPr descr="manuscript_files/figure-docx/fig-e3-train-dev-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3 training. Deviations from target band during training, shown separately for groups trained with the original order (used in E1) and reverse order (used in E2).</w:t>
            </w:r>
          </w:p>
          <w:bookmarkEnd w:id="94"/>
        </w:tc>
      </w:tr>
    </w:tbl>
    <w:tbl>
      <w:tblPr>
        <w:tblStyle w:val="Table"/>
        <w:tblW w:type="pct" w:w="5000"/>
        <w:tblLayout w:type="fixed"/>
        <w:tblLook w:firstRow="0" w:lastRow="0" w:firstColumn="0" w:lastColumn="0" w:noHBand="0" w:noVBand="0" w:val="0000"/>
      </w:tblPr>
      <w:tblGrid>
        <w:gridCol w:w="7920"/>
      </w:tblGrid>
      <w:tr>
        <w:tc>
          <w:tcPr/>
          <w:bookmarkStart w:id="95" w:name="tbl-e3-bmm-dist"/>
          <w:p>
            <w:pPr>
              <w:jc w:val="center"/>
            </w:pPr>
            <w:pPr>
              <w:jc w:val="start"/>
              <w:spacing w:before="200"/>
              <w:pStyle w:val="ImageCaption"/>
            </w:pPr>
            <w:r>
              <w:t xml:space="preserve">Table 9:</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95"/>
          <w:p/>
        </w:tc>
      </w:tr>
    </w:tbl>
    <w:p>
      <w:pPr>
        <w:pStyle w:val="BodyText"/>
      </w:pPr>
      <w:r>
        <w:rPr>
          <w:i/>
          <w:iCs/>
        </w:rPr>
        <w:t xml:space="preserve">Testing Accuracy.</w:t>
      </w:r>
      <w:r>
        <w:t xml:space="preserve"> </w:t>
      </w:r>
      <w:hyperlink w:anchor="tbl-e3-bmm-dist">
        <w:r>
          <w:rPr>
            <w:rStyle w:val="Hyperlink"/>
          </w:rPr>
          <w:t xml:space="preserve">Table 9</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99" w:name="fig-e3-test-dev"/>
          <w:p>
            <w:pPr>
              <w:pStyle w:val="Compact"/>
              <w:jc w:val="center"/>
            </w:pPr>
            <w:r>
              <w:drawing>
                <wp:inline>
                  <wp:extent cx="5334000" cy="3879272"/>
                  <wp:effectExtent b="0" l="0" r="0" t="0"/>
                  <wp:docPr descr="" title="" id="97" name="Picture"/>
                  <a:graphic>
                    <a:graphicData uri="http://schemas.openxmlformats.org/drawingml/2006/picture">
                      <pic:pic>
                        <pic:nvPicPr>
                          <pic:cNvPr descr="manuscript_files/figure-docx/fig-e3-test-dev-1.png" id="98" name="Picture"/>
                          <pic:cNvPicPr>
                            <a:picLocks noChangeArrowheads="1" noChangeAspect="1"/>
                          </pic:cNvPicPr>
                        </pic:nvPicPr>
                        <pic:blipFill>
                          <a:blip r:embed="rId9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99"/>
        </w:tc>
      </w:tr>
    </w:tbl>
    <w:tbl>
      <w:tblPr>
        <w:tblStyle w:val="Table"/>
        <w:tblW w:type="pct" w:w="5000"/>
        <w:tblLayout w:type="fixed"/>
        <w:tblLook w:firstRow="0" w:lastRow="0" w:firstColumn="0" w:lastColumn="0" w:noHBand="0" w:noVBand="0" w:val="0000"/>
      </w:tblPr>
      <w:tblGrid>
        <w:gridCol w:w="7920"/>
      </w:tblGrid>
      <w:tr>
        <w:tc>
          <w:tcPr/>
          <w:bookmarkStart w:id="100" w:name="tbl-e3-bmm-vx"/>
          <w:p>
            <w:pPr>
              <w:jc w:val="center"/>
            </w:pPr>
            <w:pPr>
              <w:jc w:val="start"/>
              <w:spacing w:before="200"/>
              <w:pStyle w:val="ImageCaption"/>
            </w:pPr>
            <w:r>
              <w:t xml:space="preserve">Table 10:</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0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9</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15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04" w:name="fig-e3-test-vx"/>
          <w:p>
            <w:pPr>
              <w:pStyle w:val="Compact"/>
              <w:jc w:val="center"/>
            </w:pPr>
            <w:r>
              <w:drawing>
                <wp:inline>
                  <wp:extent cx="5334000" cy="4849090"/>
                  <wp:effectExtent b="0" l="0" r="0" t="0"/>
                  <wp:docPr descr="" title="" id="102" name="Picture"/>
                  <a:graphic>
                    <a:graphicData uri="http://schemas.openxmlformats.org/drawingml/2006/picture">
                      <pic:pic>
                        <pic:nvPicPr>
                          <pic:cNvPr descr="manuscript_files/figure-docx/fig-e3-test-vx-1.png" id="103" name="Picture"/>
                          <pic:cNvPicPr>
                            <a:picLocks noChangeArrowheads="1" noChangeAspect="1"/>
                          </pic:cNvPicPr>
                        </pic:nvPicPr>
                        <pic:blipFill>
                          <a:blip r:embed="rId10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3. Empirical distribution of velocities produced in the testing stage. Translucent bands with dash lines indicate the correct range for each velocity band.</w:t>
            </w:r>
          </w:p>
          <w:bookmarkEnd w:id="104"/>
        </w:tc>
      </w:tr>
    </w:tbl>
    <w:p>
      <w:r>
        <w:br w:type="page"/>
      </w:r>
    </w:p>
    <w:tbl>
      <w:tblPr>
        <w:tblStyle w:val="Table"/>
        <w:tblW w:type="pct" w:w="5000"/>
        <w:tblLayout w:type="fixed"/>
        <w:tblLook w:firstRow="0" w:lastRow="0" w:firstColumn="0" w:lastColumn="0" w:noHBand="0" w:noVBand="0" w:val="0000"/>
      </w:tblPr>
      <w:tblGrid>
        <w:gridCol w:w="7920"/>
      </w:tblGrid>
      <w:tr>
        <w:tc>
          <w:tcPr/>
          <w:bookmarkStart w:id="108" w:name="fig-e3-bmm-vx"/>
          <w:p>
            <w:pPr>
              <w:pStyle w:val="Compact"/>
              <w:jc w:val="center"/>
            </w:pPr>
            <w:r>
              <w:drawing>
                <wp:inline>
                  <wp:extent cx="5334000" cy="5334000"/>
                  <wp:effectExtent b="0" l="0" r="0" t="0"/>
                  <wp:docPr descr="" title="" id="106" name="Picture"/>
                  <a:graphic>
                    <a:graphicData uri="http://schemas.openxmlformats.org/drawingml/2006/picture">
                      <pic:pic>
                        <pic:nvPicPr>
                          <pic:cNvPr descr="manuscript_files/figure-docx/fig-e3-bmm-vx-1.png" id="107"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08"/>
        </w:tc>
      </w:tr>
    </w:tbl>
    <w:bookmarkEnd w:id="109"/>
    <w:bookmarkStart w:id="110" w:name="experiment-3-summary"/>
    <w:p>
      <w:pPr>
        <w:pStyle w:val="Heading2"/>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10"/>
    <w:bookmarkEnd w:id="111"/>
    <w:bookmarkStart w:id="157" w:name="computational-model"/>
    <w:p>
      <w:pPr>
        <w:pStyle w:val="Heading1"/>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15" w:name="fig-alm-diagram"/>
          <w:p>
            <w:pPr>
              <w:pStyle w:val="Compact"/>
              <w:jc w:val="center"/>
            </w:pPr>
            <w:r>
              <w:drawing>
                <wp:inline>
                  <wp:extent cx="5334000" cy="4267200"/>
                  <wp:effectExtent b="0" l="0" r="0" t="0"/>
                  <wp:docPr descr="" title="" id="113" name="Picture"/>
                  <a:graphic>
                    <a:graphicData uri="http://schemas.openxmlformats.org/drawingml/2006/picture">
                      <pic:pic>
                        <pic:nvPicPr>
                          <pic:cNvPr descr="manuscript_files/figure-docx/fig-alm-diagram-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1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17" w:name="alm-exam"/>
    <w:p>
      <w:pPr>
        <w:pStyle w:val="Heading2"/>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11</w:t>
        </w:r>
      </w:hyperlink>
      <w:r>
        <w:t xml:space="preserve"> </w:t>
      </w:r>
      <w:r>
        <w:t xml:space="preserve">for a full specification of the equations that define ALM and EXAM, and</w:t>
      </w:r>
      <w:r>
        <w:t xml:space="preserve"> </w:t>
      </w:r>
      <w:hyperlink w:anchor="fig-alm-diagram">
        <w:r>
          <w:rPr>
            <w:rStyle w:val="Hyperlink"/>
          </w:rPr>
          <w:t xml:space="preserve">Figure 17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16" w:name="tbl-alm-exam"/>
          <w:p>
            <w:pPr>
              <w:jc w:val="center"/>
            </w:pPr>
            <w:pPr>
              <w:jc w:val="start"/>
              <w:spacing w:before="200"/>
              <w:pStyle w:val="ImageCaption"/>
            </w:pPr>
            <w:r>
              <w:t xml:space="preserve">Table 11: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16"/>
          <w:p/>
        </w:tc>
      </w:tr>
    </w:tbl>
    <w:bookmarkEnd w:id="117"/>
    <w:bookmarkStart w:id="120" w:name="model-fitting"/>
    <w:p>
      <w:pPr>
        <w:pStyle w:val="Heading2"/>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1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18"/>
          </w:p>
          <w:p>
            <w:pPr>
              <w:pStyle w:val="FirstParagraph"/>
            </w:pPr>
            <w:bookmarkStart w:id="11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1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20"/>
    <w:bookmarkStart w:id="156" w:name="modelling-results"/>
    <w:p>
      <w:pPr>
        <w:pStyle w:val="Heading2"/>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21" w:name="tbl-htw-modelError-e1"/>
          <w:p>
            <w:pPr>
              <w:jc w:val="center"/>
            </w:pPr>
            <w:pPr>
              <w:jc w:val="start"/>
              <w:spacing w:before="200"/>
              <w:pStyle w:val="ImageCaption"/>
            </w:pPr>
            <w:r>
              <w:t xml:space="preserve">Table 12: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21"/>
        </w:tc>
      </w:tr>
    </w:tbl>
    <w:tbl>
      <w:tblPr>
        <w:tblStyle w:val="Table"/>
        <w:tblW w:type="pct" w:w="5000"/>
        <w:tblLayout w:type="fixed"/>
        <w:tblLook w:firstRow="0" w:lastRow="0" w:firstColumn="0" w:lastColumn="0" w:noHBand="0" w:noVBand="0" w:val="0000"/>
      </w:tblPr>
      <w:tblGrid>
        <w:gridCol w:w="7920"/>
      </w:tblGrid>
      <w:tr>
        <w:tc>
          <w:tcPr/>
          <w:bookmarkStart w:id="125" w:name="fig-htw-post-dist"/>
          <w:p>
            <w:pPr>
              <w:pStyle w:val="Compact"/>
              <w:jc w:val="center"/>
            </w:pPr>
            <w:r>
              <w:drawing>
                <wp:inline>
                  <wp:extent cx="5334000" cy="3200400"/>
                  <wp:effectExtent b="0" l="0" r="0" t="0"/>
                  <wp:docPr descr="" title="" id="123" name="Picture"/>
                  <a:graphic>
                    <a:graphicData uri="http://schemas.openxmlformats.org/drawingml/2006/picture">
                      <pic:pic>
                        <pic:nvPicPr>
                          <pic:cNvPr descr="manuscript_files/figure-docx/fig-htw-post-dist-1.png" id="124" name="Picture"/>
                          <pic:cNvPicPr>
                            <a:picLocks noChangeArrowheads="1" noChangeAspect="1"/>
                          </pic:cNvPicPr>
                        </pic:nvPicPr>
                        <pic:blipFill>
                          <a:blip r:embed="rId12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125"/>
        </w:tc>
      </w:tr>
    </w:tbl>
    <w:tbl>
      <w:tblPr>
        <w:tblStyle w:val="Table"/>
        <w:tblW w:type="pct" w:w="5000"/>
        <w:tblLayout w:type="fixed"/>
        <w:tblLook w:firstRow="0" w:lastRow="0" w:firstColumn="0" w:lastColumn="0" w:noHBand="0" w:noVBand="0" w:val="0000"/>
      </w:tblPr>
      <w:tblGrid>
        <w:gridCol w:w="7920"/>
      </w:tblGrid>
      <w:tr>
        <w:tc>
          <w:tcPr/>
          <w:bookmarkStart w:id="129" w:name="fig-htw-resid-pred"/>
          <w:p>
            <w:pPr>
              <w:pStyle w:val="Compact"/>
              <w:jc w:val="center"/>
            </w:pPr>
            <w:r>
              <w:drawing>
                <wp:inline>
                  <wp:extent cx="5334000" cy="6788727"/>
                  <wp:effectExtent b="0" l="0" r="0" t="0"/>
                  <wp:docPr descr="" title="" id="127" name="Picture"/>
                  <a:graphic>
                    <a:graphicData uri="http://schemas.openxmlformats.org/drawingml/2006/picture">
                      <pic:pic>
                        <pic:nvPicPr>
                          <pic:cNvPr descr="manuscript_files/figure-docx/fig-htw-resid-pred-1.png" id="128" name="Picture"/>
                          <pic:cNvPicPr>
                            <a:picLocks noChangeArrowheads="1" noChangeAspect="1"/>
                          </pic:cNvPicPr>
                        </pic:nvPicPr>
                        <pic:blipFill>
                          <a:blip r:embed="rId126"/>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12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18</w:t>
        </w:r>
      </w:hyperlink>
      <w:r>
        <w:t xml:space="preserve">, and model predictions are shown alongside the empirical data in</w:t>
      </w:r>
      <w:r>
        <w:t xml:space="preserve"> </w:t>
      </w:r>
      <w:hyperlink w:anchor="fig-cm-vx-pat">
        <w:r>
          <w:rPr>
            <w:rStyle w:val="Hyperlink"/>
          </w:rPr>
          <w:t xml:space="preserve">Figure 20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19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19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21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133" w:name="fig-cm-vx-pat"/>
          <w:p>
            <w:pPr>
              <w:pStyle w:val="Compact"/>
              <w:jc w:val="center"/>
            </w:pPr>
            <w:r>
              <w:drawing>
                <wp:inline>
                  <wp:extent cx="5334000" cy="5334000"/>
                  <wp:effectExtent b="0" l="0" r="0" t="0"/>
                  <wp:docPr descr="" title="" id="131" name="Picture"/>
                  <a:graphic>
                    <a:graphicData uri="http://schemas.openxmlformats.org/drawingml/2006/picture">
                      <pic:pic>
                        <pic:nvPicPr>
                          <pic:cNvPr descr="manuscript_files/figure-docx/fig-cm-vx-pat-1.png" id="132"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133"/>
        </w:tc>
      </w:tr>
    </w:tbl>
    <w:tbl>
      <w:tblPr>
        <w:tblStyle w:val="Table"/>
        <w:tblW w:type="pct" w:w="5000"/>
        <w:tblLayout w:type="fixed"/>
        <w:tblLook w:firstRow="0" w:lastRow="0" w:firstColumn="0" w:lastColumn="0" w:noHBand="0" w:noVBand="0" w:val="0000"/>
      </w:tblPr>
      <w:tblGrid>
        <w:gridCol w:w="7920"/>
      </w:tblGrid>
      <w:tr>
        <w:tc>
          <w:tcPr/>
          <w:bookmarkStart w:id="137" w:name="fig-ee-e1"/>
          <w:p>
            <w:pPr>
              <w:pStyle w:val="Compact"/>
              <w:jc w:val="center"/>
            </w:pPr>
            <w:r>
              <w:drawing>
                <wp:inline>
                  <wp:extent cx="5334000" cy="4267200"/>
                  <wp:effectExtent b="0" l="0" r="0" t="0"/>
                  <wp:docPr descr="" title="" id="135" name="Picture"/>
                  <a:graphic>
                    <a:graphicData uri="http://schemas.openxmlformats.org/drawingml/2006/picture">
                      <pic:pic>
                        <pic:nvPicPr>
                          <pic:cNvPr descr="manuscript_files/figure-docx/fig-ee-e1-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137"/>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138" w:name="tbl-htw-modelError-e23"/>
          <w:p>
            <w:pPr>
              <w:jc w:val="center"/>
            </w:pPr>
            <w:pPr>
              <w:jc w:val="start"/>
              <w:spacing w:before="200"/>
              <w:pStyle w:val="ImageCaption"/>
            </w:pPr>
            <w:r>
              <w:t xml:space="preserve">Table 13: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1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2" w:name="fig-cm-vx-pat-e2-e3"/>
          <w:p>
            <w:pPr>
              <w:pStyle w:val="Compact"/>
              <w:jc w:val="center"/>
            </w:pPr>
            <w:r>
              <w:drawing>
                <wp:inline>
                  <wp:extent cx="5334000" cy="4267200"/>
                  <wp:effectExtent b="0" l="0" r="0" t="0"/>
                  <wp:docPr descr="" title="" id="140" name="Picture"/>
                  <a:graphic>
                    <a:graphicData uri="http://schemas.openxmlformats.org/drawingml/2006/picture">
                      <pic:pic>
                        <pic:nvPicPr>
                          <pic:cNvPr descr="manuscript_files/figure-docx/fig-cm-vx-pat-e2-e3-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Empirical data and Model predictions from Experiment 2 and 3 for the testing stage. Observed data is shown on the right. Bolded bars indicate bands that were trained, non-bold bars indicate extrapolation bands.</w:t>
            </w:r>
          </w:p>
          <w:bookmarkEnd w:id="142"/>
        </w:tc>
      </w:tr>
    </w:tbl>
    <w:p>
      <w:r>
        <w:br w:type="page"/>
      </w:r>
    </w:p>
    <w:tbl>
      <w:tblPr>
        <w:tblStyle w:val="Table"/>
        <w:tblW w:type="pct" w:w="5000"/>
        <w:tblLayout w:type="fixed"/>
        <w:tblLook w:firstRow="0" w:lastRow="0" w:firstColumn="0" w:lastColumn="0" w:noHBand="0" w:noVBand="0" w:val="0000"/>
      </w:tblPr>
      <w:tblGrid>
        <w:gridCol w:w="7920"/>
      </w:tblGrid>
      <w:tr>
        <w:tc>
          <w:tcPr/>
          <w:bookmarkStart w:id="143" w:name="tbl-htw-ee-e23"/>
          <w:p>
            <w:pPr>
              <w:jc w:val="center"/>
            </w:pPr>
            <w:pPr>
              <w:jc w:val="start"/>
              <w:spacing w:before="200"/>
              <w:pStyle w:val="ImageCaption"/>
            </w:pPr>
            <w:r>
              <w:t xml:space="preserve">Table 14: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143"/>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14</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7" w:name="fig-e2_e3_ae"/>
          <w:p>
            <w:pPr>
              <w:pStyle w:val="Compact"/>
              <w:jc w:val="center"/>
            </w:pPr>
            <w:r>
              <w:drawing>
                <wp:inline>
                  <wp:extent cx="5334000" cy="3556000"/>
                  <wp:effectExtent b="0" l="0" r="0" t="0"/>
                  <wp:docPr descr="" title="" id="145" name="Picture"/>
                  <a:graphic>
                    <a:graphicData uri="http://schemas.openxmlformats.org/drawingml/2006/picture">
                      <pic:pic>
                        <pic:nvPicPr>
                          <pic:cNvPr descr="manuscript_files/figure-docx/fig-e2_e3_ae-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Conditional effects of Model (ALM vs EXAM) and Condition (Constant vs. Varied) on Model Error for Experiments 2 and 3 data. Experiment 3 also includes a condition for the order of training vs. testing bands (original order vs. reverse order).</w:t>
            </w:r>
          </w:p>
          <w:bookmarkEnd w:id="147"/>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14</w:t>
        </w:r>
      </w:hyperlink>
      <w:r>
        <w:t xml:space="preserve">). This pattern is clearly illustrated in</w:t>
      </w:r>
      <w:r>
        <w:t xml:space="preserve"> </w:t>
      </w:r>
      <w:hyperlink w:anchor="fig-htw-best-model">
        <w:r>
          <w:rPr>
            <w:rStyle w:val="Hyperlink"/>
          </w:rPr>
          <w:t xml:space="preserve">Figure 24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25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25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151" w:name="fig-htw-best-model"/>
          <w:p>
            <w:pPr>
              <w:pStyle w:val="Compact"/>
              <w:jc w:val="center"/>
            </w:pPr>
            <w:r>
              <w:drawing>
                <wp:inline>
                  <wp:extent cx="5334000" cy="5818909"/>
                  <wp:effectExtent b="0" l="0" r="0" t="0"/>
                  <wp:docPr descr="" title="" id="149" name="Picture"/>
                  <a:graphic>
                    <a:graphicData uri="http://schemas.openxmlformats.org/drawingml/2006/picture">
                      <pic:pic>
                        <pic:nvPicPr>
                          <pic:cNvPr descr="manuscript_files/figure-docx/fig-htw-best-model-1.png" id="150" name="Picture"/>
                          <pic:cNvPicPr>
                            <a:picLocks noChangeArrowheads="1" noChangeAspect="1"/>
                          </pic:cNvPicPr>
                        </pic:nvPicPr>
                        <pic:blipFill>
                          <a:blip r:embed="rId14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Difference in model errors for each participant, with models fit to both train and test data. Positive values favor EXAM, while negative values favor ALM.</w:t>
            </w:r>
          </w:p>
          <w:bookmarkEnd w:id="151"/>
        </w:tc>
      </w:tr>
    </w:tbl>
    <w:tbl>
      <w:tblPr>
        <w:tblStyle w:val="Table"/>
        <w:tblW w:type="pct" w:w="5000"/>
        <w:tblLayout w:type="fixed"/>
        <w:tblLook w:firstRow="0" w:lastRow="0" w:firstColumn="0" w:lastColumn="0" w:noHBand="0" w:noVBand="0" w:val="0000"/>
      </w:tblPr>
      <w:tblGrid>
        <w:gridCol w:w="7920"/>
      </w:tblGrid>
      <w:tr>
        <w:tc>
          <w:tcPr/>
          <w:bookmarkStart w:id="155" w:name="fig-htw-indv-pred"/>
          <w:p>
            <w:pPr>
              <w:pStyle w:val="Compact"/>
              <w:jc w:val="center"/>
            </w:pPr>
            <w:r>
              <w:drawing>
                <wp:inline>
                  <wp:extent cx="5334000" cy="3733800"/>
                  <wp:effectExtent b="0" l="0" r="0" t="0"/>
                  <wp:docPr descr="" title="" id="153" name="Picture"/>
                  <a:graphic>
                    <a:graphicData uri="http://schemas.openxmlformats.org/drawingml/2006/picture">
                      <pic:pic>
                        <pic:nvPicPr>
                          <pic:cNvPr descr="manuscript_files/figure-docx/fig-htw-indv-pred-1.png" id="154" name="Picture"/>
                          <pic:cNvPicPr>
                            <a:picLocks noChangeArrowheads="1" noChangeAspect="1"/>
                          </pic:cNvPicPr>
                        </pic:nvPicPr>
                        <pic:blipFill>
                          <a:blip r:embed="rId15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155"/>
        </w:tc>
      </w:tr>
    </w:tbl>
    <w:bookmarkEnd w:id="156"/>
    <w:bookmarkEnd w:id="157"/>
    <w:bookmarkStart w:id="158" w:name="general-discussion"/>
    <w:p>
      <w:pPr>
        <w:pStyle w:val="Heading1"/>
      </w:pPr>
      <w:r>
        <w:t xml:space="preserve">General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158"/>
    <w:bookmarkStart w:id="160" w:name="supplementary"/>
    <w:p>
      <w:pPr>
        <w:pStyle w:val="Heading1"/>
      </w:pPr>
      <w:r>
        <w:t xml:space="preserve">Supplementary</w:t>
      </w:r>
    </w:p>
    <w:p>
      <w:pPr>
        <w:pStyle w:val="FirstParagraph"/>
      </w:pPr>
      <w:hyperlink r:id="rId159">
        <w:r>
          <w:rPr>
            <w:rStyle w:val="Hyperlink"/>
          </w:rPr>
          <w:t xml:space="preserve">Apppendix</w:t>
        </w:r>
      </w:hyperlink>
      <w:r>
        <w:t xml:space="preserve"> </w:t>
      </w:r>
      <w:r>
        <w:t xml:space="preserve">available at https://tegorman13.github.io/htw/Analysis/e1_Analysis.html</w:t>
      </w:r>
    </w:p>
    <w:bookmarkEnd w:id="160"/>
    <w:bookmarkStart w:id="254" w:name="references"/>
    <w:p>
      <w:pPr>
        <w:pStyle w:val="Heading1"/>
      </w:pPr>
      <w:r>
        <w:t xml:space="preserve">References</w:t>
      </w:r>
    </w:p>
    <w:bookmarkStart w:id="253" w:name="refs"/>
    <w:bookmarkStart w:id="162"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161">
        <w:r>
          <w:rPr>
            <w:rStyle w:val="Hyperlink"/>
          </w:rPr>
          <w:t xml:space="preserve">https://doi.org/10.32614/RJ-2021-048</w:t>
        </w:r>
      </w:hyperlink>
    </w:p>
    <w:bookmarkEnd w:id="162"/>
    <w:bookmarkStart w:id="164"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163">
        <w:r>
          <w:rPr>
            <w:rStyle w:val="Hyperlink"/>
          </w:rPr>
          <w:t xml:space="preserve">https://doi.org/10.1152/jn.00615.2013</w:t>
        </w:r>
      </w:hyperlink>
    </w:p>
    <w:bookmarkEnd w:id="164"/>
    <w:bookmarkStart w:id="166"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165">
        <w:r>
          <w:rPr>
            <w:rStyle w:val="Hyperlink"/>
          </w:rPr>
          <w:t xml:space="preserve">https://doi.org/10.1037/0278-7393.30.1.38</w:t>
        </w:r>
      </w:hyperlink>
    </w:p>
    <w:bookmarkEnd w:id="166"/>
    <w:bookmarkStart w:id="16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167">
        <w:r>
          <w:rPr>
            <w:rStyle w:val="Hyperlink"/>
          </w:rPr>
          <w:t xml:space="preserve">https://doi.org/10.1080/07370008.2015.1067215</w:t>
        </w:r>
      </w:hyperlink>
    </w:p>
    <w:bookmarkEnd w:id="168"/>
    <w:bookmarkStart w:id="17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169">
        <w:r>
          <w:rPr>
            <w:rStyle w:val="Hyperlink"/>
          </w:rPr>
          <w:t xml:space="preserve">https://doi.org/10.1016/j.cub.2009.01.036</w:t>
        </w:r>
      </w:hyperlink>
    </w:p>
    <w:bookmarkEnd w:id="170"/>
    <w:bookmarkStart w:id="17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171">
        <w:r>
          <w:rPr>
            <w:rStyle w:val="Hyperlink"/>
          </w:rPr>
          <w:t xml:space="preserve">https://doi.org/10.1016/0030-5073(74)90002-6</w:t>
        </w:r>
      </w:hyperlink>
    </w:p>
    <w:bookmarkEnd w:id="172"/>
    <w:bookmarkStart w:id="17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173">
        <w:r>
          <w:rPr>
            <w:rStyle w:val="Hyperlink"/>
          </w:rPr>
          <w:t xml:space="preserve">https://doi.org/10.1016/j.jml.2022.104352</w:t>
        </w:r>
      </w:hyperlink>
    </w:p>
    <w:bookmarkEnd w:id="174"/>
    <w:bookmarkStart w:id="176"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175">
        <w:r>
          <w:rPr>
            <w:rStyle w:val="Hyperlink"/>
          </w:rPr>
          <w:t xml:space="preserve">https://doi.org/10.1037/cep0000129</w:t>
        </w:r>
      </w:hyperlink>
    </w:p>
    <w:bookmarkEnd w:id="176"/>
    <w:bookmarkStart w:id="178"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177">
        <w:r>
          <w:rPr>
            <w:rStyle w:val="Hyperlink"/>
          </w:rPr>
          <w:t xml:space="preserve">https://doi.org/10.18637/jss.v080.i01</w:t>
        </w:r>
      </w:hyperlink>
    </w:p>
    <w:bookmarkEnd w:id="178"/>
    <w:bookmarkStart w:id="179"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179"/>
    <w:bookmarkStart w:id="181"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180">
        <w:r>
          <w:rPr>
            <w:rStyle w:val="Hyperlink"/>
          </w:rPr>
          <w:t xml:space="preserve">https://doi.org/10.1002/j.2333-8504.1963.tb00958.x</w:t>
        </w:r>
      </w:hyperlink>
    </w:p>
    <w:bookmarkEnd w:id="181"/>
    <w:bookmarkStart w:id="183"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182">
        <w:r>
          <w:rPr>
            <w:rStyle w:val="Hyperlink"/>
          </w:rPr>
          <w:t xml:space="preserve">https://doi.org/10.2466/pms.1984.58.3.851</w:t>
        </w:r>
      </w:hyperlink>
    </w:p>
    <w:bookmarkEnd w:id="183"/>
    <w:bookmarkStart w:id="185"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184">
        <w:r>
          <w:rPr>
            <w:rStyle w:val="Hyperlink"/>
          </w:rPr>
          <w:t xml:space="preserve">https://doi.org/10.1016/j.cogpsych.2021.101406</w:t>
        </w:r>
      </w:hyperlink>
    </w:p>
    <w:bookmarkEnd w:id="185"/>
    <w:bookmarkStart w:id="187"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186">
        <w:r>
          <w:rPr>
            <w:rStyle w:val="Hyperlink"/>
          </w:rPr>
          <w:t xml:space="preserve">https://doi.org/10.3758/BF03206386</w:t>
        </w:r>
      </w:hyperlink>
    </w:p>
    <w:bookmarkEnd w:id="187"/>
    <w:bookmarkStart w:id="189"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188">
        <w:r>
          <w:rPr>
            <w:rStyle w:val="Hyperlink"/>
          </w:rPr>
          <w:t xml:space="preserve">https://doi.org/10.1111/j.2044-8317.2011.02016.x</w:t>
        </w:r>
      </w:hyperlink>
    </w:p>
    <w:bookmarkEnd w:id="189"/>
    <w:bookmarkStart w:id="191"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190">
        <w:r>
          <w:rPr>
            <w:rStyle w:val="Hyperlink"/>
          </w:rPr>
          <w:t xml:space="preserve">https://doi.org/10.1073/pnas.1912789117</w:t>
        </w:r>
      </w:hyperlink>
    </w:p>
    <w:bookmarkEnd w:id="191"/>
    <w:bookmarkStart w:id="19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192">
        <w:r>
          <w:rPr>
            <w:rStyle w:val="Hyperlink"/>
          </w:rPr>
          <w:t xml:space="preserve">https://doi.org/10.1037/0278-7393.23.4.968</w:t>
        </w:r>
      </w:hyperlink>
    </w:p>
    <w:bookmarkEnd w:id="193"/>
    <w:bookmarkStart w:id="19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194">
        <w:r>
          <w:rPr>
            <w:rStyle w:val="Hyperlink"/>
          </w:rPr>
          <w:t xml:space="preserve">https://doi.org/10.31234/osf.io/ygmcj</w:t>
        </w:r>
      </w:hyperlink>
    </w:p>
    <w:bookmarkEnd w:id="195"/>
    <w:bookmarkStart w:id="19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196">
        <w:r>
          <w:rPr>
            <w:rStyle w:val="Hyperlink"/>
          </w:rPr>
          <w:t xml:space="preserve">https://doi.org/10.1017/CBO9781316272503</w:t>
        </w:r>
      </w:hyperlink>
    </w:p>
    <w:bookmarkEnd w:id="197"/>
    <w:bookmarkStart w:id="19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198">
        <w:r>
          <w:rPr>
            <w:rStyle w:val="Hyperlink"/>
          </w:rPr>
          <w:t xml:space="preserve">https://doi.org/10.1016/j.cogpsych.2022.101491</w:t>
        </w:r>
      </w:hyperlink>
    </w:p>
    <w:bookmarkEnd w:id="199"/>
    <w:bookmarkStart w:id="201"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200">
        <w:r>
          <w:rPr>
            <w:rStyle w:val="Hyperlink"/>
          </w:rPr>
          <w:t xml:space="preserve">https://www.jstor.org/stable/43551124</w:t>
        </w:r>
      </w:hyperlink>
    </w:p>
    <w:bookmarkEnd w:id="201"/>
    <w:bookmarkStart w:id="203"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202">
        <w:r>
          <w:rPr>
            <w:rStyle w:val="Hyperlink"/>
          </w:rPr>
          <w:t xml:space="preserve">https://doi.org/10.3758/s13421-023-01516-1</w:t>
        </w:r>
      </w:hyperlink>
    </w:p>
    <w:bookmarkEnd w:id="203"/>
    <w:bookmarkStart w:id="205"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204">
        <w:r>
          <w:rPr>
            <w:rStyle w:val="Hyperlink"/>
          </w:rPr>
          <w:t xml:space="preserve">https://doi.org/10.3758/s13421-013-0306-9</w:t>
        </w:r>
      </w:hyperlink>
    </w:p>
    <w:bookmarkEnd w:id="205"/>
    <w:bookmarkStart w:id="207"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206">
        <w:r>
          <w:rPr>
            <w:rStyle w:val="Hyperlink"/>
          </w:rPr>
          <w:t xml:space="preserve">https://doi.org/10.1037/0033-295X.111.4.1072</w:t>
        </w:r>
      </w:hyperlink>
    </w:p>
    <w:bookmarkEnd w:id="207"/>
    <w:bookmarkStart w:id="209"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208">
        <w:r>
          <w:rPr>
            <w:rStyle w:val="Hyperlink"/>
          </w:rPr>
          <w:t xml:space="preserve">https://doi.org/10.1111/cogs.12738</w:t>
        </w:r>
      </w:hyperlink>
    </w:p>
    <w:bookmarkEnd w:id="209"/>
    <w:bookmarkStart w:id="211"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210">
        <w:r>
          <w:rPr>
            <w:rStyle w:val="Hyperlink"/>
          </w:rPr>
          <w:t xml:space="preserve">https://doi.org/10.1037/0278-7393.17.5.811</w:t>
        </w:r>
      </w:hyperlink>
    </w:p>
    <w:bookmarkEnd w:id="211"/>
    <w:bookmarkStart w:id="213"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212">
        <w:r>
          <w:rPr>
            <w:rStyle w:val="Hyperlink"/>
          </w:rPr>
          <w:t xml:space="preserve">https://doi.org/10.1037/0033-295X.99.1.22</w:t>
        </w:r>
      </w:hyperlink>
    </w:p>
    <w:bookmarkEnd w:id="213"/>
    <w:bookmarkStart w:id="215"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214">
        <w:r>
          <w:rPr>
            <w:rStyle w:val="Hyperlink"/>
          </w:rPr>
          <w:t xml:space="preserve">https://doi.org/10.1037/0278-7393.32.5.1019</w:t>
        </w:r>
      </w:hyperlink>
    </w:p>
    <w:bookmarkEnd w:id="215"/>
    <w:bookmarkStart w:id="217"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218">
        <w:r>
          <w:rPr>
            <w:rStyle w:val="Hyperlink"/>
          </w:rPr>
          <w:t xml:space="preserve">https://doi.org/10.1037/a0013982</w:t>
        </w:r>
      </w:hyperlink>
    </w:p>
    <w:bookmarkEnd w:id="219"/>
    <w:bookmarkStart w:id="221"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220">
        <w:r>
          <w:rPr>
            <w:rStyle w:val="Hyperlink"/>
          </w:rPr>
          <w:t xml:space="preserve">https://doi.org/10.1037/a0032184</w:t>
        </w:r>
      </w:hyperlink>
    </w:p>
    <w:bookmarkEnd w:id="221"/>
    <w:bookmarkStart w:id="223"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222">
        <w:r>
          <w:rPr>
            <w:rStyle w:val="Hyperlink"/>
          </w:rPr>
          <w:t xml:space="preserve">https://doi.org/10.1016/j.jmp.2022.102691</w:t>
        </w:r>
      </w:hyperlink>
    </w:p>
    <w:bookmarkEnd w:id="223"/>
    <w:bookmarkStart w:id="22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224">
        <w:r>
          <w:rPr>
            <w:rStyle w:val="Hyperlink"/>
          </w:rPr>
          <w:t xml:space="preserve">https://doi.org/10.1017/S0140525X00003356</w:t>
        </w:r>
      </w:hyperlink>
    </w:p>
    <w:bookmarkEnd w:id="225"/>
    <w:bookmarkStart w:id="227"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226">
        <w:r>
          <w:rPr>
            <w:rStyle w:val="Hyperlink"/>
          </w:rPr>
          <w:t xml:space="preserve">https://doi.org/10.1177/0956797610389189</w:t>
        </w:r>
      </w:hyperlink>
    </w:p>
    <w:bookmarkEnd w:id="227"/>
    <w:bookmarkStart w:id="22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228">
        <w:r>
          <w:rPr>
            <w:rStyle w:val="Hyperlink"/>
          </w:rPr>
          <w:t xml:space="preserve">https://doi.org/10.1037/h0025953</w:t>
        </w:r>
      </w:hyperlink>
    </w:p>
    <w:bookmarkEnd w:id="229"/>
    <w:bookmarkStart w:id="231"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230">
        <w:r>
          <w:rPr>
            <w:rStyle w:val="Hyperlink"/>
          </w:rPr>
          <w:t xml:space="preserve">https://doi.org/10.1016/j.tics.2022.03.007</w:t>
        </w:r>
      </w:hyperlink>
    </w:p>
    <w:bookmarkEnd w:id="231"/>
    <w:bookmarkStart w:id="23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232">
        <w:r>
          <w:rPr>
            <w:rStyle w:val="Hyperlink"/>
          </w:rPr>
          <w:t xml:space="preserve">https://doi.org/10.1016/S0926-6410(01)00077-5</w:t>
        </w:r>
      </w:hyperlink>
    </w:p>
    <w:bookmarkEnd w:id="233"/>
    <w:bookmarkStart w:id="235"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234">
        <w:r>
          <w:rPr>
            <w:rStyle w:val="Hyperlink"/>
          </w:rPr>
          <w:t xml:space="preserve">https://doi.org/10.1016/j.actpsy.2021.103356</w:t>
        </w:r>
      </w:hyperlink>
    </w:p>
    <w:bookmarkEnd w:id="235"/>
    <w:bookmarkStart w:id="237"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236">
        <w:r>
          <w:rPr>
            <w:rStyle w:val="Hyperlink"/>
          </w:rPr>
          <w:t xml:space="preserve">https://doi.org/10.1037/h0076770</w:t>
        </w:r>
      </w:hyperlink>
    </w:p>
    <w:bookmarkEnd w:id="237"/>
    <w:bookmarkStart w:id="239"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238">
        <w:r>
          <w:rPr>
            <w:rStyle w:val="Hyperlink"/>
          </w:rPr>
          <w:t xml:space="preserve">https://doi.org/10.1162/opmi_a_00032</w:t>
        </w:r>
      </w:hyperlink>
    </w:p>
    <w:bookmarkEnd w:id="239"/>
    <w:bookmarkStart w:id="241"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240">
        <w:r>
          <w:rPr>
            <w:rStyle w:val="Hyperlink"/>
          </w:rPr>
          <w:t xml:space="preserve">https://doi.org/10.1177/1745691615569000</w:t>
        </w:r>
      </w:hyperlink>
    </w:p>
    <w:bookmarkEnd w:id="241"/>
    <w:bookmarkStart w:id="242"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242"/>
    <w:bookmarkStart w:id="244"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243">
        <w:r>
          <w:rPr>
            <w:rStyle w:val="Hyperlink"/>
          </w:rPr>
          <w:t xml:space="preserve">https://doi.org/10.1016/j.jmp.2014.10.001</w:t>
        </w:r>
      </w:hyperlink>
    </w:p>
    <w:bookmarkEnd w:id="244"/>
    <w:bookmarkStart w:id="246"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245">
        <w:r>
          <w:rPr>
            <w:rStyle w:val="Hyperlink"/>
          </w:rPr>
          <w:t xml:space="preserve">https://doi.org/10.1016/j.jmp.2012.02.005</w:t>
        </w:r>
      </w:hyperlink>
    </w:p>
    <w:bookmarkEnd w:id="246"/>
    <w:bookmarkStart w:id="248"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247">
        <w:r>
          <w:rPr>
            <w:rStyle w:val="Hyperlink"/>
          </w:rPr>
          <w:t xml:space="preserve">https://doi.org/10.1371/journal.pcbi.1004172</w:t>
        </w:r>
      </w:hyperlink>
    </w:p>
    <w:bookmarkEnd w:id="248"/>
    <w:bookmarkStart w:id="250"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249">
        <w:r>
          <w:rPr>
            <w:rStyle w:val="Hyperlink"/>
          </w:rPr>
          <w:t xml:space="preserve">https://doi.org/10.1016/0167-9457(90)90010-B</w:t>
        </w:r>
      </w:hyperlink>
    </w:p>
    <w:bookmarkEnd w:id="250"/>
    <w:bookmarkStart w:id="252"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251">
        <w:r>
          <w:rPr>
            <w:rStyle w:val="Hyperlink"/>
          </w:rPr>
          <w:t xml:space="preserve">https://doi.org/10.1080/02701367.1987.10608114</w:t>
        </w:r>
      </w:hyperlink>
    </w:p>
    <w:bookmarkEnd w:id="252"/>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112" Target="media/rId112.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20" Target="media/rId20.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67" Target="media/rId67.png" /><Relationship Type="http://schemas.openxmlformats.org/officeDocument/2006/relationships/image" Id="rId144" Target="media/rId144.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134" Target="media/rId13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Training Variability on Visuomotor Function Learning and Extrapolation</dc:title>
  <dc:creator>Thomas E. Gorman; Robert L. Goldstone</dc:creator>
  <cp:keywords>Learning Generalization, Function Learning, Visuomotor learning, Training Variability</cp:keywords>
  <dcterms:created xsi:type="dcterms:W3CDTF">2024-07-09T20:51:35Z</dcterms:created>
  <dcterms:modified xsi:type="dcterms:W3CDTF">2024-07-09T20:51:35Z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ode-repo">
    <vt:lpwstr>Access the code, data, and analysis at https://github.com/tegorman13/htw</vt:lpwstr>
  </property>
  <property fmtid="{D5CDD505-2E9C-101B-9397-08002B2CF9AE}" pid="9" name="csl">
    <vt:lpwstr>../Assets/Bib/apa7.csl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page-layout">
    <vt:lpwstr>full</vt:lpwstr>
  </property>
  <property fmtid="{D5CDD505-2E9C-101B-9397-08002B2CF9AE}" pid="15" name="toc-title">
    <vt:lpwstr>Table of contents</vt:lpwstr>
  </property>
</Properties>
</file>