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62.png" ContentType="image/png"/>
  <Override PartName="/word/media/rId112.png" ContentType="image/png"/>
  <Override PartName="/word/media/rId130.png" ContentType="image/png"/>
  <Override PartName="/word/media/rId139.png" ContentType="image/png"/>
  <Override PartName="/word/media/rId20.png" ContentType="image/png"/>
  <Override PartName="/word/media/rId55.png" ContentType="image/png"/>
  <Override PartName="/word/media/rId46.png" ContentType="image/png"/>
  <Override PartName="/word/media/rId51.png" ContentType="image/png"/>
  <Override PartName="/word/media/rId40.png" ContentType="image/png"/>
  <Override PartName="/word/media/rId82.png" ContentType="image/png"/>
  <Override PartName="/word/media/rId73.png" ContentType="image/png"/>
  <Override PartName="/word/media/rId78.png" ContentType="image/png"/>
  <Override PartName="/word/media/rId67.png" ContentType="image/png"/>
  <Override PartName="/word/media/rId144.png" ContentType="image/png"/>
  <Override PartName="/word/media/rId105.png" ContentType="image/png"/>
  <Override PartName="/word/media/rId96.png" ContentType="image/png"/>
  <Override PartName="/word/media/rId101.png" ContentType="image/png"/>
  <Override PartName="/word/media/rId91.png" ContentType="image/png"/>
  <Override PartName="/word/media/rId134.png" ContentType="image/png"/>
  <Override PartName="/word/media/rId148.png" ContentType="image/png"/>
  <Override PartName="/word/media/rId152.png" ContentType="image/png"/>
  <Override PartName="/word/media/rId122.png" ContentType="image/png"/>
  <Override PartName="/word/media/rId1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Impact</w:t>
      </w:r>
      <w:r>
        <w:t xml:space="preserve"> </w:t>
      </w:r>
      <w:r>
        <w:t xml:space="preserve">of</w:t>
      </w:r>
      <w:r>
        <w:t xml:space="preserve"> </w:t>
      </w:r>
      <w:r>
        <w:t xml:space="preserve">Training</w:t>
      </w:r>
      <w:r>
        <w:t xml:space="preserve"> </w:t>
      </w:r>
      <w:r>
        <w:t xml:space="preserve">Variability</w:t>
      </w:r>
      <w:r>
        <w:t xml:space="preserve"> </w:t>
      </w:r>
      <w:r>
        <w:t xml:space="preserve">on</w:t>
      </w:r>
      <w:r>
        <w:t xml:space="preserve"> </w:t>
      </w:r>
      <w:r>
        <w:t xml:space="preserve">Visuomotor</w:t>
      </w:r>
      <w:r>
        <w:t xml:space="preserve"> </w:t>
      </w:r>
      <w:r>
        <w:t xml:space="preserve">Function</w:t>
      </w:r>
      <w:r>
        <w:t xml:space="preserve"> </w:t>
      </w:r>
      <w:r>
        <w:t xml:space="preserve">Learning</w:t>
      </w:r>
      <w:r>
        <w:t xml:space="preserve"> </w:t>
      </w:r>
      <w:r>
        <w:t xml:space="preserve">and</w:t>
      </w:r>
      <w:r>
        <w:t xml:space="preserve"> </w:t>
      </w:r>
      <w:r>
        <w:t xml:space="preserve">Extrapolation</w:t>
      </w:r>
    </w:p>
    <w:p>
      <w:pPr>
        <w:pStyle w:val="Author"/>
      </w:pPr>
      <w:r>
        <w:t xml:space="preserve">Thomas</w:t>
      </w:r>
      <w:r>
        <w:t xml:space="preserve"> </w:t>
      </w:r>
      <w:r>
        <w:t xml:space="preserve">E.</w:t>
      </w:r>
      <w:r>
        <w:t xml:space="preserve"> </w:t>
      </w:r>
      <w:r>
        <w:t xml:space="preserve">Gorman</w:t>
      </w:r>
    </w:p>
    <w:p>
      <w:pPr>
        <w:pStyle w:val="Author"/>
      </w:pPr>
      <w:r>
        <w:t xml:space="preserve">Robert</w:t>
      </w:r>
      <w:r>
        <w:t xml:space="preserve"> </w:t>
      </w:r>
      <w:r>
        <w:t xml:space="preserve">L.</w:t>
      </w:r>
      <w:r>
        <w:t xml:space="preserve"> </w:t>
      </w:r>
      <w:r>
        <w:t xml:space="preserve">Goldstone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7" w:name="introduction"/>
    <w:p>
      <w:pPr>
        <w:pStyle w:val="Heading1"/>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w:t>
      </w:r>
      <w:hyperlink w:anchor="ref-ravivHowVariabilityShapes2022">
        <w:r>
          <w:rPr>
            <w:rStyle w:val="Hyperlink"/>
          </w:rPr>
          <w:t xml:space="preserve">Raviv et al., 2022</w:t>
        </w:r>
      </w:hyperlink>
      <w:r>
        <w:t xml:space="preserve">)</w:t>
      </w:r>
      <w:r>
        <w:t xml:space="preserve">. The influence of training variation has been studied in numerous domains, including category learning</w:t>
      </w:r>
      <w:r>
        <w:t xml:space="preserve"> </w:t>
      </w:r>
      <w:r>
        <w:t xml:space="preserve">(</w:t>
      </w:r>
      <w:hyperlink w:anchor="ref-cohenCategoryVariabilityExemplar2001">
        <w:r>
          <w:rPr>
            <w:rStyle w:val="Hyperlink"/>
          </w:rPr>
          <w:t xml:space="preserve">Cohen et al., 2001</w:t>
        </w:r>
      </w:hyperlink>
      <w:r>
        <w:t xml:space="preserve">;</w:t>
      </w:r>
      <w:r>
        <w:t xml:space="preserve"> </w:t>
      </w:r>
      <w:hyperlink w:anchor="ref-posnerGenesisAbstractIdeas1968">
        <w:r>
          <w:rPr>
            <w:rStyle w:val="Hyperlink"/>
          </w:rPr>
          <w:t xml:space="preserve">Posner &amp; Keele, 1968</w:t>
        </w:r>
      </w:hyperlink>
      <w:r>
        <w:t xml:space="preserve">)</w:t>
      </w:r>
      <w:r>
        <w:t xml:space="preserve">, visuomotor learning</w:t>
      </w:r>
      <w:r>
        <w:t xml:space="preserve"> </w:t>
      </w:r>
      <w:r>
        <w:t xml:space="preserve">(</w:t>
      </w:r>
      <w:hyperlink w:anchor="ref-bernikerEffectsTrainingBreadth2014">
        <w:r>
          <w:rPr>
            <w:rStyle w:val="Hyperlink"/>
          </w:rPr>
          <w:t xml:space="preserve">Berniker et al., 2014</w:t>
        </w:r>
      </w:hyperlink>
      <w:r>
        <w:t xml:space="preserve">;</w:t>
      </w:r>
      <w:r>
        <w:t xml:space="preserve"> </w:t>
      </w:r>
      <w:hyperlink w:anchor="ref-schmidtSchemaTheoryDiscrete1975">
        <w:r>
          <w:rPr>
            <w:rStyle w:val="Hyperlink"/>
          </w:rPr>
          <w:t xml:space="preserve">Schmidt, 1975</w:t>
        </w:r>
      </w:hyperlink>
      <w:r>
        <w:t xml:space="preserve">)</w:t>
      </w:r>
      <w:r>
        <w:t xml:space="preserve">, language learning</w:t>
      </w:r>
      <w:r>
        <w:t xml:space="preserve"> </w:t>
      </w:r>
      <w:r>
        <w:t xml:space="preserve">(</w:t>
      </w:r>
      <w:hyperlink w:anchor="ref-perryLearnLocallyThink2010">
        <w:r>
          <w:rPr>
            <w:rStyle w:val="Hyperlink"/>
          </w:rPr>
          <w:t xml:space="preserve">Perry et al., 2010</w:t>
        </w:r>
      </w:hyperlink>
      <w:r>
        <w:t xml:space="preserve">)</w:t>
      </w:r>
      <w:r>
        <w:t xml:space="preserve">, and education</w:t>
      </w:r>
      <w:r>
        <w:t xml:space="preserve"> </w:t>
      </w:r>
      <w:r>
        <w:t xml:space="preserve">(</w:t>
      </w:r>
      <w:hyperlink w:anchor="ref-braithwaiteEffectsVariationPrior2015">
        <w:r>
          <w:rPr>
            <w:rStyle w:val="Hyperlink"/>
          </w:rPr>
          <w:t xml:space="preserve">Braithwaite &amp; Goldstone, 2015</w:t>
        </w:r>
      </w:hyperlink>
      <w:r>
        <w:t xml:space="preserve">;</w:t>
      </w:r>
      <w:r>
        <w:t xml:space="preserve"> </w:t>
      </w:r>
      <w:hyperlink w:anchor="ref-guoEffectsExampleVariability2014">
        <w:r>
          <w:rPr>
            <w:rStyle w:val="Hyperlink"/>
          </w:rPr>
          <w:t xml:space="preserve">Guo et al., 2014</w:t>
        </w:r>
      </w:hyperlink>
      <w:r>
        <w:t xml:space="preserve">)</w:t>
      </w:r>
      <w:r>
        <w:t xml:space="preserve">. The pattern of results is complex, with numerous studies finding both beneficial</w:t>
      </w:r>
      <w:r>
        <w:t xml:space="preserve"> </w:t>
      </w:r>
      <w:r>
        <w:t xml:space="preserve">(</w:t>
      </w:r>
      <w:hyperlink w:anchor="ref-braunMotorTaskVariation2009">
        <w:r>
          <w:rPr>
            <w:rStyle w:val="Hyperlink"/>
          </w:rPr>
          <w:t xml:space="preserve">Braun et al., 2009</w:t>
        </w:r>
      </w:hyperlink>
      <w:r>
        <w:t xml:space="preserve">;</w:t>
      </w:r>
      <w:r>
        <w:t xml:space="preserve"> </w:t>
      </w:r>
      <w:hyperlink w:anchor="Xb08d1d2c70db9470b6217bc6c358d6ea58e7916">
        <w:r>
          <w:rPr>
            <w:rStyle w:val="Hyperlink"/>
          </w:rPr>
          <w:t xml:space="preserve">Catalano &amp; Kleiner, 1984</w:t>
        </w:r>
      </w:hyperlink>
      <w:r>
        <w:t xml:space="preserve">;</w:t>
      </w:r>
      <w:r>
        <w:t xml:space="preserve"> </w:t>
      </w:r>
      <w:hyperlink w:anchor="ref-rollerVariablePracticeLenses2001">
        <w:r>
          <w:rPr>
            <w:rStyle w:val="Hyperlink"/>
          </w:rPr>
          <w:t xml:space="preserve">Roller et al., 2001</w:t>
        </w:r>
      </w:hyperlink>
      <w:r>
        <w:t xml:space="preserve">)</w:t>
      </w:r>
      <w:r>
        <w:t xml:space="preserve">, as well as null or negative effects</w:t>
      </w:r>
      <w:r>
        <w:t xml:space="preserve"> </w:t>
      </w:r>
      <w:r>
        <w:t xml:space="preserve">(</w:t>
      </w:r>
      <w:hyperlink w:anchor="ref-brekelmansDoesHighVariability2022">
        <w:r>
          <w:rPr>
            <w:rStyle w:val="Hyperlink"/>
          </w:rPr>
          <w:t xml:space="preserve">Brekelmans et al., 2022</w:t>
        </w:r>
      </w:hyperlink>
      <w:r>
        <w:t xml:space="preserve">;</w:t>
      </w:r>
      <w:r>
        <w:t xml:space="preserve"> </w:t>
      </w:r>
      <w:hyperlink w:anchor="ref-huHighvariabilityTrainingDoes2024">
        <w:r>
          <w:rPr>
            <w:rStyle w:val="Hyperlink"/>
          </w:rPr>
          <w:t xml:space="preserve">Hu &amp; Nosofsky, 2024</w:t>
        </w:r>
      </w:hyperlink>
      <w:r>
        <w:t xml:space="preserve">;</w:t>
      </w:r>
      <w:r>
        <w:t xml:space="preserve"> </w:t>
      </w:r>
      <w:hyperlink w:anchor="ref-vanrossumSchmidtSchemaTheory1990">
        <w:r>
          <w:rPr>
            <w:rStyle w:val="Hyperlink"/>
          </w:rPr>
          <w:t xml:space="preserve">Van Rossum, 1990</w:t>
        </w:r>
      </w:hyperlink>
      <w:r>
        <w:t xml:space="preserve">)</w:t>
      </w:r>
      <w:r>
        <w:t xml:space="preserve">. The present study seeks to contribute to the large body of existing research by examining the influence of variability in visuomotor function learning - a domain in which it has been relatively under-studied.</w:t>
      </w:r>
    </w:p>
    <w:bookmarkStart w:id="24" w:name="function-learning-and-extrapolation"/>
    <w:p>
      <w:pPr>
        <w:pStyle w:val="Heading2"/>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w:t>
      </w:r>
      <w:hyperlink w:anchor="ref-deloshExtrapolationSineQua1997">
        <w:r>
          <w:rPr>
            <w:rStyle w:val="Hyperlink"/>
          </w:rPr>
          <w:t xml:space="preserve">DeLosh et al., 1997</w:t>
        </w:r>
      </w:hyperlink>
      <w:r>
        <w:t xml:space="preserve">;</w:t>
      </w:r>
      <w:r>
        <w:t xml:space="preserve"> </w:t>
      </w:r>
      <w:hyperlink w:anchor="ref-mcdanielEffectsSpacedMassed2013">
        <w:r>
          <w:rPr>
            <w:rStyle w:val="Hyperlink"/>
          </w:rPr>
          <w:t xml:space="preserve">McDaniel et al., 2013</w:t>
        </w:r>
      </w:hyperlink>
      <w:r>
        <w:t xml:space="preserve">)</w:t>
      </w:r>
      <w:r>
        <w:t xml:space="preserve">, or situations where observers are presented with an incomplete scatterplot or line graph and make predictions about regions of the plot that do not contain data</w:t>
      </w:r>
      <w:r>
        <w:t xml:space="preserve"> </w:t>
      </w:r>
      <w:r>
        <w:t xml:space="preserve">(</w:t>
      </w:r>
      <w:hyperlink w:anchor="ref-ciccioneCanHumansPerform2021">
        <w:r>
          <w:rPr>
            <w:rStyle w:val="Hyperlink"/>
          </w:rPr>
          <w:t xml:space="preserve">Ciccione &amp; Dehaene, 2021</w:t>
        </w:r>
      </w:hyperlink>
      <w:r>
        <w:t xml:space="preserve">;</w:t>
      </w:r>
      <w:r>
        <w:t xml:space="preserve"> </w:t>
      </w:r>
      <w:hyperlink w:anchor="Xe094a604fd6edcac7c52c0c0714bd8ec909eefe">
        <w:r>
          <w:rPr>
            <w:rStyle w:val="Hyperlink"/>
          </w:rPr>
          <w:t xml:space="preserve">Courrieu, 2012</w:t>
        </w:r>
      </w:hyperlink>
      <w:r>
        <w:t xml:space="preserve">;</w:t>
      </w:r>
      <w:r>
        <w:t xml:space="preserve"> </w:t>
      </w:r>
      <w:hyperlink w:anchor="Xdf977ba0e3f22e132b04d26319edfec1b78769d">
        <w:r>
          <w:rPr>
            <w:rStyle w:val="Hyperlink"/>
          </w:rPr>
          <w:t xml:space="preserve">Said &amp; Fischer, 2021</w:t>
        </w:r>
      </w:hyperlink>
      <w:r>
        <w:t xml:space="preserve">;</w:t>
      </w:r>
      <w:r>
        <w:t xml:space="preserve"> </w:t>
      </w:r>
      <w:hyperlink w:anchor="X072c1cde369bcb8ccfc8c60c4e4877236c1710d">
        <w:r>
          <w:rPr>
            <w:rStyle w:val="Hyperlink"/>
          </w:rPr>
          <w:t xml:space="preserve">Schulz et al., 2020</w:t>
        </w:r>
      </w:hyperlink>
      <w:r>
        <w:t xml:space="preserve">)</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w:t>
      </w:r>
      <w:hyperlink w:anchor="Xb2b0daf1e6781bc060b3e141b44cb8a1f070890">
        <w:r>
          <w:rPr>
            <w:rStyle w:val="Hyperlink"/>
          </w:rPr>
          <w:t xml:space="preserve">1963</w:t>
        </w:r>
      </w:hyperlink>
      <w:r>
        <w:t xml:space="preserve">)</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w:t>
      </w:r>
      <w:hyperlink w:anchor="ref-brehmerHypothesesRelationsScaled1974">
        <w:r>
          <w:rPr>
            <w:rStyle w:val="Hyperlink"/>
          </w:rPr>
          <w:t xml:space="preserve">1974</w:t>
        </w:r>
      </w:hyperlink>
      <w:r>
        <w:t xml:space="preserve">)</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w:t>
      </w:r>
      <w:hyperlink w:anchor="ref-kohFunctionLearningInduction1991">
        <w:r>
          <w:rPr>
            <w:rStyle w:val="Hyperlink"/>
          </w:rPr>
          <w:t xml:space="preserve">1991</w:t>
        </w:r>
      </w:hyperlink>
      <w:r>
        <w:t xml:space="preserve">)</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w:t>
      </w:r>
      <w:hyperlink w:anchor="ref-deloshExtrapolationSineQua1997">
        <w:r>
          <w:rPr>
            <w:rStyle w:val="Hyperlink"/>
          </w:rPr>
          <w:t xml:space="preserve">1997</w:t>
        </w:r>
      </w:hyperlink>
      <w:r>
        <w:t xml:space="preserve">)</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w:t>
      </w:r>
      <w:hyperlink w:anchor="ref-brehmerHypothesesRelationsScaled1974">
        <w:r>
          <w:rPr>
            <w:rStyle w:val="Hyperlink"/>
          </w:rPr>
          <w:t xml:space="preserve">Brehmer, 1974</w:t>
        </w:r>
      </w:hyperlink>
      <w:r>
        <w:t xml:space="preserve">;</w:t>
      </w:r>
      <w:r>
        <w:t xml:space="preserve"> </w:t>
      </w:r>
      <w:hyperlink w:anchor="Xb2b0daf1e6781bc060b3e141b44cb8a1f070890">
        <w:r>
          <w:rPr>
            <w:rStyle w:val="Hyperlink"/>
          </w:rPr>
          <w:t xml:space="preserve">Carroll, 1963</w:t>
        </w:r>
      </w:hyperlink>
      <w:r>
        <w:t xml:space="preserve">)</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w:t>
      </w:r>
      <w:hyperlink w:anchor="ref-kohFunctionLearningInduction1991">
        <w:r>
          <w:rPr>
            <w:rStyle w:val="Hyperlink"/>
          </w:rPr>
          <w:t xml:space="preserve">Koh &amp; Meyer, 1991</w:t>
        </w:r>
      </w:hyperlink>
      <w:r>
        <w:t xml:space="preserve">)</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 layer connectionist model adapted from the ALCOVE model in the category learning literature</w:t>
      </w:r>
      <w:r>
        <w:t xml:space="preserve"> </w:t>
      </w:r>
      <w:r>
        <w:t xml:space="preserve">(</w:t>
      </w:r>
      <w:hyperlink w:anchor="Xdb7e4c44c36e324f43a0c9fdfdb4efa7d250832">
        <w:r>
          <w:rPr>
            <w:rStyle w:val="Hyperlink"/>
          </w:rPr>
          <w:t xml:space="preserve">Kruschke, 1992</w:t>
        </w:r>
      </w:hyperlink>
      <w:r>
        <w:t xml:space="preserve">)</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17</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w:t>
      </w:r>
      <w:hyperlink w:anchor="Xa44c513e8b953936c2872f16be938b25afbc6c8">
        <w:r>
          <w:rPr>
            <w:rStyle w:val="Hyperlink"/>
          </w:rPr>
          <w:t xml:space="preserve">Bott &amp; Heit, 2004</w:t>
        </w:r>
      </w:hyperlink>
      <w:r>
        <w:t xml:space="preserve">)</w:t>
      </w:r>
      <w:r>
        <w:t xml:space="preserve"> </w:t>
      </w:r>
      <w:r>
        <w:t xml:space="preserve">or to scenarios where different functions apply to different regions of the input space</w:t>
      </w:r>
      <w:r>
        <w:t xml:space="preserve"> </w:t>
      </w:r>
      <w:r>
        <w:t xml:space="preserve">(</w:t>
      </w:r>
      <w:hyperlink w:anchor="ref-kalishPopulationLinearExperts2004">
        <w:r>
          <w:rPr>
            <w:rStyle w:val="Hyperlink"/>
          </w:rPr>
          <w:t xml:space="preserve">Kalish et al., 2004</w:t>
        </w:r>
      </w:hyperlink>
      <w:r>
        <w:t xml:space="preserve">)</w:t>
      </w:r>
      <w:r>
        <w:t xml:space="preserve">, though EXAM has been shown to provide a good account of human learning and extrapolation in tasks with bi-linear, V-shaped input spaces</w:t>
      </w:r>
      <w:r>
        <w:t xml:space="preserve"> </w:t>
      </w:r>
      <w:r>
        <w:t xml:space="preserve">(</w:t>
      </w:r>
      <w:hyperlink w:anchor="X11f5d5b369bd61c109baf65d1e55e39f773ac1b">
        <w:r>
          <w:rPr>
            <w:rStyle w:val="Hyperlink"/>
          </w:rPr>
          <w:t xml:space="preserve">Mcdaniel et al., 2009</w:t>
        </w:r>
      </w:hyperlink>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23" w:name="fig-delosh-extrap"/>
          <w:p>
            <w:pPr>
              <w:pStyle w:val="Compact"/>
              <w:jc w:val="center"/>
            </w:pPr>
            <w:r>
              <w:drawing>
                <wp:inline>
                  <wp:extent cx="5334000" cy="2133600"/>
                  <wp:effectExtent b="0" l="0" r="0" t="0"/>
                  <wp:docPr descr="" title="" id="21" name="Picture"/>
                  <a:graphic>
                    <a:graphicData uri="http://schemas.openxmlformats.org/drawingml/2006/picture">
                      <pic:pic>
                        <pic:nvPicPr>
                          <pic:cNvPr descr="manuscript_files/figure-docx/fig-delosh-extrap-1.png" id="22" name="Picture"/>
                          <pic:cNvPicPr>
                            <a:picLocks noChangeArrowheads="1" noChangeAspect="1"/>
                          </pic:cNvPicPr>
                        </pic:nvPicPr>
                        <pic:blipFill>
                          <a:blip r:embed="rId20"/>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generalization patterns of human particpiants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23"/>
        </w:tc>
      </w:tr>
    </w:tbl>
    <w:bookmarkEnd w:id="24"/>
    <w:bookmarkStart w:id="25" w:name="variability-and-function-learning"/>
    <w:p>
      <w:pPr>
        <w:pStyle w:val="Heading2"/>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w:t>
      </w:r>
      <w:hyperlink w:anchor="ref-deloshExtrapolationSineQua1997">
        <w:r>
          <w:rPr>
            <w:rStyle w:val="Hyperlink"/>
          </w:rPr>
          <w:t xml:space="preserve">1997</w:t>
        </w:r>
      </w:hyperlink>
      <w:r>
        <w:t xml:space="preserve">)</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w:t>
      </w:r>
      <w:hyperlink w:anchor="ref-vandamMappingShapeVisuomotor2015">
        <w:r>
          <w:rPr>
            <w:rStyle w:val="Hyperlink"/>
          </w:rPr>
          <w:t xml:space="preserve">2015</w:t>
        </w:r>
      </w:hyperlink>
      <w:r>
        <w:t xml:space="preserve">)</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25"/>
    <w:bookmarkStart w:id="26" w:name="overview-of-present-study"/>
    <w:p>
      <w:pPr>
        <w:pStyle w:val="Heading2"/>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26"/>
    <w:bookmarkEnd w:id="27"/>
    <w:bookmarkStart w:id="61" w:name="experiment-1"/>
    <w:p>
      <w:pPr>
        <w:pStyle w:val="Heading1"/>
      </w:pPr>
      <w:r>
        <w:t xml:space="preserve">Experiment 1</w:t>
      </w:r>
    </w:p>
    <w:bookmarkStart w:id="37" w:name="methods"/>
    <w:p>
      <w:pPr>
        <w:pStyle w:val="Heading2"/>
      </w:pPr>
      <w:r>
        <w:t xml:space="preserve">Methods</w:t>
      </w:r>
    </w:p>
    <w:p>
      <w:pPr>
        <w:pStyle w:val="FirstParagraph"/>
      </w:pPr>
      <w:r>
        <w:rPr>
          <w:i/>
          <w:iCs/>
        </w:rPr>
        <w:t xml:space="preserve">Participants</w:t>
      </w:r>
      <w:r>
        <w:t xml:space="preserve"> </w:t>
      </w:r>
      <w:r>
        <w:t xml:space="preserve">A total of 156 participants were recruited from the Indiana University Introductory Psychology Course.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task was programmed in Javascript, making heavy use of the</w:t>
      </w:r>
      <w:r>
        <w:t xml:space="preserve"> </w:t>
      </w:r>
      <w:hyperlink r:id="rId28">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target speed indicated at the top of the screen (see</w:t>
      </w:r>
      <w:r>
        <w:t xml:space="preserve"> </w:t>
      </w:r>
      <w:hyperlink w:anchor="fig-htw-task">
        <w:r>
          <w:rPr>
            <w:rStyle w:val="Hyperlink"/>
          </w:rPr>
          <w:t xml:space="preserve">Figure 2</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from the target band. Participants were instructed that only the x velocity component of the ball was relevant to the task. The y velocity, or the location at which the ball struck the wall, had no influence on the task feedback.</w:t>
      </w:r>
    </w:p>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32" w:name="fig-htw-task"/>
          <w:p>
            <w:pPr>
              <w:pStyle w:val="Compact"/>
              <w:jc w:val="center"/>
            </w:pPr>
            <w:r>
              <w:drawing>
                <wp:inline>
                  <wp:extent cx="3200400" cy="2875097"/>
                  <wp:effectExtent b="0" l="0" r="0" t="0"/>
                  <wp:docPr descr="" title="" id="30" name="Picture"/>
                  <a:graphic>
                    <a:graphicData uri="http://schemas.openxmlformats.org/drawingml/2006/picture">
                      <pic:pic>
                        <pic:nvPicPr>
                          <pic:cNvPr descr="../Assets/figs/htw_task_fig.png" id="31" name="Picture"/>
                          <pic:cNvPicPr>
                            <a:picLocks noChangeArrowheads="1" noChangeAspect="1"/>
                          </pic:cNvPicPr>
                        </pic:nvPicPr>
                        <pic:blipFill>
                          <a:blip r:embed="rId29"/>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32"/>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3</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w:t>
      </w:r>
      <w:r>
        <w:t xml:space="preserve"> </w:t>
      </w:r>
      <w:r>
        <w:t xml:space="preserve">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36" w:name="fig-design-e1"/>
          <w:p>
            <w:pPr>
              <w:jc w:val="center"/>
            </w:pPr>
            <w:r>
              <w:drawing>
                <wp:inline>
                  <wp:extent cx="5334000" cy="1905000"/>
                  <wp:effectExtent b="0" l="0" r="0" t="0"/>
                  <wp:docPr descr="" title="" id="34" name="Picture"/>
                  <a:graphic>
                    <a:graphicData uri="http://schemas.openxmlformats.org/drawingml/2006/picture">
                      <pic:pic>
                        <pic:nvPicPr>
                          <pic:cNvPr descr="manuscript_files/figure-docx/dot-figure-1.png" id="35" name="Picture"/>
                          <pic:cNvPicPr>
                            <a:picLocks noChangeArrowheads="1" noChangeAspect="1"/>
                          </pic:cNvPicPr>
                        </pic:nvPicPr>
                        <pic:blipFill>
                          <a:blip r:embed="rId33"/>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Experiment 1 Design. Constant and Varied participants complete different training conditions.</w:t>
            </w:r>
          </w:p>
          <w:bookmarkEnd w:id="36"/>
        </w:tc>
      </w:tr>
    </w:tbl>
    <w:bookmarkEnd w:id="37"/>
    <w:bookmarkStart w:id="39" w:name="analyses-strategy"/>
    <w:p>
      <w:pPr>
        <w:pStyle w:val="Heading2"/>
      </w:pPr>
      <w:r>
        <w:t xml:space="preserve">Analyses Strategy</w:t>
      </w:r>
    </w:p>
    <w:p>
      <w:pPr>
        <w:pStyle w:val="FirstParagraph"/>
      </w:pPr>
      <w:r>
        <w:t xml:space="preserve">All data processing and statistical analyses were performed in R version 4.32</w:t>
      </w:r>
      <w:r>
        <w:t xml:space="preserve"> </w:t>
      </w:r>
      <w:r>
        <w:t xml:space="preserve">(</w:t>
      </w:r>
      <w:hyperlink w:anchor="X7b3c79bfb7654af1f4b03dba64dad1a6765c972">
        <w:r>
          <w:rPr>
            <w:rStyle w:val="Hyperlink"/>
          </w:rPr>
          <w:t xml:space="preserve">Team, 2020</w:t>
        </w:r>
      </w:hyperlink>
      <w:r>
        <w:t xml:space="preserve">)</w:t>
      </w:r>
      <w:r>
        <w:t xml:space="preserve">. To assess differences between groups, we used Bayesian Mixed Effects Regression. Model fitting was performed with the brms package in R</w:t>
      </w:r>
      <w:r>
        <w:t xml:space="preserve"> </w:t>
      </w:r>
      <w:r>
        <w:t xml:space="preserve">(</w:t>
      </w:r>
      <w:hyperlink w:anchor="ref-burknerBrmsPackageBayesian2017">
        <w:r>
          <w:rPr>
            <w:rStyle w:val="Hyperlink"/>
          </w:rPr>
          <w:t xml:space="preserve">Bürkner, 2017</w:t>
        </w:r>
      </w:hyperlink>
      <w:r>
        <w:t xml:space="preserve">)</w:t>
      </w:r>
      <w:r>
        <w:t xml:space="preserve">, and descriptive stats and tables were extracted with the BayestestR package</w:t>
      </w:r>
      <w:r>
        <w:t xml:space="preserve"> </w:t>
      </w:r>
      <w:r>
        <w:t xml:space="preserve">(</w:t>
      </w:r>
      <w:hyperlink w:anchor="X11a702c183fe711be8f27283712c55ac310fdf4">
        <w:r>
          <w:rPr>
            <w:rStyle w:val="Hyperlink"/>
          </w:rPr>
          <w:t xml:space="preserve">Makowski et al., 2019</w:t>
        </w:r>
      </w:hyperlink>
      <w:r>
        <w:t xml:space="preserve">)</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avoiding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38" w:name="tbl-brms-models"/>
          <w:p>
            <w:pPr>
              <w:jc w:val="center"/>
            </w:pPr>
            <w:pPr>
              <w:jc w:val="start"/>
              <w:spacing w:before="200"/>
              <w:pStyle w:val="ImageCaption"/>
            </w:pPr>
            <w:r>
              <w:t xml:space="preserve">Table 1:</w:t>
            </w:r>
            <w:r>
              <w:t xml:space="preserve"> </w:t>
            </w:r>
            <w:r>
              <w:rPr>
                <w:b/>
                <w:bCs/>
              </w:rPr>
              <w:t xml:space="preserve">Statistical Model Specifications</w:t>
            </w:r>
            <w:r>
              <w:t xml:space="preserve">. The specifications for the Bayesian regression models used in the analyses of each of the 3 experiments. Comparisons of accuracy use abosulte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5"/>
              <w:gridCol w:w="4536"/>
              <w:gridCol w:w="1537"/>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38"/>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index by fitting a linear model predicting the response velocity as a function of the target velocity. Participants who reliably discriminated between velocity bands tended to haves slope values ~1, while participants who made throws irrespective of the current target band would have slopes ~0.</w:t>
      </w:r>
    </w:p>
    <w:bookmarkEnd w:id="39"/>
    <w:bookmarkStart w:id="59" w:name="results"/>
    <w:p>
      <w:pPr>
        <w:pStyle w:val="Heading2"/>
      </w:pPr>
      <w:r>
        <w:t xml:space="preserve">Results</w:t>
      </w:r>
    </w:p>
    <w:tbl>
      <w:tblPr>
        <w:tblStyle w:val="Table"/>
        <w:tblW w:type="pct" w:w="5000"/>
        <w:tblLayout w:type="fixed"/>
        <w:tblLook w:firstRow="0" w:lastRow="0" w:firstColumn="0" w:lastColumn="0" w:noHBand="0" w:noVBand="0" w:val="0000"/>
      </w:tblPr>
      <w:tblGrid>
        <w:gridCol w:w="7920"/>
      </w:tblGrid>
      <w:tr>
        <w:tc>
          <w:tcPr/>
          <w:bookmarkStart w:id="43" w:name="fig-e1-train-dev"/>
          <w:p>
            <w:pPr>
              <w:pStyle w:val="Compact"/>
              <w:jc w:val="center"/>
            </w:pPr>
            <w:r>
              <w:drawing>
                <wp:inline>
                  <wp:extent cx="5334000" cy="4267200"/>
                  <wp:effectExtent b="0" l="0" r="0" t="0"/>
                  <wp:docPr descr="" title="" id="41" name="Picture"/>
                  <a:graphic>
                    <a:graphicData uri="http://schemas.openxmlformats.org/drawingml/2006/picture">
                      <pic:pic>
                        <pic:nvPicPr>
                          <pic:cNvPr descr="manuscript_files/figure-docx/fig-e1-train-dev-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Experiment 1 Training Stage. Deviations from target band across training blocks. Lower values represent greater accuracy.</w:t>
            </w:r>
          </w:p>
          <w:bookmarkEnd w:id="43"/>
        </w:tc>
      </w:tr>
    </w:tbl>
    <w:tbl>
      <w:tblPr>
        <w:tblStyle w:val="Table"/>
        <w:tblW w:type="pct" w:w="5000"/>
        <w:tblLayout w:type="fixed"/>
        <w:tblLook w:firstRow="0" w:lastRow="0" w:firstColumn="0" w:lastColumn="0" w:noHBand="0" w:noVBand="0" w:val="0000"/>
      </w:tblPr>
      <w:tblGrid>
        <w:gridCol w:w="7920"/>
      </w:tblGrid>
      <w:tr>
        <w:tc>
          <w:tcPr/>
          <w:bookmarkStart w:id="44" w:name="tbl-e1-train-dist"/>
          <w:p>
            <w:pPr>
              <w:jc w:val="center"/>
            </w:pPr>
            <w:pPr>
              <w:jc w:val="start"/>
              <w:spacing w:before="200"/>
              <w:pStyle w:val="ImageCaption"/>
            </w:pPr>
            <w:r>
              <w:t xml:space="preserve">Table 2:</w:t>
            </w:r>
            <w:r>
              <w:t xml:space="preserve"> </w:t>
            </w:r>
            <w:r>
              <w:rPr>
                <w:b/>
                <w:bCs/>
              </w:rPr>
              <w:t xml:space="preserve">Experiment 1 - End of training performance</w:t>
            </w:r>
            <w:r>
              <w:t xml:space="preserve">. Comparing final training block accuracy in band common to both groups. The Intercept represents the average of the baseline condition (constant training), and the conditVaried coefficient reflects the difference between the constant and varied groups. A larger positive estimates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44"/>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4</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45" w:name="tbl-e1-bmm-dist"/>
          <w:p>
            <w:pPr>
              <w:jc w:val="center"/>
            </w:pPr>
            <w:pPr>
              <w:jc w:val="start"/>
              <w:spacing w:before="200"/>
              <w:pStyle w:val="ImageCaption"/>
            </w:pPr>
            <w:r>
              <w:t xml:space="preserve">Table 3:</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45"/>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3</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5</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49" w:name="fig-e1-test-dev"/>
          <w:p>
            <w:pPr>
              <w:pStyle w:val="Compact"/>
              <w:jc w:val="center"/>
            </w:pPr>
            <w:r>
              <w:drawing>
                <wp:inline>
                  <wp:extent cx="5334000" cy="3394363"/>
                  <wp:effectExtent b="0" l="0" r="0" t="0"/>
                  <wp:docPr descr="" title="" id="47" name="Picture"/>
                  <a:graphic>
                    <a:graphicData uri="http://schemas.openxmlformats.org/drawingml/2006/picture">
                      <pic:pic>
                        <pic:nvPicPr>
                          <pic:cNvPr descr="manuscript_files/figure-docx/fig-e1-test-dev-1.png" id="48" name="Picture"/>
                          <pic:cNvPicPr>
                            <a:picLocks noChangeArrowheads="1" noChangeAspect="1"/>
                          </pic:cNvPicPr>
                        </pic:nvPicPr>
                        <pic:blipFill>
                          <a:blip r:embed="rId46"/>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Experiment 1 Testing Accuracy. A) Empricial Deviations from target band during testing without feedback stage. B) Conditional effect of condition (Constant vs. Varied) and testing band type (trained bands vs. novel extrapolation bands) on testing accuracy. Error bars represent 95% credible intervals.</w:t>
            </w:r>
          </w:p>
          <w:bookmarkEnd w:id="49"/>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50" w:name="tbl-e1-bmm-vx"/>
          <w:p>
            <w:pPr>
              <w:jc w:val="center"/>
            </w:pPr>
            <w:pPr>
              <w:jc w:val="start"/>
              <w:spacing w:before="200"/>
              <w:pStyle w:val="ImageCaption"/>
            </w:pPr>
            <w:r>
              <w:t xml:space="preserve">Table 4:</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50"/>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4</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suggests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6</w:t>
        </w:r>
      </w:hyperlink>
      <w:r>
        <w:t xml:space="preserve"> </w:t>
      </w:r>
      <w:r>
        <w:t xml:space="preserve">and</w:t>
      </w:r>
      <w:r>
        <w:t xml:space="preserve"> </w:t>
      </w:r>
      <w:hyperlink w:anchor="fig-e1-bmm-vx">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e1-test-vx"/>
          <w:p>
            <w:pPr>
              <w:pStyle w:val="Compact"/>
              <w:jc w:val="center"/>
            </w:pPr>
            <w:r>
              <w:drawing>
                <wp:inline>
                  <wp:extent cx="5334000" cy="3879272"/>
                  <wp:effectExtent b="0" l="0" r="0" t="0"/>
                  <wp:docPr descr="" title="" id="52" name="Picture"/>
                  <a:graphic>
                    <a:graphicData uri="http://schemas.openxmlformats.org/drawingml/2006/picture">
                      <pic:pic>
                        <pic:nvPicPr>
                          <pic:cNvPr descr="manuscript_files/figure-docx/fig-e1-test-vx-1.png" id="53" name="Picture"/>
                          <pic:cNvPicPr>
                            <a:picLocks noChangeArrowheads="1" noChangeAspect="1"/>
                          </pic:cNvPicPr>
                        </pic:nvPicPr>
                        <pic:blipFill>
                          <a:blip r:embed="rId5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Experiment 1. Empirical distribution of velocities producing in testing stage. Translucent bands with dashed lines indicate the correct range for each velocity band.</w:t>
            </w:r>
          </w:p>
          <w:bookmarkEnd w:id="54"/>
        </w:tc>
      </w:tr>
    </w:tbl>
    <w:tbl>
      <w:tblPr>
        <w:tblStyle w:val="Table"/>
        <w:tblW w:type="pct" w:w="5000"/>
        <w:tblLayout w:type="fixed"/>
        <w:tblLook w:firstRow="0" w:lastRow="0" w:firstColumn="0" w:lastColumn="0" w:noHBand="0" w:noVBand="0" w:val="0000"/>
      </w:tblPr>
      <w:tblGrid>
        <w:gridCol w:w="7920"/>
      </w:tblGrid>
      <w:tr>
        <w:tc>
          <w:tcPr/>
          <w:bookmarkStart w:id="58" w:name="fig-e1-bmm-vx"/>
          <w:p>
            <w:pPr>
              <w:pStyle w:val="Compact"/>
              <w:jc w:val="center"/>
            </w:pPr>
            <w:r>
              <w:drawing>
                <wp:inline>
                  <wp:extent cx="5334000" cy="3879272"/>
                  <wp:effectExtent b="0" l="0" r="0" t="0"/>
                  <wp:docPr descr="" title="" id="56" name="Picture"/>
                  <a:graphic>
                    <a:graphicData uri="http://schemas.openxmlformats.org/drawingml/2006/picture">
                      <pic:pic>
                        <pic:nvPicPr>
                          <pic:cNvPr descr="manuscript_files/figure-docx/fig-e1-bmm-vx-1.png" id="57" name="Picture"/>
                          <pic:cNvPicPr>
                            <a:picLocks noChangeArrowheads="1" noChangeAspect="1"/>
                          </pic:cNvPicPr>
                        </pic:nvPicPr>
                        <pic:blipFill>
                          <a:blip r:embed="rId55"/>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58"/>
        </w:tc>
      </w:tr>
    </w:tbl>
    <w:bookmarkEnd w:id="59"/>
    <w:bookmarkStart w:id="60" w:name="experiment-1-summary"/>
    <w:p>
      <w:pPr>
        <w:pStyle w:val="Heading2"/>
      </w:pPr>
      <w:r>
        <w:t xml:space="preserve">Experiment 1 Summary</w:t>
      </w:r>
    </w:p>
    <w:p>
      <w:pPr>
        <w:pStyle w:val="FirstParagraph"/>
      </w:pPr>
      <w:r>
        <w:t xml:space="preserve">In Experiment 1, we investigated how variability in training influenced participants’ ability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w:t>
      </w:r>
      <w:hyperlink w:anchor="ref-ravivHowVariabilityShapes2022">
        <w:r>
          <w:rPr>
            <w:rStyle w:val="Hyperlink"/>
          </w:rPr>
          <w:t xml:space="preserve">Raviv et al., 2022</w:t>
        </w:r>
      </w:hyperlink>
      <w:r>
        <w:t xml:space="preserve">;</w:t>
      </w:r>
      <w:r>
        <w:t xml:space="preserve"> </w:t>
      </w:r>
      <w:hyperlink w:anchor="X0acc7fc1613de11f1df556c6841b86f5c4c9943">
        <w:r>
          <w:rPr>
            <w:rStyle w:val="Hyperlink"/>
          </w:rPr>
          <w:t xml:space="preserve">Soderstrom &amp; Bjork, 2015</w:t>
        </w:r>
      </w:hyperlink>
      <w:r>
        <w:t xml:space="preserve">)</w:t>
      </w:r>
      <w:r>
        <w:t xml:space="preserve">, and is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60"/>
    <w:bookmarkEnd w:id="61"/>
    <w:bookmarkStart w:id="88" w:name="experiment-2"/>
    <w:p>
      <w:pPr>
        <w:pStyle w:val="Heading1"/>
      </w:pPr>
      <w:r>
        <w:t xml:space="preserve">Experiment 2</w:t>
      </w:r>
    </w:p>
    <w:bookmarkStart w:id="66" w:name="methods-procedure"/>
    <w:p>
      <w:pPr>
        <w:pStyle w:val="Heading2"/>
      </w:pPr>
      <w:r>
        <w:t xml:space="preserve">Methods &amp; Procedure</w:t>
      </w:r>
    </w:p>
    <w:p>
      <w:pPr>
        <w:pStyle w:val="FirstParagraph"/>
      </w:pPr>
      <w:r>
        <w:t xml:space="preserve">The task and procedure of Experiment 2 was identical to Experiment 1, with the exception that the training and testing bands were reversed (see</w:t>
      </w:r>
      <w:r>
        <w:t xml:space="preserve"> </w:t>
      </w:r>
      <w:hyperlink w:anchor="fig-design-e2">
        <w:r>
          <w:rPr>
            <w:rStyle w:val="Hyperlink"/>
          </w:rPr>
          <w:t xml:space="preserve">Figure 8</w:t>
        </w:r>
      </w:hyperlink>
      <w:r>
        <w:t xml:space="preserve">). The Varied group trained on bands 100-300, 350-550, 600-800, and the constant group trained on band 600-800. Both groups were tested from all six bands. A total of 110 participants completed the experiment (Varied: 55, Constant: 55).</w:t>
      </w:r>
    </w:p>
    <w:tbl>
      <w:tblPr>
        <w:tblStyle w:val="Table"/>
        <w:tblW w:type="pct" w:w="5000"/>
        <w:tblLayout w:type="fixed"/>
        <w:tblLook w:firstRow="0" w:lastRow="0" w:firstColumn="0" w:lastColumn="0" w:noHBand="0" w:noVBand="0" w:val="0000"/>
      </w:tblPr>
      <w:tblGrid>
        <w:gridCol w:w="7920"/>
      </w:tblGrid>
      <w:tr>
        <w:tc>
          <w:tcPr/>
          <w:bookmarkStart w:id="65" w:name="fig-design-e2"/>
          <w:p>
            <w:pPr>
              <w:jc w:val="center"/>
            </w:pPr>
            <w:r>
              <w:drawing>
                <wp:inline>
                  <wp:extent cx="5334000" cy="1676400"/>
                  <wp:effectExtent b="0" l="0" r="0" t="0"/>
                  <wp:docPr descr="" title="" id="63" name="Picture"/>
                  <a:graphic>
                    <a:graphicData uri="http://schemas.openxmlformats.org/drawingml/2006/picture">
                      <pic:pic>
                        <pic:nvPicPr>
                          <pic:cNvPr descr="manuscript_files/figure-docx/dot-figure-2.png" id="64" name="Picture"/>
                          <pic:cNvPicPr>
                            <a:picLocks noChangeArrowheads="1" noChangeAspect="1"/>
                          </pic:cNvPicPr>
                        </pic:nvPicPr>
                        <pic:blipFill>
                          <a:blip r:embed="rId62"/>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Experiment 2 Design. Constant and Varied participants complete different training conditions. The training and testing bands are the reverse of Experiment 1.</w:t>
            </w:r>
          </w:p>
          <w:bookmarkEnd w:id="65"/>
        </w:tc>
      </w:tr>
    </w:tbl>
    <w:bookmarkEnd w:id="66"/>
    <w:bookmarkStart w:id="86" w:name="results-1"/>
    <w:p>
      <w:pPr>
        <w:pStyle w:val="Heading2"/>
      </w:pPr>
      <w:r>
        <w:t xml:space="preserve">Results</w:t>
      </w:r>
    </w:p>
    <w:tbl>
      <w:tblPr>
        <w:tblStyle w:val="Table"/>
        <w:tblW w:type="pct" w:w="5000"/>
        <w:tblLayout w:type="fixed"/>
        <w:tblLook w:firstRow="0" w:lastRow="0" w:firstColumn="0" w:lastColumn="0" w:noHBand="0" w:noVBand="0" w:val="0000"/>
      </w:tblPr>
      <w:tblGrid>
        <w:gridCol w:w="7920"/>
      </w:tblGrid>
      <w:tr>
        <w:tc>
          <w:tcPr/>
          <w:bookmarkStart w:id="70" w:name="fig-e2-train-dev"/>
          <w:p>
            <w:pPr>
              <w:pStyle w:val="Compact"/>
              <w:jc w:val="center"/>
            </w:pPr>
            <w:r>
              <w:drawing>
                <wp:inline>
                  <wp:extent cx="5334000" cy="4267200"/>
                  <wp:effectExtent b="0" l="0" r="0" t="0"/>
                  <wp:docPr descr="" title="" id="68" name="Picture"/>
                  <a:graphic>
                    <a:graphicData uri="http://schemas.openxmlformats.org/drawingml/2006/picture">
                      <pic:pic>
                        <pic:nvPicPr>
                          <pic:cNvPr descr="manuscript_files/figure-docx/fig-e2-train-dev-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Experiment 2 Training Stage. Deviations from target band across training blocks. Lower values represent greater accuracy.</w:t>
            </w:r>
          </w:p>
          <w:bookmarkEnd w:id="70"/>
        </w:tc>
      </w:tr>
    </w:tbl>
    <w:tbl>
      <w:tblPr>
        <w:tblStyle w:val="Table"/>
        <w:tblW w:type="pct" w:w="5000"/>
        <w:tblLayout w:type="fixed"/>
        <w:tblLook w:firstRow="0" w:lastRow="0" w:firstColumn="0" w:lastColumn="0" w:noHBand="0" w:noVBand="0" w:val="0000"/>
      </w:tblPr>
      <w:tblGrid>
        <w:gridCol w:w="7920"/>
      </w:tblGrid>
      <w:tr>
        <w:tc>
          <w:tcPr/>
          <w:bookmarkStart w:id="71" w:name="tbl-e2-train-dist"/>
          <w:p>
            <w:pPr>
              <w:jc w:val="center"/>
            </w:pPr>
            <w:pPr>
              <w:jc w:val="start"/>
              <w:spacing w:before="200"/>
              <w:pStyle w:val="ImageCaption"/>
            </w:pPr>
            <w:r>
              <w:t xml:space="preserve">Table 5:</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71"/>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9</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72" w:name="tbl-e2-bmm-dist"/>
          <w:p>
            <w:pPr>
              <w:jc w:val="center"/>
            </w:pPr>
            <w:pPr>
              <w:jc w:val="start"/>
              <w:spacing w:before="200"/>
              <w:pStyle w:val="ImageCaption"/>
            </w:pPr>
            <w:r>
              <w:t xml:space="preserve">Table 6:</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3477"/>
              <w:gridCol w:w="965"/>
              <w:gridCol w:w="1448"/>
              <w:gridCol w:w="1448"/>
              <w:gridCol w:w="579"/>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72"/>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6</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6" w:name="fig-e2-test-dev"/>
          <w:p>
            <w:pPr>
              <w:pStyle w:val="Compact"/>
              <w:jc w:val="center"/>
            </w:pPr>
            <w:r>
              <w:drawing>
                <wp:inline>
                  <wp:extent cx="5334000" cy="3394363"/>
                  <wp:effectExtent b="0" l="0" r="0" t="0"/>
                  <wp:docPr descr="" title="" id="74" name="Picture"/>
                  <a:graphic>
                    <a:graphicData uri="http://schemas.openxmlformats.org/drawingml/2006/picture">
                      <pic:pic>
                        <pic:nvPicPr>
                          <pic:cNvPr descr="manuscript_files/figure-docx/fig-e2-test-dev-1.png" id="75" name="Picture"/>
                          <pic:cNvPicPr>
                            <a:picLocks noChangeArrowheads="1" noChangeAspect="1"/>
                          </pic:cNvPicPr>
                        </pic:nvPicPr>
                        <pic:blipFill>
                          <a:blip r:embed="rId73"/>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Experiment 2 Testing Accuracy. A) Empricial Deviations from target band during testing without feedback stage. B) Conditional effect of condition (Constant vs. Varied) and testing band type (trained bands vs. novel extrapolation bands) on testing accuracy. Error bars represent 95% credible intervals.</w:t>
            </w:r>
          </w:p>
          <w:bookmarkEnd w:id="76"/>
        </w:tc>
      </w:tr>
    </w:tbl>
    <w:tbl>
      <w:tblPr>
        <w:tblStyle w:val="Table"/>
        <w:tblW w:type="pct" w:w="5000"/>
        <w:tblLayout w:type="fixed"/>
        <w:tblLook w:firstRow="0" w:lastRow="0" w:firstColumn="0" w:lastColumn="0" w:noHBand="0" w:noVBand="0" w:val="0000"/>
      </w:tblPr>
      <w:tblGrid>
        <w:gridCol w:w="7920"/>
      </w:tblGrid>
      <w:tr>
        <w:tc>
          <w:tcPr/>
          <w:bookmarkStart w:id="77" w:name="tbl-e2-bmm-vx"/>
          <w:p>
            <w:pPr>
              <w:jc w:val="center"/>
            </w:pPr>
            <w:pPr>
              <w:jc w:val="start"/>
              <w:spacing w:before="200"/>
              <w:pStyle w:val="ImageCaption"/>
            </w:pPr>
            <w:r>
              <w:t xml:space="preserve">Table 7:</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77"/>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7</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11</w:t>
        </w:r>
      </w:hyperlink>
      <w:r>
        <w:t xml:space="preserve"> </w:t>
      </w:r>
      <w:r>
        <w:t xml:space="preserve">and</w:t>
      </w:r>
      <w:r>
        <w:t xml:space="preserve"> </w:t>
      </w:r>
      <w:hyperlink w:anchor="fig-e2-bmm-vx">
        <w:r>
          <w:rPr>
            <w:rStyle w:val="Hyperlink"/>
          </w:rPr>
          <w:t xml:space="preserve">Figure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1" w:name="fig-e2-test-vx"/>
          <w:p>
            <w:pPr>
              <w:pStyle w:val="Compact"/>
              <w:jc w:val="center"/>
            </w:pPr>
            <w:r>
              <w:drawing>
                <wp:inline>
                  <wp:extent cx="5334000" cy="3879272"/>
                  <wp:effectExtent b="0" l="0" r="0" t="0"/>
                  <wp:docPr descr="" title="" id="79" name="Picture"/>
                  <a:graphic>
                    <a:graphicData uri="http://schemas.openxmlformats.org/drawingml/2006/picture">
                      <pic:pic>
                        <pic:nvPicPr>
                          <pic:cNvPr descr="manuscript_files/figure-docx/fig-e2-test-vx-1.png" id="80" name="Picture"/>
                          <pic:cNvPicPr>
                            <a:picLocks noChangeArrowheads="1" noChangeAspect="1"/>
                          </pic:cNvPicPr>
                        </pic:nvPicPr>
                        <pic:blipFill>
                          <a:blip r:embed="rId78"/>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Experiment 2. Empirical distribution of velocities produced in the testing stage. Translucent bands with dash lines indicate the correct range for each velocity band.</w:t>
            </w:r>
          </w:p>
          <w:bookmarkEnd w:id="81"/>
        </w:tc>
      </w:tr>
    </w:tbl>
    <w:tbl>
      <w:tblPr>
        <w:tblStyle w:val="Table"/>
        <w:tblW w:type="pct" w:w="5000"/>
        <w:tblLayout w:type="fixed"/>
        <w:tblLook w:firstRow="0" w:lastRow="0" w:firstColumn="0" w:lastColumn="0" w:noHBand="0" w:noVBand="0" w:val="0000"/>
      </w:tblPr>
      <w:tblGrid>
        <w:gridCol w:w="7920"/>
      </w:tblGrid>
      <w:tr>
        <w:tc>
          <w:tcPr/>
          <w:bookmarkStart w:id="85" w:name="fig-e2-bmm-vx"/>
          <w:p>
            <w:pPr>
              <w:pStyle w:val="Compact"/>
              <w:jc w:val="center"/>
            </w:pPr>
            <w:r>
              <w:drawing>
                <wp:inline>
                  <wp:extent cx="5334000" cy="3879272"/>
                  <wp:effectExtent b="0" l="0" r="0" t="0"/>
                  <wp:docPr descr="" title="" id="83" name="Picture"/>
                  <a:graphic>
                    <a:graphicData uri="http://schemas.openxmlformats.org/drawingml/2006/picture">
                      <pic:pic>
                        <pic:nvPicPr>
                          <pic:cNvPr descr="manuscript_files/figure-docx/fig-e2-bmm-vx-1.png" id="84" name="Picture"/>
                          <pic:cNvPicPr>
                            <a:picLocks noChangeArrowheads="1" noChangeAspect="1"/>
                          </pic:cNvPicPr>
                        </pic:nvPicPr>
                        <pic:blipFill>
                          <a:blip r:embed="rId82"/>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85"/>
        </w:tc>
      </w:tr>
    </w:tbl>
    <w:bookmarkEnd w:id="86"/>
    <w:bookmarkStart w:id="87" w:name="experiment-2-summary"/>
    <w:p>
      <w:pPr>
        <w:pStyle w:val="Heading2"/>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group did not show a significant difference in discrimination between bands.</w:t>
      </w:r>
    </w:p>
    <w:bookmarkEnd w:id="87"/>
    <w:bookmarkEnd w:id="88"/>
    <w:bookmarkStart w:id="111" w:name="experiment-3"/>
    <w:p>
      <w:pPr>
        <w:pStyle w:val="Heading1"/>
      </w:pPr>
      <w:r>
        <w:t xml:space="preserve">Experiment 3</w:t>
      </w:r>
    </w:p>
    <w:bookmarkStart w:id="89" w:name="methods-procedure-1"/>
    <w:p>
      <w:pPr>
        <w:pStyle w:val="Heading2"/>
      </w:pPr>
      <w:r>
        <w:t xml:space="preserve">Methods &amp; Procedure</w:t>
      </w:r>
    </w:p>
    <w:p>
      <w:pPr>
        <w:pStyle w:val="FirstParagraph"/>
      </w:pPr>
      <w:r>
        <w:t xml:space="preserve">The major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bookmarkEnd w:id="89"/>
    <w:bookmarkStart w:id="109" w:name="results-2"/>
    <w:p>
      <w:pPr>
        <w:pStyle w:val="Heading2"/>
      </w:pPr>
      <w:r>
        <w:t xml:space="preserve">Results</w:t>
      </w:r>
    </w:p>
    <w:tbl>
      <w:tblPr>
        <w:tblStyle w:val="Table"/>
        <w:tblW w:type="pct" w:w="5000"/>
        <w:tblLayout w:type="fixed"/>
        <w:tblLook w:firstRow="0" w:lastRow="0" w:firstColumn="0" w:lastColumn="0" w:noHBand="0" w:noVBand="0" w:val="0000"/>
      </w:tblPr>
      <w:tblGrid>
        <w:gridCol w:w="7920"/>
      </w:tblGrid>
      <w:tr>
        <w:tc>
          <w:tcPr/>
          <w:bookmarkStart w:id="90" w:name="tbl-e3-train-dist"/>
          <w:p>
            <w:pPr>
              <w:jc w:val="center"/>
            </w:pPr>
            <w:pPr>
              <w:jc w:val="start"/>
              <w:spacing w:before="200"/>
              <w:pStyle w:val="ImageCaption"/>
            </w:pPr>
            <w:r>
              <w:t xml:space="preserve">Table 8:</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3188"/>
              <w:gridCol w:w="1028"/>
              <w:gridCol w:w="1542"/>
              <w:gridCol w:w="1542"/>
              <w:gridCol w:w="61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90"/>
          <w:p/>
        </w:tc>
      </w:tr>
    </w:tbl>
    <w:p>
      <w:pPr>
        <w:pStyle w:val="BodyText"/>
      </w:pPr>
      <w:r>
        <w:rPr>
          <w:i/>
          <w:iCs/>
        </w:rPr>
        <w:t xml:space="preserve">Training</w:t>
      </w:r>
      <w:r>
        <w:t xml:space="preserve">.</w:t>
      </w:r>
      <w:r>
        <w:t xml:space="preserve"> </w:t>
      </w:r>
      <w:hyperlink w:anchor="fig-e3-train-dev">
        <w:r>
          <w:rPr>
            <w:rStyle w:val="Hyperlink"/>
          </w:rPr>
          <w:t xml:space="preserve">Figure 13</w:t>
        </w:r>
      </w:hyperlink>
      <w:r>
        <w:t xml:space="preserve"> </w:t>
      </w:r>
      <w:r>
        <w:t xml:space="preserve">displays the average deviations from the target band across training blocks, and</w:t>
      </w:r>
      <w:r>
        <w:t xml:space="preserve"> </w:t>
      </w:r>
      <w:hyperlink w:anchor="tbl-e3-train-dist">
        <w:r>
          <w:rPr>
            <w:rStyle w:val="Hyperlink"/>
          </w:rPr>
          <w:t xml:space="preserve">Table 8</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94" w:name="fig-e3-train-dev"/>
          <w:p>
            <w:pPr>
              <w:pStyle w:val="Compact"/>
              <w:jc w:val="center"/>
            </w:pPr>
            <w:r>
              <w:drawing>
                <wp:inline>
                  <wp:extent cx="5334000" cy="4267200"/>
                  <wp:effectExtent b="0" l="0" r="0" t="0"/>
                  <wp:docPr descr="" title="" id="92" name="Picture"/>
                  <a:graphic>
                    <a:graphicData uri="http://schemas.openxmlformats.org/drawingml/2006/picture">
                      <pic:pic>
                        <pic:nvPicPr>
                          <pic:cNvPr descr="manuscript_files/figure-docx/fig-e3-train-dev-1.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3 training. Deviations from target band during training. Shown separately for groups trained with the orginal order (used in E1) and reverse order (used in E2).</w:t>
            </w:r>
          </w:p>
          <w:bookmarkEnd w:id="94"/>
        </w:tc>
      </w:tr>
    </w:tbl>
    <w:tbl>
      <w:tblPr>
        <w:tblStyle w:val="Table"/>
        <w:tblW w:type="pct" w:w="5000"/>
        <w:tblLayout w:type="fixed"/>
        <w:tblLook w:firstRow="0" w:lastRow="0" w:firstColumn="0" w:lastColumn="0" w:noHBand="0" w:noVBand="0" w:val="0000"/>
      </w:tblPr>
      <w:tblGrid>
        <w:gridCol w:w="7920"/>
      </w:tblGrid>
      <w:tr>
        <w:tc>
          <w:tcPr/>
          <w:bookmarkStart w:id="95" w:name="tbl-e3-bmm-dist"/>
          <w:p>
            <w:pPr>
              <w:jc w:val="center"/>
            </w:pPr>
            <w:pPr>
              <w:jc w:val="start"/>
              <w:spacing w:before="200"/>
              <w:pStyle w:val="ImageCaption"/>
            </w:pPr>
            <w:r>
              <w:t xml:space="preserve">Table 9:</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4240"/>
              <w:gridCol w:w="800"/>
              <w:gridCol w:w="1200"/>
              <w:gridCol w:w="1200"/>
              <w:gridCol w:w="48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95"/>
          <w:p/>
        </w:tc>
      </w:tr>
    </w:tbl>
    <w:p>
      <w:pPr>
        <w:pStyle w:val="BodyText"/>
      </w:pPr>
      <w:r>
        <w:rPr>
          <w:i/>
          <w:iCs/>
        </w:rPr>
        <w:t xml:space="preserve">Testing Accuracy.</w:t>
      </w:r>
      <w:r>
        <w:t xml:space="preserve"> </w:t>
      </w:r>
      <w:hyperlink w:anchor="tbl-e3-bmm-dist">
        <w:r>
          <w:rPr>
            <w:rStyle w:val="Hyperlink"/>
          </w:rPr>
          <w:t xml:space="preserve">Table 9</w:t>
        </w:r>
      </w:hyperlink>
      <w:r>
        <w:t xml:space="preserve"> </w:t>
      </w:r>
      <w:r>
        <w:t xml:space="preserve">presents the results of the Bayesian mixed efects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99" w:name="fig-e3-test-dev"/>
          <w:p>
            <w:pPr>
              <w:pStyle w:val="Compact"/>
              <w:jc w:val="center"/>
            </w:pPr>
            <w:r>
              <w:drawing>
                <wp:inline>
                  <wp:extent cx="5334000" cy="3879272"/>
                  <wp:effectExtent b="0" l="0" r="0" t="0"/>
                  <wp:docPr descr="" title="" id="97" name="Picture"/>
                  <a:graphic>
                    <a:graphicData uri="http://schemas.openxmlformats.org/drawingml/2006/picture">
                      <pic:pic>
                        <pic:nvPicPr>
                          <pic:cNvPr descr="manuscript_files/figure-docx/fig-e3-test-dev-1.png" id="98" name="Picture"/>
                          <pic:cNvPicPr>
                            <a:picLocks noChangeArrowheads="1" noChangeAspect="1"/>
                          </pic:cNvPicPr>
                        </pic:nvPicPr>
                        <pic:blipFill>
                          <a:blip r:embed="rId9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3 Testing Accuracy. A) Empricial Deviations from target band during testing without feedback stage. B) Conditional effect of condition (Constant vs. Varied) and testing band type (trained bands vs. novel extrapolation bands) on testing accuracy. Shown separately for groups trained with the orginal order (used in E1) and reverse order (used in E2). Error bars represent 95% credible intervals.</w:t>
            </w:r>
          </w:p>
          <w:bookmarkEnd w:id="99"/>
        </w:tc>
      </w:tr>
    </w:tbl>
    <w:tbl>
      <w:tblPr>
        <w:tblStyle w:val="Table"/>
        <w:tblW w:type="pct" w:w="5000"/>
        <w:tblLayout w:type="fixed"/>
        <w:tblLook w:firstRow="0" w:lastRow="0" w:firstColumn="0" w:lastColumn="0" w:noHBand="0" w:noVBand="0" w:val="0000"/>
      </w:tblPr>
      <w:tblGrid>
        <w:gridCol w:w="7920"/>
      </w:tblGrid>
      <w:tr>
        <w:tc>
          <w:tcPr/>
          <w:bookmarkStart w:id="100" w:name="tbl-e3-bmm-vx"/>
          <w:p>
            <w:pPr>
              <w:jc w:val="center"/>
            </w:pPr>
            <w:pPr>
              <w:jc w:val="start"/>
              <w:spacing w:before="200"/>
              <w:pStyle w:val="ImageCaption"/>
            </w:pPr>
            <w:r>
              <w:t xml:space="preserve">Table 10:</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the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3732"/>
              <w:gridCol w:w="910"/>
              <w:gridCol w:w="1365"/>
              <w:gridCol w:w="1365"/>
              <w:gridCol w:w="546"/>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00"/>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9</w:t>
        </w:r>
      </w:hyperlink>
      <w:r>
        <w:t xml:space="preserve">. For the purposes of assessing group differences in discrimination, only the coefficients including the band variable are of interest. The baseline effect of band represents the slope cofficient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15</w:t>
        </w:r>
      </w:hyperlink>
      <w:r>
        <w:t xml:space="preserve">, where the steepness of the best fitting line for the varied-reversed condition is noticably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04" w:name="fig-e3-test-vx"/>
          <w:p>
            <w:pPr>
              <w:pStyle w:val="Compact"/>
              <w:jc w:val="center"/>
            </w:pPr>
            <w:r>
              <w:drawing>
                <wp:inline>
                  <wp:extent cx="5334000" cy="4849090"/>
                  <wp:effectExtent b="0" l="0" r="0" t="0"/>
                  <wp:docPr descr="" title="" id="102" name="Picture"/>
                  <a:graphic>
                    <a:graphicData uri="http://schemas.openxmlformats.org/drawingml/2006/picture">
                      <pic:pic>
                        <pic:nvPicPr>
                          <pic:cNvPr descr="manuscript_files/figure-docx/fig-e3-test-vx-1.png" id="103" name="Picture"/>
                          <pic:cNvPicPr>
                            <a:picLocks noChangeArrowheads="1" noChangeAspect="1"/>
                          </pic:cNvPicPr>
                        </pic:nvPicPr>
                        <pic:blipFill>
                          <a:blip r:embed="rId101"/>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e3 testing x velocities. Translucent bands with dash lines indicate the correct range for each velocity band.</w:t>
            </w:r>
          </w:p>
          <w:bookmarkEnd w:id="104"/>
        </w:tc>
      </w:tr>
    </w:tbl>
    <w:p>
      <w:r>
        <w:br w:type="page"/>
      </w:r>
    </w:p>
    <w:tbl>
      <w:tblPr>
        <w:tblStyle w:val="Table"/>
        <w:tblW w:type="pct" w:w="5000"/>
        <w:tblLayout w:type="fixed"/>
        <w:tblLook w:firstRow="0" w:lastRow="0" w:firstColumn="0" w:lastColumn="0" w:noHBand="0" w:noVBand="0" w:val="0000"/>
      </w:tblPr>
      <w:tblGrid>
        <w:gridCol w:w="7920"/>
      </w:tblGrid>
      <w:tr>
        <w:tc>
          <w:tcPr/>
          <w:bookmarkStart w:id="108" w:name="fig-e3-bmm-vx"/>
          <w:p>
            <w:pPr>
              <w:pStyle w:val="Compact"/>
              <w:jc w:val="center"/>
            </w:pPr>
            <w:r>
              <w:drawing>
                <wp:inline>
                  <wp:extent cx="5334000" cy="5334000"/>
                  <wp:effectExtent b="0" l="0" r="0" t="0"/>
                  <wp:docPr descr="" title="" id="106" name="Picture"/>
                  <a:graphic>
                    <a:graphicData uri="http://schemas.openxmlformats.org/drawingml/2006/picture">
                      <pic:pic>
                        <pic:nvPicPr>
                          <pic:cNvPr descr="manuscript_files/figure-docx/fig-e3-bmm-vx-1.png" id="107" name="Picture"/>
                          <pic:cNvPicPr>
                            <a:picLocks noChangeArrowheads="1" noChangeAspect="1"/>
                          </pic:cNvPicPr>
                        </pic:nvPicPr>
                        <pic:blipFill>
                          <a:blip r:embed="rId10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08"/>
        </w:tc>
      </w:tr>
    </w:tbl>
    <w:bookmarkEnd w:id="109"/>
    <w:bookmarkStart w:id="110" w:name="experiment-3-summary"/>
    <w:p>
      <w:pPr>
        <w:pStyle w:val="Heading2"/>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ordinal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10"/>
    <w:bookmarkEnd w:id="111"/>
    <w:bookmarkStart w:id="157" w:name="computational-model"/>
    <w:p>
      <w:pPr>
        <w:pStyle w:val="Heading1"/>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15" w:name="fig-alm-diagram"/>
          <w:p>
            <w:pPr>
              <w:pStyle w:val="Compact"/>
              <w:jc w:val="center"/>
            </w:pPr>
            <w:r>
              <w:drawing>
                <wp:inline>
                  <wp:extent cx="5334000" cy="4267200"/>
                  <wp:effectExtent b="0" l="0" r="0" t="0"/>
                  <wp:docPr descr="" title="" id="113" name="Picture"/>
                  <a:graphic>
                    <a:graphicData uri="http://schemas.openxmlformats.org/drawingml/2006/picture">
                      <pic:pic>
                        <pic:nvPicPr>
                          <pic:cNvPr descr="manuscript_files/figure-docx/fig-alm-diagram-1.png" id="114"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The Associative Learning Model (ALM). The diagram illustrates the basic structure of the ALM model as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 weights are updated via the delta rule.</w:t>
            </w:r>
          </w:p>
          <w:bookmarkEnd w:id="115"/>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w:t>
      </w:r>
      <w:hyperlink w:anchor="ref-deloshExtrapolationSineQua1997">
        <w:r>
          <w:rPr>
            <w:rStyle w:val="Hyperlink"/>
          </w:rPr>
          <w:t xml:space="preserve">DeLosh et al., 1997</w:t>
        </w:r>
      </w:hyperlink>
      <w:r>
        <w:t xml:space="preserve">)</w:t>
      </w:r>
      <w:r>
        <w:t xml:space="preserve">. ALM is a simple connectionist learning model which closely resembles Kruschke’s ALCOVE model</w:t>
      </w:r>
      <w:r>
        <w:t xml:space="preserve"> </w:t>
      </w:r>
      <w:r>
        <w:t xml:space="preserve">(</w:t>
      </w:r>
      <w:hyperlink w:anchor="Xdb7e4c44c36e324f43a0c9fdfdb4efa7d250832">
        <w:r>
          <w:rPr>
            <w:rStyle w:val="Hyperlink"/>
          </w:rPr>
          <w:t xml:space="preserve">Kruschke, 1992</w:t>
        </w:r>
      </w:hyperlink>
      <w:r>
        <w:t xml:space="preserve">)</w:t>
      </w:r>
      <w:r>
        <w:t xml:space="preserve">, with modifications to allow for the generation of continuous responses.</w:t>
      </w:r>
    </w:p>
    <w:bookmarkStart w:id="117" w:name="alm-exam"/>
    <w:p>
      <w:pPr>
        <w:pStyle w:val="Heading2"/>
      </w:pPr>
      <w:r>
        <w:t xml:space="preserve">ALM &amp; Exam</w:t>
      </w:r>
    </w:p>
    <w:p>
      <w:pPr>
        <w:pStyle w:val="FirstParagraph"/>
      </w:pPr>
      <w:r>
        <w:t xml:space="preserve">ALM is a localist neural network model</w:t>
      </w:r>
      <w:r>
        <w:t xml:space="preserve"> </w:t>
      </w:r>
      <w:r>
        <w:t xml:space="preserve">(</w:t>
      </w:r>
      <w:hyperlink w:anchor="X6f0f3e2b4278100b8b80a49a7e7b7697b43955a">
        <w:r>
          <w:rPr>
            <w:rStyle w:val="Hyperlink"/>
          </w:rPr>
          <w:t xml:space="preserve">Page, 2000</w:t>
        </w:r>
      </w:hyperlink>
      <w:r>
        <w:t xml:space="preserve">)</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w:t>
      </w:r>
      <w:hyperlink w:anchor="X64e6ec0eda14471ca594e076e6260d2d5ea1ff1">
        <w:r>
          <w:rPr>
            <w:rStyle w:val="Hyperlink"/>
          </w:rPr>
          <w:t xml:space="preserve">Brown &amp; Lacroix, 2017</w:t>
        </w:r>
      </w:hyperlink>
      <w:r>
        <w:t xml:space="preserve">)</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w:t>
      </w:r>
      <w:hyperlink w:anchor="ref-kwantesWhyPeopleUnderestimate2006">
        <w:r>
          <w:rPr>
            <w:rStyle w:val="Hyperlink"/>
          </w:rPr>
          <w:t xml:space="preserve">2006</w:t>
        </w:r>
      </w:hyperlink>
      <w:r>
        <w:t xml:space="preserve">)</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11</w:t>
        </w:r>
      </w:hyperlink>
      <w:r>
        <w:t xml:space="preserve"> </w:t>
      </w:r>
      <w:r>
        <w:t xml:space="preserve">for a full specification of the equations that define ALM and EXAM, and</w:t>
      </w:r>
      <w:r>
        <w:t xml:space="preserve"> </w:t>
      </w:r>
      <w:hyperlink w:anchor="fig-alm-diagram">
        <w:r>
          <w:rPr>
            <w:rStyle w:val="Hyperlink"/>
          </w:rPr>
          <w:t xml:space="preserve">Figure 17</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16" w:name="tbl-alm-exam"/>
          <w:p>
            <w:pPr>
              <w:jc w:val="center"/>
            </w:pPr>
            <w:pPr>
              <w:jc w:val="start"/>
              <w:spacing w:before="200"/>
              <w:pStyle w:val="ImageCaption"/>
            </w:pPr>
            <w:r>
              <w:t xml:space="preserve">Table 11: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16"/>
          <w:p/>
        </w:tc>
      </w:tr>
    </w:tbl>
    <w:bookmarkEnd w:id="117"/>
    <w:bookmarkStart w:id="120" w:name="model-fitting"/>
    <w:p>
      <w:pPr>
        <w:pStyle w:val="Heading2"/>
      </w:pPr>
      <w:r>
        <w:t xml:space="preserve">Model Fitting</w:t>
      </w:r>
    </w:p>
    <w:p>
      <w:pPr>
        <w:pStyle w:val="FirstParagraph"/>
      </w:pPr>
      <w:r>
        <w:t xml:space="preserve">To fit ALM and EXAM to our participant data, we employ a similar method to</w:t>
      </w:r>
      <w:r>
        <w:t xml:space="preserve"> </w:t>
      </w:r>
      <w:r>
        <w:t xml:space="preserve">Mcdaniel et al. (</w:t>
      </w:r>
      <w:hyperlink w:anchor="X11f5d5b369bd61c109baf65d1e55e39f773ac1b">
        <w:r>
          <w:rPr>
            <w:rStyle w:val="Hyperlink"/>
          </w:rPr>
          <w:t xml:space="preserve">2009</w:t>
        </w:r>
      </w:hyperlink>
      <w:r>
        <w:t xml:space="preserve">)</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rP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w:t>
            </w:r>
            <w:hyperlink w:anchor="Xd76bbde764616c71490d78902c2fe767dbf6cf7">
              <w:r>
                <w:rPr>
                  <w:rStyle w:val="Hyperlink"/>
                </w:rPr>
                <w:t xml:space="preserve">Cranmer et al., 2020</w:t>
              </w:r>
            </w:hyperlink>
            <w:r>
              <w:t xml:space="preserve">)</w:t>
            </w:r>
            <w:r>
              <w:t xml:space="preserve">, which have begun being used for parameter estimation in cognitive modeling relatively recently</w:t>
            </w:r>
            <w:r>
              <w:t xml:space="preserve"> </w:t>
            </w:r>
            <w:r>
              <w:t xml:space="preserve">(</w:t>
            </w:r>
            <w:hyperlink w:anchor="Xcf9938cf521412a86894385c0bbfa8ab14168cc">
              <w:r>
                <w:rPr>
                  <w:rStyle w:val="Hyperlink"/>
                </w:rPr>
                <w:t xml:space="preserve">Kangasrääsiö et al., 2019</w:t>
              </w:r>
            </w:hyperlink>
            <w:r>
              <w:t xml:space="preserve">;</w:t>
            </w:r>
            <w:r>
              <w:t xml:space="preserve"> </w:t>
            </w:r>
            <w:hyperlink w:anchor="X7623174e1be406b52c0c1b2ebfa7d41a05becaa">
              <w:r>
                <w:rPr>
                  <w:rStyle w:val="Hyperlink"/>
                </w:rPr>
                <w:t xml:space="preserve">Turner et al., 2016</w:t>
              </w:r>
            </w:hyperlink>
            <w:r>
              <w:t xml:space="preserve">;</w:t>
            </w:r>
            <w:r>
              <w:t xml:space="preserve"> </w:t>
            </w:r>
            <w:hyperlink w:anchor="Xeb57196bf00d31323c6b648bd4db85656f3af93">
              <w:r>
                <w:rPr>
                  <w:rStyle w:val="Hyperlink"/>
                </w:rPr>
                <w:t xml:space="preserve">Turner &amp; Van Zandt, 2012</w:t>
              </w:r>
            </w:hyperlink>
            <w:r>
              <w:t xml:space="preserve">)</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w:t>
            </w:r>
            <w:hyperlink w:anchor="Xb45317e18cbbcbacee2f01a654f7379bdb6340f">
              <w:r>
                <w:rPr>
                  <w:rStyle w:val="Hyperlink"/>
                </w:rPr>
                <w:t xml:space="preserve">Farrell &amp; Lewandowsky, 2018</w:t>
              </w:r>
            </w:hyperlink>
            <w:r>
              <w:t xml:space="preserve">;</w:t>
            </w:r>
            <w:r>
              <w:t xml:space="preserve"> </w:t>
            </w:r>
            <w:hyperlink w:anchor="Xeb57196bf00d31323c6b648bd4db85656f3af93">
              <w:r>
                <w:rPr>
                  <w:rStyle w:val="Hyperlink"/>
                </w:rPr>
                <w:t xml:space="preserve">Turner &amp; Van Zandt, 2012</w:t>
              </w:r>
            </w:hyperlink>
            <w:r>
              <w:t xml:space="preserve">)</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18"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18"/>
          </w:p>
          <w:p>
            <w:pPr>
              <w:pStyle w:val="FirstParagraph"/>
            </w:pPr>
            <w:bookmarkStart w:id="119"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19"/>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w:t>
      </w:r>
      <w:hyperlink w:anchor="Xf1ddf9b4f5716cd7af3c394b29ce926ac7d6678">
        <w:r>
          <w:rPr>
            <w:rStyle w:val="Hyperlink"/>
          </w:rPr>
          <w:t xml:space="preserve">Bengtsson, 2021</w:t>
        </w:r>
      </w:hyperlink>
      <w:r>
        <w:t xml:space="preserve">)</w:t>
      </w:r>
      <w:r>
        <w:t xml:space="preserve">, allowing us to parallelize computations across a cluster of ten M1 iMacs, each with 8 cores.</w:t>
      </w:r>
    </w:p>
    <w:bookmarkEnd w:id="120"/>
    <w:bookmarkStart w:id="156" w:name="modelling-results"/>
    <w:p>
      <w:pPr>
        <w:pStyle w:val="Heading2"/>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21" w:name="tbl-htw-modelError-e1"/>
          <w:p>
            <w:pPr>
              <w:jc w:val="center"/>
            </w:pPr>
            <w:pPr>
              <w:jc w:val="start"/>
              <w:spacing w:before="200"/>
              <w:pStyle w:val="ImageCaption"/>
            </w:pPr>
            <w:r>
              <w:t xml:space="preserve">Table 12: Models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21"/>
        </w:tc>
      </w:tr>
    </w:tbl>
    <w:tbl>
      <w:tblPr>
        <w:tblStyle w:val="Table"/>
        <w:tblW w:type="pct" w:w="5000"/>
        <w:tblLayout w:type="fixed"/>
        <w:tblLook w:firstRow="0" w:lastRow="0" w:firstColumn="0" w:lastColumn="0" w:noHBand="0" w:noVBand="0" w:val="0000"/>
      </w:tblPr>
      <w:tblGrid>
        <w:gridCol w:w="7920"/>
      </w:tblGrid>
      <w:tr>
        <w:tc>
          <w:tcPr/>
          <w:bookmarkStart w:id="125" w:name="fig-htw-post-dist"/>
          <w:p>
            <w:pPr>
              <w:pStyle w:val="Compact"/>
              <w:jc w:val="center"/>
            </w:pPr>
            <w:r>
              <w:drawing>
                <wp:inline>
                  <wp:extent cx="5334000" cy="3200400"/>
                  <wp:effectExtent b="0" l="0" r="0" t="0"/>
                  <wp:docPr descr="" title="" id="123" name="Picture"/>
                  <a:graphic>
                    <a:graphicData uri="http://schemas.openxmlformats.org/drawingml/2006/picture">
                      <pic:pic>
                        <pic:nvPicPr>
                          <pic:cNvPr descr="manuscript_files/figure-docx/fig-htw-post-dist-1.png" id="124" name="Picture"/>
                          <pic:cNvPicPr>
                            <a:picLocks noChangeArrowheads="1" noChangeAspect="1"/>
                          </pic:cNvPicPr>
                        </pic:nvPicPr>
                        <pic:blipFill>
                          <a:blip r:embed="rId122"/>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 c parameter are scaled logarithmically.</w:t>
            </w:r>
          </w:p>
          <w:bookmarkEnd w:id="125"/>
        </w:tc>
      </w:tr>
    </w:tbl>
    <w:tbl>
      <w:tblPr>
        <w:tblStyle w:val="Table"/>
        <w:tblW w:type="pct" w:w="5000"/>
        <w:tblLayout w:type="fixed"/>
        <w:tblLook w:firstRow="0" w:lastRow="0" w:firstColumn="0" w:lastColumn="0" w:noHBand="0" w:noVBand="0" w:val="0000"/>
      </w:tblPr>
      <w:tblGrid>
        <w:gridCol w:w="7920"/>
      </w:tblGrid>
      <w:tr>
        <w:tc>
          <w:tcPr/>
          <w:bookmarkStart w:id="129" w:name="fig-htw-resid-pred"/>
          <w:p>
            <w:pPr>
              <w:pStyle w:val="Compact"/>
              <w:jc w:val="center"/>
            </w:pPr>
            <w:r>
              <w:drawing>
                <wp:inline>
                  <wp:extent cx="5334000" cy="6788727"/>
                  <wp:effectExtent b="0" l="0" r="0" t="0"/>
                  <wp:docPr descr="" title="" id="127" name="Picture"/>
                  <a:graphic>
                    <a:graphicData uri="http://schemas.openxmlformats.org/drawingml/2006/picture">
                      <pic:pic>
                        <pic:nvPicPr>
                          <pic:cNvPr descr="manuscript_files/figure-docx/fig-htw-resid-pred-1.png" id="128" name="Picture"/>
                          <pic:cNvPicPr>
                            <a:picLocks noChangeArrowheads="1" noChangeAspect="1"/>
                          </pic:cNvPicPr>
                        </pic:nvPicPr>
                        <pic:blipFill>
                          <a:blip r:embed="rId126"/>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129"/>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18</w:t>
        </w:r>
      </w:hyperlink>
      <w:r>
        <w:t xml:space="preserve">, and model predictions are shown alongside the empirical data in</w:t>
      </w:r>
      <w:r>
        <w:t xml:space="preserve"> </w:t>
      </w:r>
      <w:hyperlink w:anchor="fig-cm-vx-pat">
        <w:r>
          <w:rPr>
            <w:rStyle w:val="Hyperlink"/>
          </w:rPr>
          <w:t xml:space="preserve">Figure 20</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19</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19</w:t>
        </w:r>
      </w:hyperlink>
      <w:r>
        <w:t xml:space="preserve">) also show an unsurprising pattern across fitting methods - with models fit only to the test data showing the best performance, followed by models fit to both training and test data, and with models fit only to the training data showing the worst performance (note that y axes are scaled different between plots). Although EXAM tends to perform better for both Constant and Varied participants (see also</w:t>
      </w:r>
      <w:r>
        <w:t xml:space="preserve"> </w:t>
      </w:r>
      <w:hyperlink w:anchor="fig-ee-e1">
        <w:r>
          <w:rPr>
            <w:rStyle w:val="Hyperlink"/>
          </w:rPr>
          <w:t xml:space="preserve">Figure 21</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20</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133" w:name="fig-cm-vx-pat"/>
          <w:p>
            <w:pPr>
              <w:pStyle w:val="Compact"/>
              <w:jc w:val="center"/>
            </w:pPr>
            <w:r>
              <w:drawing>
                <wp:inline>
                  <wp:extent cx="5334000" cy="5334000"/>
                  <wp:effectExtent b="0" l="0" r="0" t="0"/>
                  <wp:docPr descr="" title="" id="131" name="Picture"/>
                  <a:graphic>
                    <a:graphicData uri="http://schemas.openxmlformats.org/drawingml/2006/picture">
                      <pic:pic>
                        <pic:nvPicPr>
                          <pic:cNvPr descr="manuscript_files/figure-docx/fig-cm-vx-pat-1.png" id="132" name="Picture"/>
                          <pic:cNvPicPr>
                            <a:picLocks noChangeArrowheads="1" noChangeAspect="1"/>
                          </pic:cNvPicPr>
                        </pic:nvPicPr>
                        <pic:blipFill>
                          <a:blip r:embed="rId13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133"/>
        </w:tc>
      </w:tr>
    </w:tbl>
    <w:tbl>
      <w:tblPr>
        <w:tblStyle w:val="Table"/>
        <w:tblW w:type="pct" w:w="5000"/>
        <w:tblLayout w:type="fixed"/>
        <w:tblLook w:firstRow="0" w:lastRow="0" w:firstColumn="0" w:lastColumn="0" w:noHBand="0" w:noVBand="0" w:val="0000"/>
      </w:tblPr>
      <w:tblGrid>
        <w:gridCol w:w="7920"/>
      </w:tblGrid>
      <w:tr>
        <w:tc>
          <w:tcPr/>
          <w:bookmarkStart w:id="137" w:name="fig-ee-e1"/>
          <w:p>
            <w:pPr>
              <w:pStyle w:val="Compact"/>
              <w:jc w:val="center"/>
            </w:pPr>
            <w:r>
              <w:drawing>
                <wp:inline>
                  <wp:extent cx="5334000" cy="4267200"/>
                  <wp:effectExtent b="0" l="0" r="0" t="0"/>
                  <wp:docPr descr="" title="" id="135" name="Picture"/>
                  <a:graphic>
                    <a:graphicData uri="http://schemas.openxmlformats.org/drawingml/2006/picture">
                      <pic:pic>
                        <pic:nvPicPr>
                          <pic:cNvPr descr="manuscript_files/figure-docx/fig-ee-e1-1.png" id="136"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137"/>
        </w:tc>
      </w:tr>
    </w:tbl>
    <w:p>
      <w:pPr>
        <w:pStyle w:val="BodyText"/>
      </w:pPr>
      <w:r>
        <w:t xml:space="preserve">To quantitatively assess whether the differences in performance between models, we fit a Bayesian regression predicting the errors of the posterior predictions of each models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constant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138" w:name="tbl-htw-modelError-e23"/>
          <w:p>
            <w:pPr>
              <w:jc w:val="center"/>
            </w:pPr>
            <w:pPr>
              <w:jc w:val="start"/>
              <w:spacing w:before="200"/>
              <w:pStyle w:val="ImageCaption"/>
            </w:pPr>
            <w:r>
              <w:t xml:space="preserve">Table 13: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13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42" w:name="fig-cm-vx-pat-e2-e3"/>
          <w:p>
            <w:pPr>
              <w:pStyle w:val="Compact"/>
              <w:jc w:val="center"/>
            </w:pPr>
            <w:r>
              <w:drawing>
                <wp:inline>
                  <wp:extent cx="5334000" cy="4267200"/>
                  <wp:effectExtent b="0" l="0" r="0" t="0"/>
                  <wp:docPr descr="" title="" id="140" name="Picture"/>
                  <a:graphic>
                    <a:graphicData uri="http://schemas.openxmlformats.org/drawingml/2006/picture">
                      <pic:pic>
                        <pic:nvPicPr>
                          <pic:cNvPr descr="manuscript_files/figure-docx/fig-cm-vx-pat-e2-e3-1.png" id="141"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Empirical data and Model predictions from Experiment 2 and 3 for the testing stage. Observed data is shown on the right. Bolded bars indicate bands that were trained, non-bold bars indicate extrapolation bands.</w:t>
            </w:r>
          </w:p>
          <w:bookmarkEnd w:id="142"/>
        </w:tc>
      </w:tr>
    </w:tbl>
    <w:p>
      <w:r>
        <w:br w:type="page"/>
      </w:r>
    </w:p>
    <w:tbl>
      <w:tblPr>
        <w:tblStyle w:val="Table"/>
        <w:tblW w:type="pct" w:w="5000"/>
        <w:tblLayout w:type="fixed"/>
        <w:tblLook w:firstRow="0" w:lastRow="0" w:firstColumn="0" w:lastColumn="0" w:noHBand="0" w:noVBand="0" w:val="0000"/>
      </w:tblPr>
      <w:tblGrid>
        <w:gridCol w:w="7920"/>
      </w:tblGrid>
      <w:tr>
        <w:tc>
          <w:tcPr/>
          <w:bookmarkStart w:id="143" w:name="tbl-htw-ee-e23"/>
          <w:p>
            <w:pPr>
              <w:jc w:val="center"/>
            </w:pPr>
            <w:pPr>
              <w:jc w:val="start"/>
              <w:spacing w:before="200"/>
              <w:pStyle w:val="ImageCaption"/>
            </w:pPr>
            <w:r>
              <w:t xml:space="preserve">Table 14: Results of Bayesian Regression models predicting model error as a function of Model (ALM vs. EXAM), Condition (Constant vs. Varied), and the interaction between Model and Condition. The values represent the estimate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143"/>
        </w:tc>
      </w:tr>
    </w:tbl>
    <w:p>
      <w:pPr>
        <w:pStyle w:val="BodyText"/>
      </w:pPr>
      <w:r>
        <w:rPr>
          <w:i/>
          <w:iCs/>
        </w:rPr>
        <w:t xml:space="preserve">Model Fits to Experiment 2 and 3.</w:t>
      </w:r>
      <w:r>
        <w:t xml:space="preserve"> </w:t>
      </w:r>
      <w:r>
        <w:t xml:space="preserve">Data from Experiments 2 and 3 were fit to ALM and EXAM in the same manner as Experiment1 .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14</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23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7" w:name="fig-e2_e3_ae"/>
          <w:p>
            <w:pPr>
              <w:pStyle w:val="Compact"/>
              <w:jc w:val="center"/>
            </w:pPr>
            <w:r>
              <w:drawing>
                <wp:inline>
                  <wp:extent cx="5334000" cy="3556000"/>
                  <wp:effectExtent b="0" l="0" r="0" t="0"/>
                  <wp:docPr descr="" title="" id="145" name="Picture"/>
                  <a:graphic>
                    <a:graphicData uri="http://schemas.openxmlformats.org/drawingml/2006/picture">
                      <pic:pic>
                        <pic:nvPicPr>
                          <pic:cNvPr descr="manuscript_files/figure-docx/fig-e2_e3_ae-1.png" id="146" name="Picture"/>
                          <pic:cNvPicPr>
                            <a:picLocks noChangeArrowheads="1" noChangeAspect="1"/>
                          </pic:cNvPicPr>
                        </pic:nvPicPr>
                        <pic:blipFill>
                          <a:blip r:embed="rId14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Conditional effects of Model (ALM vs EXAM) and Condition (Constant vs. Varied) on Model Error for Experiment 2 and 3 data. Experiment 3 also includes a control for the order of training vs. testing bands (original order vs. reverse order).</w:t>
            </w:r>
          </w:p>
          <w:bookmarkEnd w:id="147"/>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14</w:t>
        </w:r>
      </w:hyperlink>
      <w:r>
        <w:t xml:space="preserve">). This pattern is clearly illustrated in</w:t>
      </w:r>
      <w:r>
        <w:t xml:space="preserve"> </w:t>
      </w:r>
      <w:hyperlink w:anchor="fig-htw-best-model">
        <w:r>
          <w:rPr>
            <w:rStyle w:val="Hyperlink"/>
          </w:rPr>
          <w:t xml:space="preserve">Figure 24</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may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25</w:t>
        </w:r>
      </w:hyperlink>
      <w:r>
        <w:t xml:space="preserve">). For example participant 68 exhibits a strong a strong non-monotonicity in the highest velocity band, a pattern which ALM can mimic, but which EXAM cannot capture, given it’s to enforce a simple linear relationship between target velocity and response. Participant 70 (lower right corner of</w:t>
      </w:r>
      <w:r>
        <w:t xml:space="preserve"> </w:t>
      </w:r>
      <w:hyperlink w:anchor="fig-htw-indv-pred">
        <w:r>
          <w:rPr>
            <w:rStyle w:val="Hyperlink"/>
          </w:rPr>
          <w:t xml:space="preserve">Figure 25</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this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w:t>
      </w:r>
      <w:hyperlink w:anchor="ref-mezzadriHoldoutStrategySelecting2022">
        <w:r>
          <w:rPr>
            <w:rStyle w:val="Hyperlink"/>
          </w:rPr>
          <w:t xml:space="preserve">Mezzadri et al., 2022</w:t>
        </w:r>
      </w:hyperlink>
      <w:r>
        <w:t xml:space="preserve">)</w:t>
      </w:r>
      <w:r>
        <w:t xml:space="preserve"> </w:t>
      </w:r>
      <w:r>
        <w:t xml:space="preserve">or penalizing models based on the range of patterns they can produce</w:t>
      </w:r>
      <w:r>
        <w:t xml:space="preserve"> </w:t>
      </w:r>
      <w:r>
        <w:t xml:space="preserve">(</w:t>
      </w:r>
      <w:hyperlink w:anchor="ref-domeGdistanceComparisonModel2023">
        <w:r>
          <w:rPr>
            <w:rStyle w:val="Hyperlink"/>
          </w:rPr>
          <w:t xml:space="preserve">Dome &amp; Wills, 2023</w:t>
        </w:r>
      </w:hyperlink>
      <w:r>
        <w:t xml:space="preserve">)</w:t>
      </w:r>
      <w:r>
        <w:t xml:space="preserve">.</w:t>
      </w:r>
    </w:p>
    <w:p>
      <w:r>
        <w:br w:type="page"/>
      </w:r>
    </w:p>
    <w:tbl>
      <w:tblPr>
        <w:tblStyle w:val="Table"/>
        <w:tblW w:type="pct" w:w="5000"/>
        <w:tblLayout w:type="fixed"/>
        <w:tblLook w:firstRow="0" w:lastRow="0" w:firstColumn="0" w:lastColumn="0" w:noHBand="0" w:noVBand="0" w:val="0000"/>
      </w:tblPr>
      <w:tblGrid>
        <w:gridCol w:w="7920"/>
      </w:tblGrid>
      <w:tr>
        <w:tc>
          <w:tcPr/>
          <w:bookmarkStart w:id="151" w:name="fig-htw-best-model"/>
          <w:p>
            <w:pPr>
              <w:pStyle w:val="Compact"/>
              <w:jc w:val="center"/>
            </w:pPr>
            <w:r>
              <w:drawing>
                <wp:inline>
                  <wp:extent cx="5334000" cy="5818909"/>
                  <wp:effectExtent b="0" l="0" r="0" t="0"/>
                  <wp:docPr descr="" title="" id="149" name="Picture"/>
                  <a:graphic>
                    <a:graphicData uri="http://schemas.openxmlformats.org/drawingml/2006/picture">
                      <pic:pic>
                        <pic:nvPicPr>
                          <pic:cNvPr descr="manuscript_files/figure-docx/fig-htw-best-model-1.png" id="150" name="Picture"/>
                          <pic:cNvPicPr>
                            <a:picLocks noChangeArrowheads="1" noChangeAspect="1"/>
                          </pic:cNvPicPr>
                        </pic:nvPicPr>
                        <pic:blipFill>
                          <a:blip r:embed="rId148"/>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Difference in model errors for each participant, with models fit to both train and test data. Positive values favor EXAM, while negative values favor ALM.</w:t>
            </w:r>
          </w:p>
          <w:bookmarkEnd w:id="151"/>
        </w:tc>
      </w:tr>
    </w:tbl>
    <w:tbl>
      <w:tblPr>
        <w:tblStyle w:val="Table"/>
        <w:tblW w:type="pct" w:w="5000"/>
        <w:tblLayout w:type="fixed"/>
        <w:tblLook w:firstRow="0" w:lastRow="0" w:firstColumn="0" w:lastColumn="0" w:noHBand="0" w:noVBand="0" w:val="0000"/>
      </w:tblPr>
      <w:tblGrid>
        <w:gridCol w:w="7920"/>
      </w:tblGrid>
      <w:tr>
        <w:tc>
          <w:tcPr/>
          <w:bookmarkStart w:id="155" w:name="fig-htw-indv-pred"/>
          <w:p>
            <w:pPr>
              <w:pStyle w:val="Compact"/>
              <w:jc w:val="center"/>
            </w:pPr>
            <w:r>
              <w:drawing>
                <wp:inline>
                  <wp:extent cx="5334000" cy="3733800"/>
                  <wp:effectExtent b="0" l="0" r="0" t="0"/>
                  <wp:docPr descr="" title="" id="153" name="Picture"/>
                  <a:graphic>
                    <a:graphicData uri="http://schemas.openxmlformats.org/drawingml/2006/picture">
                      <pic:pic>
                        <pic:nvPicPr>
                          <pic:cNvPr descr="manuscript_files/figure-docx/fig-htw-indv-pred-1.png" id="154" name="Picture"/>
                          <pic:cNvPicPr>
                            <a:picLocks noChangeArrowheads="1" noChangeAspect="1"/>
                          </pic:cNvPicPr>
                        </pic:nvPicPr>
                        <pic:blipFill>
                          <a:blip r:embed="rId152"/>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155"/>
        </w:tc>
      </w:tr>
    </w:tbl>
    <w:bookmarkEnd w:id="156"/>
    <w:bookmarkEnd w:id="157"/>
    <w:bookmarkStart w:id="158" w:name="general-discussion"/>
    <w:p>
      <w:pPr>
        <w:pStyle w:val="Heading1"/>
      </w:pPr>
      <w:r>
        <w:t xml:space="preserve">General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w:t>
      </w:r>
      <w:hyperlink w:anchor="Xb08d1d2c70db9470b6217bc6c358d6ea58e7916">
        <w:r>
          <w:rPr>
            <w:rStyle w:val="Hyperlink"/>
          </w:rPr>
          <w:t xml:space="preserve">Catalano &amp; Kleiner, 1984</w:t>
        </w:r>
      </w:hyperlink>
      <w:r>
        <w:t xml:space="preserve">;</w:t>
      </w:r>
      <w:r>
        <w:t xml:space="preserve"> </w:t>
      </w:r>
      <w:hyperlink w:anchor="X0acc7fc1613de11f1df556c6841b86f5c4c9943">
        <w:r>
          <w:rPr>
            <w:rStyle w:val="Hyperlink"/>
          </w:rPr>
          <w:t xml:space="preserve">Soderstrom &amp; Bjork, 2015</w:t>
        </w:r>
      </w:hyperlink>
      <w:r>
        <w:t xml:space="preserve">;</w:t>
      </w:r>
      <w:r>
        <w:t xml:space="preserve"> </w:t>
      </w:r>
      <w:hyperlink w:anchor="X05a5acade1fdd8bd616f6380d0ca460d0ffe88c">
        <w:r>
          <w:rPr>
            <w:rStyle w:val="Hyperlink"/>
          </w:rPr>
          <w:t xml:space="preserve">Wrisberg et al., 1987</w:t>
        </w:r>
      </w:hyperlink>
      <w:r>
        <w:t xml:space="preserve">)</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to cleanly manipulate the variability of training items in a function learning task</w:t>
      </w:r>
      <w:r>
        <w:t xml:space="preserve"> </w:t>
      </w:r>
      <w:r>
        <w:t xml:space="preserve">(</w:t>
      </w:r>
      <w:hyperlink w:anchor="ref-deloshExtrapolationSineQua1997">
        <w:r>
          <w:rPr>
            <w:rStyle w:val="Hyperlink"/>
          </w:rPr>
          <w:t xml:space="preserve">DeLosh et al., 1997</w:t>
        </w:r>
      </w:hyperlink>
      <w:r>
        <w:t xml:space="preserve">;</w:t>
      </w:r>
      <w:r>
        <w:t xml:space="preserve"> </w:t>
      </w:r>
      <w:hyperlink w:anchor="ref-vandamMappingShapeVisuomotor2015">
        <w:r>
          <w:rPr>
            <w:rStyle w:val="Hyperlink"/>
          </w:rPr>
          <w:t xml:space="preserve">van Dam &amp; Ernst, 2015</w:t>
        </w:r>
      </w:hyperlink>
      <w:r>
        <w:t xml:space="preserve">)</w:t>
      </w:r>
      <w:r>
        <w:t xml:space="preserve">, although the varied training condition of</w:t>
      </w:r>
      <w:r>
        <w:t xml:space="preserve"> </w:t>
      </w:r>
      <w:r>
        <w:t xml:space="preserve">van Dam &amp; Ernst (</w:t>
      </w:r>
      <w:hyperlink w:anchor="ref-vandamMappingShapeVisuomotor2015">
        <w:r>
          <w:rPr>
            <w:rStyle w:val="Hyperlink"/>
          </w:rPr>
          <w:t xml:space="preserve">2015</w:t>
        </w:r>
      </w:hyperlink>
      <w:r>
        <w:t xml:space="preserve">)</w:t>
      </w:r>
      <w:r>
        <w:t xml:space="preserve"> </w:t>
      </w:r>
      <w:r>
        <w:t xml:space="preserve">also exhibited less learning, neither of these previous studies observed any difference between training conditions in extrapolation to novel items. Like</w:t>
      </w:r>
      <w:r>
        <w:t xml:space="preserve"> </w:t>
      </w:r>
      <w:r>
        <w:t xml:space="preserve">DeLosh et al. (</w:t>
      </w:r>
      <w:hyperlink w:anchor="ref-deloshExtrapolationSineQua1997">
        <w:r>
          <w:rPr>
            <w:rStyle w:val="Hyperlink"/>
          </w:rPr>
          <w:t xml:space="preserve">1997</w:t>
        </w:r>
      </w:hyperlink>
      <w:r>
        <w:t xml:space="preserve">)</w:t>
      </w:r>
      <w:r>
        <w:t xml:space="preserve"> </w:t>
      </w:r>
      <w:r>
        <w:t xml:space="preserve">, our participants exhibited above chance extrapolation/discrimination of novel items, however they observed no difference between any of their three training conditions. A noteworthy difference difference between our studies is that</w:t>
      </w:r>
      <w:r>
        <w:t xml:space="preserve"> </w:t>
      </w:r>
      <w:r>
        <w:t xml:space="preserve">DeLosh et al. (</w:t>
      </w:r>
      <w:hyperlink w:anchor="ref-deloshExtrapolationSineQua1997">
        <w:r>
          <w:rPr>
            <w:rStyle w:val="Hyperlink"/>
          </w:rPr>
          <w:t xml:space="preserve">1997</w:t>
        </w:r>
      </w:hyperlink>
      <w:r>
        <w:t xml:space="preserve">)</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 may have made it more difficult to observe any between-group differences of training variation in their study.</w:t>
      </w:r>
      <w:r>
        <w:t xml:space="preserve"> </w:t>
      </w:r>
      <w:r>
        <w:t xml:space="preserve">van Dam &amp; Ernst (</w:t>
      </w:r>
      <w:hyperlink w:anchor="ref-vandamMappingShapeVisuomotor2015">
        <w:r>
          <w:rPr>
            <w:rStyle w:val="Hyperlink"/>
          </w:rPr>
          <w:t xml:space="preserve">2015</w:t>
        </w:r>
      </w:hyperlink>
      <w:r>
        <w:t xml:space="preserve">)</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preculded any sense of a</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w:t>
      </w:r>
      <w:hyperlink w:anchor="ref-deloshExtrapolationSineQua1997">
        <w:r>
          <w:rPr>
            <w:rStyle w:val="Hyperlink"/>
          </w:rPr>
          <w:t xml:space="preserve">1997</w:t>
        </w:r>
      </w:hyperlink>
      <w:r>
        <w:t xml:space="preserve">)</w:t>
      </w:r>
      <w:r>
        <w:t xml:space="preserve">.</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a three times more trials with the nearest velocity band. Such a difference may be an unavoidable consequence of varied vs. constant design which match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a training regimes that each include at least 2 distinct items, but still differ in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w:t>
      </w:r>
      <w:hyperlink w:anchor="Xcd3e26f984de6501753473df561682068cafe60">
        <w:r>
          <w:rPr>
            <w:rStyle w:val="Hyperlink"/>
          </w:rPr>
          <w:t xml:space="preserve">Busemeyer et al., 1997</w:t>
        </w:r>
      </w:hyperlink>
      <w:r>
        <w:t xml:space="preserve">;</w:t>
      </w:r>
      <w:r>
        <w:t xml:space="preserve"> </w:t>
      </w:r>
      <w:hyperlink w:anchor="ref-deloshExtrapolationSineQua1997">
        <w:r>
          <w:rPr>
            <w:rStyle w:val="Hyperlink"/>
          </w:rPr>
          <w:t xml:space="preserve">DeLosh et al., 1997</w:t>
        </w:r>
      </w:hyperlink>
      <w:r>
        <w:t xml:space="preserve">;</w:t>
      </w:r>
      <w:r>
        <w:t xml:space="preserve"> </w:t>
      </w:r>
      <w:hyperlink w:anchor="X608c095f0948e7345777f44e771042cd3bfdb40">
        <w:r>
          <w:rPr>
            <w:rStyle w:val="Hyperlink"/>
          </w:rPr>
          <w:t xml:space="preserve">Kalish, 2013</w:t>
        </w:r>
      </w:hyperlink>
      <w:r>
        <w:t xml:space="preserve">;</w:t>
      </w:r>
      <w:r>
        <w:t xml:space="preserve"> </w:t>
      </w:r>
      <w:hyperlink w:anchor="X11f5d5b369bd61c109baf65d1e55e39f773ac1b">
        <w:r>
          <w:rPr>
            <w:rStyle w:val="Hyperlink"/>
          </w:rPr>
          <w:t xml:space="preserve">Mcdaniel et al., 2009</w:t>
        </w:r>
      </w:hyperlink>
      <w:r>
        <w:t xml:space="preserve">)</w:t>
      </w:r>
      <w:r>
        <w:t xml:space="preserve">. It thus remains an open question as to whether the influence of training variability might interact with various components of the to-be-learned function.</w:t>
      </w:r>
    </w:p>
    <w:bookmarkEnd w:id="158"/>
    <w:bookmarkStart w:id="160" w:name="supplementary"/>
    <w:p>
      <w:pPr>
        <w:pStyle w:val="Heading1"/>
      </w:pPr>
      <w:r>
        <w:t xml:space="preserve">Supplementary</w:t>
      </w:r>
    </w:p>
    <w:p>
      <w:pPr>
        <w:pStyle w:val="FirstParagraph"/>
      </w:pPr>
      <w:hyperlink r:id="rId159">
        <w:r>
          <w:rPr>
            <w:rStyle w:val="Hyperlink"/>
          </w:rPr>
          <w:t xml:space="preserve">Apppendix</w:t>
        </w:r>
      </w:hyperlink>
      <w:r>
        <w:t xml:space="preserve"> </w:t>
      </w:r>
      <w:r>
        <w:t xml:space="preserve">available at https://tegorman13.github.io/htw/Analysis/e1_Analysis.html</w:t>
      </w:r>
    </w:p>
    <w:bookmarkEnd w:id="160"/>
    <w:bookmarkStart w:id="252" w:name="references"/>
    <w:p>
      <w:pPr>
        <w:pStyle w:val="Heading1"/>
      </w:pPr>
      <w:r>
        <w:t xml:space="preserve">References</w:t>
      </w:r>
    </w:p>
    <w:bookmarkStart w:id="251" w:name="refs"/>
    <w:bookmarkStart w:id="162"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161">
        <w:r>
          <w:rPr>
            <w:rStyle w:val="Hyperlink"/>
          </w:rPr>
          <w:t xml:space="preserve">https://doi.org/10.32614/RJ-2021-048</w:t>
        </w:r>
      </w:hyperlink>
    </w:p>
    <w:bookmarkEnd w:id="162"/>
    <w:bookmarkStart w:id="164"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163">
        <w:r>
          <w:rPr>
            <w:rStyle w:val="Hyperlink"/>
          </w:rPr>
          <w:t xml:space="preserve">https://doi.org/10.1152/jn.00615.2013</w:t>
        </w:r>
      </w:hyperlink>
    </w:p>
    <w:bookmarkEnd w:id="164"/>
    <w:bookmarkStart w:id="166"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165">
        <w:r>
          <w:rPr>
            <w:rStyle w:val="Hyperlink"/>
          </w:rPr>
          <w:t xml:space="preserve">https://doi.org/10.1037/0278-7393.30.1.38</w:t>
        </w:r>
      </w:hyperlink>
    </w:p>
    <w:bookmarkEnd w:id="166"/>
    <w:bookmarkStart w:id="168"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167">
        <w:r>
          <w:rPr>
            <w:rStyle w:val="Hyperlink"/>
          </w:rPr>
          <w:t xml:space="preserve">https://doi.org/10.1080/07370008.2015.1067215</w:t>
        </w:r>
      </w:hyperlink>
    </w:p>
    <w:bookmarkEnd w:id="168"/>
    <w:bookmarkStart w:id="170"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169">
        <w:r>
          <w:rPr>
            <w:rStyle w:val="Hyperlink"/>
          </w:rPr>
          <w:t xml:space="preserve">https://doi.org/10.1016/j.cub.2009.01.036</w:t>
        </w:r>
      </w:hyperlink>
    </w:p>
    <w:bookmarkEnd w:id="170"/>
    <w:bookmarkStart w:id="172"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171">
        <w:r>
          <w:rPr>
            <w:rStyle w:val="Hyperlink"/>
          </w:rPr>
          <w:t xml:space="preserve">https://doi.org/10.1016/0030-5073(74)90002-6</w:t>
        </w:r>
      </w:hyperlink>
    </w:p>
    <w:bookmarkEnd w:id="172"/>
    <w:bookmarkStart w:id="174"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173">
        <w:r>
          <w:rPr>
            <w:rStyle w:val="Hyperlink"/>
          </w:rPr>
          <w:t xml:space="preserve">https://doi.org/10.1016/j.jml.2022.104352</w:t>
        </w:r>
      </w:hyperlink>
    </w:p>
    <w:bookmarkEnd w:id="174"/>
    <w:bookmarkStart w:id="176"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175">
        <w:r>
          <w:rPr>
            <w:rStyle w:val="Hyperlink"/>
          </w:rPr>
          <w:t xml:space="preserve">https://doi.org/10.1037/cep0000129</w:t>
        </w:r>
      </w:hyperlink>
    </w:p>
    <w:bookmarkEnd w:id="176"/>
    <w:bookmarkStart w:id="178"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177">
        <w:r>
          <w:rPr>
            <w:rStyle w:val="Hyperlink"/>
          </w:rPr>
          <w:t xml:space="preserve">https://doi.org/10.18637/jss.v080.i01</w:t>
        </w:r>
      </w:hyperlink>
    </w:p>
    <w:bookmarkEnd w:id="178"/>
    <w:bookmarkStart w:id="179"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179"/>
    <w:bookmarkStart w:id="181"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180">
        <w:r>
          <w:rPr>
            <w:rStyle w:val="Hyperlink"/>
          </w:rPr>
          <w:t xml:space="preserve">https://doi.org/10.1002/j.2333-8504.1963.tb00958.x</w:t>
        </w:r>
      </w:hyperlink>
    </w:p>
    <w:bookmarkEnd w:id="181"/>
    <w:bookmarkStart w:id="183"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182">
        <w:r>
          <w:rPr>
            <w:rStyle w:val="Hyperlink"/>
          </w:rPr>
          <w:t xml:space="preserve">https://doi.org/10.2466/pms.1984.58.3.851</w:t>
        </w:r>
      </w:hyperlink>
    </w:p>
    <w:bookmarkEnd w:id="183"/>
    <w:bookmarkStart w:id="185"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184">
        <w:r>
          <w:rPr>
            <w:rStyle w:val="Hyperlink"/>
          </w:rPr>
          <w:t xml:space="preserve">https://doi.org/10.1016/j.cogpsych.2021.101406</w:t>
        </w:r>
      </w:hyperlink>
    </w:p>
    <w:bookmarkEnd w:id="185"/>
    <w:bookmarkStart w:id="187"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186">
        <w:r>
          <w:rPr>
            <w:rStyle w:val="Hyperlink"/>
          </w:rPr>
          <w:t xml:space="preserve">https://doi.org/10.3758/BF03206386</w:t>
        </w:r>
      </w:hyperlink>
    </w:p>
    <w:bookmarkEnd w:id="187"/>
    <w:bookmarkStart w:id="189"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188">
        <w:r>
          <w:rPr>
            <w:rStyle w:val="Hyperlink"/>
          </w:rPr>
          <w:t xml:space="preserve">https://doi.org/10.1111/j.2044-8317.2011.02016.x</w:t>
        </w:r>
      </w:hyperlink>
    </w:p>
    <w:bookmarkEnd w:id="189"/>
    <w:bookmarkStart w:id="191"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190">
        <w:r>
          <w:rPr>
            <w:rStyle w:val="Hyperlink"/>
          </w:rPr>
          <w:t xml:space="preserve">https://doi.org/10.1073/pnas.1912789117</w:t>
        </w:r>
      </w:hyperlink>
    </w:p>
    <w:bookmarkEnd w:id="191"/>
    <w:bookmarkStart w:id="193"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192">
        <w:r>
          <w:rPr>
            <w:rStyle w:val="Hyperlink"/>
          </w:rPr>
          <w:t xml:space="preserve">https://doi.org/10.1037/0278-7393.23.4.968</w:t>
        </w:r>
      </w:hyperlink>
    </w:p>
    <w:bookmarkEnd w:id="193"/>
    <w:bookmarkStart w:id="195"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194">
        <w:r>
          <w:rPr>
            <w:rStyle w:val="Hyperlink"/>
          </w:rPr>
          <w:t xml:space="preserve">https://doi.org/10.31234/osf.io/ygmcj</w:t>
        </w:r>
      </w:hyperlink>
    </w:p>
    <w:bookmarkEnd w:id="195"/>
    <w:bookmarkStart w:id="197"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196">
        <w:r>
          <w:rPr>
            <w:rStyle w:val="Hyperlink"/>
          </w:rPr>
          <w:t xml:space="preserve">https://doi.org/10.1017/CBO9781316272503</w:t>
        </w:r>
      </w:hyperlink>
    </w:p>
    <w:bookmarkEnd w:id="197"/>
    <w:bookmarkStart w:id="199"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198">
        <w:r>
          <w:rPr>
            <w:rStyle w:val="Hyperlink"/>
          </w:rPr>
          <w:t xml:space="preserve">https://www.jstor.org/stable/43551124</w:t>
        </w:r>
      </w:hyperlink>
    </w:p>
    <w:bookmarkEnd w:id="199"/>
    <w:bookmarkStart w:id="201"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200">
        <w:r>
          <w:rPr>
            <w:rStyle w:val="Hyperlink"/>
          </w:rPr>
          <w:t xml:space="preserve">https://doi.org/10.3758/s13421-023-01516-1</w:t>
        </w:r>
      </w:hyperlink>
    </w:p>
    <w:bookmarkEnd w:id="201"/>
    <w:bookmarkStart w:id="203"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202">
        <w:r>
          <w:rPr>
            <w:rStyle w:val="Hyperlink"/>
          </w:rPr>
          <w:t xml:space="preserve">https://doi.org/10.3758/s13421-013-0306-9</w:t>
        </w:r>
      </w:hyperlink>
    </w:p>
    <w:bookmarkEnd w:id="203"/>
    <w:bookmarkStart w:id="205"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204">
        <w:r>
          <w:rPr>
            <w:rStyle w:val="Hyperlink"/>
          </w:rPr>
          <w:t xml:space="preserve">https://doi.org/10.1037/0033-295X.111.4.1072</w:t>
        </w:r>
      </w:hyperlink>
    </w:p>
    <w:bookmarkEnd w:id="205"/>
    <w:bookmarkStart w:id="207"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206">
        <w:r>
          <w:rPr>
            <w:rStyle w:val="Hyperlink"/>
          </w:rPr>
          <w:t xml:space="preserve">https://doi.org/10.1111/cogs.12738</w:t>
        </w:r>
      </w:hyperlink>
    </w:p>
    <w:bookmarkEnd w:id="207"/>
    <w:bookmarkStart w:id="209"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208">
        <w:r>
          <w:rPr>
            <w:rStyle w:val="Hyperlink"/>
          </w:rPr>
          <w:t xml:space="preserve">https://doi.org/10.1037/0278-7393.17.5.811</w:t>
        </w:r>
      </w:hyperlink>
    </w:p>
    <w:bookmarkEnd w:id="209"/>
    <w:bookmarkStart w:id="211"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210">
        <w:r>
          <w:rPr>
            <w:rStyle w:val="Hyperlink"/>
          </w:rPr>
          <w:t xml:space="preserve">https://doi.org/10.1037/0033-295X.99.1.22</w:t>
        </w:r>
      </w:hyperlink>
    </w:p>
    <w:bookmarkEnd w:id="211"/>
    <w:bookmarkStart w:id="213"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212">
        <w:r>
          <w:rPr>
            <w:rStyle w:val="Hyperlink"/>
          </w:rPr>
          <w:t xml:space="preserve">https://doi.org/10.1037/0278-7393.32.5.1019</w:t>
        </w:r>
      </w:hyperlink>
    </w:p>
    <w:bookmarkEnd w:id="213"/>
    <w:bookmarkStart w:id="215"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4">
        <w:r>
          <w:rPr>
            <w:rStyle w:val="Hyperlink"/>
          </w:rPr>
          <w:t xml:space="preserve">https://doi.org/10.21105/joss.01541</w:t>
        </w:r>
      </w:hyperlink>
    </w:p>
    <w:bookmarkEnd w:id="215"/>
    <w:bookmarkStart w:id="217" w:name="X11f5d5b369bd61c109baf65d1e55e39f773ac1b"/>
    <w:p>
      <w:pPr>
        <w:pStyle w:val="Bibliography"/>
      </w:pPr>
      <w:r>
        <w:t xml:space="preserve">Mcdaniel, M. A., Dimperio, E., Griego, J. A.,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216">
        <w:r>
          <w:rPr>
            <w:rStyle w:val="Hyperlink"/>
          </w:rPr>
          <w:t xml:space="preserve">https://doi.org/10.1037/a0013982</w:t>
        </w:r>
      </w:hyperlink>
    </w:p>
    <w:bookmarkEnd w:id="217"/>
    <w:bookmarkStart w:id="219"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218">
        <w:r>
          <w:rPr>
            <w:rStyle w:val="Hyperlink"/>
          </w:rPr>
          <w:t xml:space="preserve">https://doi.org/10.1037/a0032184</w:t>
        </w:r>
      </w:hyperlink>
    </w:p>
    <w:bookmarkEnd w:id="219"/>
    <w:bookmarkStart w:id="221"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220">
        <w:r>
          <w:rPr>
            <w:rStyle w:val="Hyperlink"/>
          </w:rPr>
          <w:t xml:space="preserve">https://doi.org/10.1016/j.jmp.2022.102691</w:t>
        </w:r>
      </w:hyperlink>
    </w:p>
    <w:bookmarkEnd w:id="221"/>
    <w:bookmarkStart w:id="223"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222">
        <w:r>
          <w:rPr>
            <w:rStyle w:val="Hyperlink"/>
          </w:rPr>
          <w:t xml:space="preserve">https://doi.org/10.1017/S0140525X00003356</w:t>
        </w:r>
      </w:hyperlink>
    </w:p>
    <w:bookmarkEnd w:id="223"/>
    <w:bookmarkStart w:id="225"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224">
        <w:r>
          <w:rPr>
            <w:rStyle w:val="Hyperlink"/>
          </w:rPr>
          <w:t xml:space="preserve">https://doi.org/10.1177/0956797610389189</w:t>
        </w:r>
      </w:hyperlink>
    </w:p>
    <w:bookmarkEnd w:id="225"/>
    <w:bookmarkStart w:id="227"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226">
        <w:r>
          <w:rPr>
            <w:rStyle w:val="Hyperlink"/>
          </w:rPr>
          <w:t xml:space="preserve">https://doi.org/10.1037/h0025953</w:t>
        </w:r>
      </w:hyperlink>
    </w:p>
    <w:bookmarkEnd w:id="227"/>
    <w:bookmarkStart w:id="229"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228">
        <w:r>
          <w:rPr>
            <w:rStyle w:val="Hyperlink"/>
          </w:rPr>
          <w:t xml:space="preserve">https://doi.org/10.1016/j.tics.2022.03.007</w:t>
        </w:r>
      </w:hyperlink>
    </w:p>
    <w:bookmarkEnd w:id="229"/>
    <w:bookmarkStart w:id="231"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230">
        <w:r>
          <w:rPr>
            <w:rStyle w:val="Hyperlink"/>
          </w:rPr>
          <w:t xml:space="preserve">https://doi.org/10.1016/S0926-6410(01)00077-5</w:t>
        </w:r>
      </w:hyperlink>
    </w:p>
    <w:bookmarkEnd w:id="231"/>
    <w:bookmarkStart w:id="233"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232">
        <w:r>
          <w:rPr>
            <w:rStyle w:val="Hyperlink"/>
          </w:rPr>
          <w:t xml:space="preserve">https://doi.org/10.1016/j.actpsy.2021.103356</w:t>
        </w:r>
      </w:hyperlink>
    </w:p>
    <w:bookmarkEnd w:id="233"/>
    <w:bookmarkStart w:id="235"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234">
        <w:r>
          <w:rPr>
            <w:rStyle w:val="Hyperlink"/>
          </w:rPr>
          <w:t xml:space="preserve">https://doi.org/10.1037/h0076770</w:t>
        </w:r>
      </w:hyperlink>
    </w:p>
    <w:bookmarkEnd w:id="235"/>
    <w:bookmarkStart w:id="237"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236">
        <w:r>
          <w:rPr>
            <w:rStyle w:val="Hyperlink"/>
          </w:rPr>
          <w:t xml:space="preserve">https://doi.org/10.1162/opmi_a_00032</w:t>
        </w:r>
      </w:hyperlink>
    </w:p>
    <w:bookmarkEnd w:id="237"/>
    <w:bookmarkStart w:id="239"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238">
        <w:r>
          <w:rPr>
            <w:rStyle w:val="Hyperlink"/>
          </w:rPr>
          <w:t xml:space="preserve">https://doi.org/10.1177/1745691615569000</w:t>
        </w:r>
      </w:hyperlink>
    </w:p>
    <w:bookmarkEnd w:id="239"/>
    <w:bookmarkStart w:id="240"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240"/>
    <w:bookmarkStart w:id="242"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241">
        <w:r>
          <w:rPr>
            <w:rStyle w:val="Hyperlink"/>
          </w:rPr>
          <w:t xml:space="preserve">https://doi.org/10.1016/j.jmp.2014.10.001</w:t>
        </w:r>
      </w:hyperlink>
    </w:p>
    <w:bookmarkEnd w:id="242"/>
    <w:bookmarkStart w:id="244"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243">
        <w:r>
          <w:rPr>
            <w:rStyle w:val="Hyperlink"/>
          </w:rPr>
          <w:t xml:space="preserve">https://doi.org/10.1016/j.jmp.2012.02.005</w:t>
        </w:r>
      </w:hyperlink>
    </w:p>
    <w:bookmarkEnd w:id="244"/>
    <w:bookmarkStart w:id="246"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245">
        <w:r>
          <w:rPr>
            <w:rStyle w:val="Hyperlink"/>
          </w:rPr>
          <w:t xml:space="preserve">https://doi.org/10.1371/journal.pcbi.1004172</w:t>
        </w:r>
      </w:hyperlink>
    </w:p>
    <w:bookmarkEnd w:id="246"/>
    <w:bookmarkStart w:id="248"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247">
        <w:r>
          <w:rPr>
            <w:rStyle w:val="Hyperlink"/>
          </w:rPr>
          <w:t xml:space="preserve">https://doi.org/10.1016/0167-9457(90)90010-B</w:t>
        </w:r>
      </w:hyperlink>
    </w:p>
    <w:bookmarkEnd w:id="248"/>
    <w:bookmarkStart w:id="250"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249">
        <w:r>
          <w:rPr>
            <w:rStyle w:val="Hyperlink"/>
          </w:rPr>
          <w:t xml:space="preserve">https://doi.org/10.1080/02701367.1987.10608114</w:t>
        </w:r>
      </w:hyperlink>
    </w:p>
    <w:bookmarkEnd w:id="250"/>
    <w:bookmarkEnd w:id="251"/>
    <w:bookmarkEnd w:id="2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2" Target="media/rId62.png" /><Relationship Type="http://schemas.openxmlformats.org/officeDocument/2006/relationships/image" Id="rId112" Target="media/rId112.png" /><Relationship Type="http://schemas.openxmlformats.org/officeDocument/2006/relationships/image" Id="rId130" Target="media/rId130.png" /><Relationship Type="http://schemas.openxmlformats.org/officeDocument/2006/relationships/image" Id="rId139" Target="media/rId139.png" /><Relationship Type="http://schemas.openxmlformats.org/officeDocument/2006/relationships/image" Id="rId20" Target="media/rId20.png" /><Relationship Type="http://schemas.openxmlformats.org/officeDocument/2006/relationships/image" Id="rId55" Target="media/rId5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82" Target="media/rId82.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67" Target="media/rId67.png" /><Relationship Type="http://schemas.openxmlformats.org/officeDocument/2006/relationships/image" Id="rId144" Target="media/rId144.png" /><Relationship Type="http://schemas.openxmlformats.org/officeDocument/2006/relationships/image" Id="rId105" Target="media/rId105.png" /><Relationship Type="http://schemas.openxmlformats.org/officeDocument/2006/relationships/image" Id="rId96" Target="media/rId96.png" /><Relationship Type="http://schemas.openxmlformats.org/officeDocument/2006/relationships/image" Id="rId101" Target="media/rId101.png" /><Relationship Type="http://schemas.openxmlformats.org/officeDocument/2006/relationships/image" Id="rId91" Target="media/rId91.png" /><Relationship Type="http://schemas.openxmlformats.org/officeDocument/2006/relationships/image" Id="rId134" Target="media/rId134.png" /><Relationship Type="http://schemas.openxmlformats.org/officeDocument/2006/relationships/image" Id="rId148" Target="media/rId148.png" /><Relationship Type="http://schemas.openxmlformats.org/officeDocument/2006/relationships/image" Id="rId152" Target="media/rId152.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hyperlink" Id="rId180" Target="https://doi.org/10.1002/j.2333-8504.1963.tb00958.x" TargetMode="External" /><Relationship Type="http://schemas.openxmlformats.org/officeDocument/2006/relationships/hyperlink" Id="rId171" Target="https://doi.org/10.1016/0030-5073(74)90002-6" TargetMode="External" /><Relationship Type="http://schemas.openxmlformats.org/officeDocument/2006/relationships/hyperlink" Id="rId247" Target="https://doi.org/10.1016/0167-9457(90)90010-B" TargetMode="External" /><Relationship Type="http://schemas.openxmlformats.org/officeDocument/2006/relationships/hyperlink" Id="rId230" Target="https://doi.org/10.1016/S0926-6410(01)00077-5" TargetMode="External" /><Relationship Type="http://schemas.openxmlformats.org/officeDocument/2006/relationships/hyperlink" Id="rId232" Target="https://doi.org/10.1016/j.actpsy.2021.103356" TargetMode="External" /><Relationship Type="http://schemas.openxmlformats.org/officeDocument/2006/relationships/hyperlink" Id="rId184" Target="https://doi.org/10.1016/j.cogpsych.2021.101406" TargetMode="External" /><Relationship Type="http://schemas.openxmlformats.org/officeDocument/2006/relationships/hyperlink" Id="rId169" Target="https://doi.org/10.1016/j.cub.2009.01.036" TargetMode="External" /><Relationship Type="http://schemas.openxmlformats.org/officeDocument/2006/relationships/hyperlink" Id="rId173" Target="https://doi.org/10.1016/j.jml.2022.104352" TargetMode="External" /><Relationship Type="http://schemas.openxmlformats.org/officeDocument/2006/relationships/hyperlink" Id="rId243" Target="https://doi.org/10.1016/j.jmp.2012.02.005" TargetMode="External" /><Relationship Type="http://schemas.openxmlformats.org/officeDocument/2006/relationships/hyperlink" Id="rId241" Target="https://doi.org/10.1016/j.jmp.2014.10.001" TargetMode="External" /><Relationship Type="http://schemas.openxmlformats.org/officeDocument/2006/relationships/hyperlink" Id="rId220" Target="https://doi.org/10.1016/j.jmp.2022.102691" TargetMode="External" /><Relationship Type="http://schemas.openxmlformats.org/officeDocument/2006/relationships/hyperlink" Id="rId228" Target="https://doi.org/10.1016/j.tics.2022.03.007" TargetMode="External" /><Relationship Type="http://schemas.openxmlformats.org/officeDocument/2006/relationships/hyperlink" Id="rId196" Target="https://doi.org/10.1017/CBO9781316272503" TargetMode="External" /><Relationship Type="http://schemas.openxmlformats.org/officeDocument/2006/relationships/hyperlink" Id="rId222" Target="https://doi.org/10.1017/S0140525X00003356" TargetMode="External" /><Relationship Type="http://schemas.openxmlformats.org/officeDocument/2006/relationships/hyperlink" Id="rId204" Target="https://doi.org/10.1037/0033-295X.111.4.1072" TargetMode="External" /><Relationship Type="http://schemas.openxmlformats.org/officeDocument/2006/relationships/hyperlink" Id="rId210" Target="https://doi.org/10.1037/0033-295X.99.1.22" TargetMode="External" /><Relationship Type="http://schemas.openxmlformats.org/officeDocument/2006/relationships/hyperlink" Id="rId208" Target="https://doi.org/10.1037/0278-7393.17.5.811" TargetMode="External" /><Relationship Type="http://schemas.openxmlformats.org/officeDocument/2006/relationships/hyperlink" Id="rId192" Target="https://doi.org/10.1037/0278-7393.23.4.968" TargetMode="External" /><Relationship Type="http://schemas.openxmlformats.org/officeDocument/2006/relationships/hyperlink" Id="rId165" Target="https://doi.org/10.1037/0278-7393.30.1.38" TargetMode="External" /><Relationship Type="http://schemas.openxmlformats.org/officeDocument/2006/relationships/hyperlink" Id="rId212" Target="https://doi.org/10.1037/0278-7393.32.5.1019" TargetMode="External" /><Relationship Type="http://schemas.openxmlformats.org/officeDocument/2006/relationships/hyperlink" Id="rId216" Target="https://doi.org/10.1037/a0013982" TargetMode="External" /><Relationship Type="http://schemas.openxmlformats.org/officeDocument/2006/relationships/hyperlink" Id="rId218" Target="https://doi.org/10.1037/a0032184" TargetMode="External" /><Relationship Type="http://schemas.openxmlformats.org/officeDocument/2006/relationships/hyperlink" Id="rId175" Target="https://doi.org/10.1037/cep0000129" TargetMode="External" /><Relationship Type="http://schemas.openxmlformats.org/officeDocument/2006/relationships/hyperlink" Id="rId226" Target="https://doi.org/10.1037/h0025953" TargetMode="External" /><Relationship Type="http://schemas.openxmlformats.org/officeDocument/2006/relationships/hyperlink" Id="rId234" Target="https://doi.org/10.1037/h0076770" TargetMode="External" /><Relationship Type="http://schemas.openxmlformats.org/officeDocument/2006/relationships/hyperlink" Id="rId190" Target="https://doi.org/10.1073/pnas.1912789117" TargetMode="External" /><Relationship Type="http://schemas.openxmlformats.org/officeDocument/2006/relationships/hyperlink" Id="rId249" Target="https://doi.org/10.1080/02701367.1987.10608114" TargetMode="External" /><Relationship Type="http://schemas.openxmlformats.org/officeDocument/2006/relationships/hyperlink" Id="rId167" Target="https://doi.org/10.1080/07370008.2015.1067215" TargetMode="External" /><Relationship Type="http://schemas.openxmlformats.org/officeDocument/2006/relationships/hyperlink" Id="rId206" Target="https://doi.org/10.1111/cogs.12738" TargetMode="External" /><Relationship Type="http://schemas.openxmlformats.org/officeDocument/2006/relationships/hyperlink" Id="rId188" Target="https://doi.org/10.1111/j.2044-8317.2011.02016.x" TargetMode="External" /><Relationship Type="http://schemas.openxmlformats.org/officeDocument/2006/relationships/hyperlink" Id="rId163" Target="https://doi.org/10.1152/jn.00615.2013" TargetMode="External" /><Relationship Type="http://schemas.openxmlformats.org/officeDocument/2006/relationships/hyperlink" Id="rId236" Target="https://doi.org/10.1162/opmi_a_00032" TargetMode="External" /><Relationship Type="http://schemas.openxmlformats.org/officeDocument/2006/relationships/hyperlink" Id="rId224" Target="https://doi.org/10.1177/0956797610389189" TargetMode="External" /><Relationship Type="http://schemas.openxmlformats.org/officeDocument/2006/relationships/hyperlink" Id="rId238" Target="https://doi.org/10.1177/1745691615569000" TargetMode="External" /><Relationship Type="http://schemas.openxmlformats.org/officeDocument/2006/relationships/hyperlink" Id="rId245" Target="https://doi.org/10.1371/journal.pcbi.1004172" TargetMode="External" /><Relationship Type="http://schemas.openxmlformats.org/officeDocument/2006/relationships/hyperlink" Id="rId177" Target="https://doi.org/10.18637/jss.v080.i01" TargetMode="External" /><Relationship Type="http://schemas.openxmlformats.org/officeDocument/2006/relationships/hyperlink" Id="rId214" Target="https://doi.org/10.21105/joss.01541" TargetMode="External" /><Relationship Type="http://schemas.openxmlformats.org/officeDocument/2006/relationships/hyperlink" Id="rId182" Target="https://doi.org/10.2466/pms.1984.58.3.851" TargetMode="External" /><Relationship Type="http://schemas.openxmlformats.org/officeDocument/2006/relationships/hyperlink" Id="rId194" Target="https://doi.org/10.31234/osf.io/ygmcj" TargetMode="External" /><Relationship Type="http://schemas.openxmlformats.org/officeDocument/2006/relationships/hyperlink" Id="rId161" Target="https://doi.org/10.32614/RJ-2021-048" TargetMode="External" /><Relationship Type="http://schemas.openxmlformats.org/officeDocument/2006/relationships/hyperlink" Id="rId186" Target="https://doi.org/10.3758/BF03206386" TargetMode="External" /><Relationship Type="http://schemas.openxmlformats.org/officeDocument/2006/relationships/hyperlink" Id="rId202" Target="https://doi.org/10.3758/s13421-013-0306-9" TargetMode="External" /><Relationship Type="http://schemas.openxmlformats.org/officeDocument/2006/relationships/hyperlink" Id="rId200" Target="https://doi.org/10.3758/s13421-023-01516-1" TargetMode="External" /><Relationship Type="http://schemas.openxmlformats.org/officeDocument/2006/relationships/hyperlink" Id="rId28" Target="https://phaser.io/" TargetMode="External" /><Relationship Type="http://schemas.openxmlformats.org/officeDocument/2006/relationships/hyperlink" Id="rId159" Target="https://tegorman13.github.io/htw/Analysis/e1_Analysis.html" TargetMode="External" /><Relationship Type="http://schemas.openxmlformats.org/officeDocument/2006/relationships/hyperlink" Id="rId198"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180" Target="https://doi.org/10.1002/j.2333-8504.1963.tb00958.x" TargetMode="External" /><Relationship Type="http://schemas.openxmlformats.org/officeDocument/2006/relationships/hyperlink" Id="rId171" Target="https://doi.org/10.1016/0030-5073(74)90002-6" TargetMode="External" /><Relationship Type="http://schemas.openxmlformats.org/officeDocument/2006/relationships/hyperlink" Id="rId247" Target="https://doi.org/10.1016/0167-9457(90)90010-B" TargetMode="External" /><Relationship Type="http://schemas.openxmlformats.org/officeDocument/2006/relationships/hyperlink" Id="rId230" Target="https://doi.org/10.1016/S0926-6410(01)00077-5" TargetMode="External" /><Relationship Type="http://schemas.openxmlformats.org/officeDocument/2006/relationships/hyperlink" Id="rId232" Target="https://doi.org/10.1016/j.actpsy.2021.103356" TargetMode="External" /><Relationship Type="http://schemas.openxmlformats.org/officeDocument/2006/relationships/hyperlink" Id="rId184" Target="https://doi.org/10.1016/j.cogpsych.2021.101406" TargetMode="External" /><Relationship Type="http://schemas.openxmlformats.org/officeDocument/2006/relationships/hyperlink" Id="rId169" Target="https://doi.org/10.1016/j.cub.2009.01.036" TargetMode="External" /><Relationship Type="http://schemas.openxmlformats.org/officeDocument/2006/relationships/hyperlink" Id="rId173" Target="https://doi.org/10.1016/j.jml.2022.104352" TargetMode="External" /><Relationship Type="http://schemas.openxmlformats.org/officeDocument/2006/relationships/hyperlink" Id="rId243" Target="https://doi.org/10.1016/j.jmp.2012.02.005" TargetMode="External" /><Relationship Type="http://schemas.openxmlformats.org/officeDocument/2006/relationships/hyperlink" Id="rId241" Target="https://doi.org/10.1016/j.jmp.2014.10.001" TargetMode="External" /><Relationship Type="http://schemas.openxmlformats.org/officeDocument/2006/relationships/hyperlink" Id="rId220" Target="https://doi.org/10.1016/j.jmp.2022.102691" TargetMode="External" /><Relationship Type="http://schemas.openxmlformats.org/officeDocument/2006/relationships/hyperlink" Id="rId228" Target="https://doi.org/10.1016/j.tics.2022.03.007" TargetMode="External" /><Relationship Type="http://schemas.openxmlformats.org/officeDocument/2006/relationships/hyperlink" Id="rId196" Target="https://doi.org/10.1017/CBO9781316272503" TargetMode="External" /><Relationship Type="http://schemas.openxmlformats.org/officeDocument/2006/relationships/hyperlink" Id="rId222" Target="https://doi.org/10.1017/S0140525X00003356" TargetMode="External" /><Relationship Type="http://schemas.openxmlformats.org/officeDocument/2006/relationships/hyperlink" Id="rId204" Target="https://doi.org/10.1037/0033-295X.111.4.1072" TargetMode="External" /><Relationship Type="http://schemas.openxmlformats.org/officeDocument/2006/relationships/hyperlink" Id="rId210" Target="https://doi.org/10.1037/0033-295X.99.1.22" TargetMode="External" /><Relationship Type="http://schemas.openxmlformats.org/officeDocument/2006/relationships/hyperlink" Id="rId208" Target="https://doi.org/10.1037/0278-7393.17.5.811" TargetMode="External" /><Relationship Type="http://schemas.openxmlformats.org/officeDocument/2006/relationships/hyperlink" Id="rId192" Target="https://doi.org/10.1037/0278-7393.23.4.968" TargetMode="External" /><Relationship Type="http://schemas.openxmlformats.org/officeDocument/2006/relationships/hyperlink" Id="rId165" Target="https://doi.org/10.1037/0278-7393.30.1.38" TargetMode="External" /><Relationship Type="http://schemas.openxmlformats.org/officeDocument/2006/relationships/hyperlink" Id="rId212" Target="https://doi.org/10.1037/0278-7393.32.5.1019" TargetMode="External" /><Relationship Type="http://schemas.openxmlformats.org/officeDocument/2006/relationships/hyperlink" Id="rId216" Target="https://doi.org/10.1037/a0013982" TargetMode="External" /><Relationship Type="http://schemas.openxmlformats.org/officeDocument/2006/relationships/hyperlink" Id="rId218" Target="https://doi.org/10.1037/a0032184" TargetMode="External" /><Relationship Type="http://schemas.openxmlformats.org/officeDocument/2006/relationships/hyperlink" Id="rId175" Target="https://doi.org/10.1037/cep0000129" TargetMode="External" /><Relationship Type="http://schemas.openxmlformats.org/officeDocument/2006/relationships/hyperlink" Id="rId226" Target="https://doi.org/10.1037/h0025953" TargetMode="External" /><Relationship Type="http://schemas.openxmlformats.org/officeDocument/2006/relationships/hyperlink" Id="rId234" Target="https://doi.org/10.1037/h0076770" TargetMode="External" /><Relationship Type="http://schemas.openxmlformats.org/officeDocument/2006/relationships/hyperlink" Id="rId190" Target="https://doi.org/10.1073/pnas.1912789117" TargetMode="External" /><Relationship Type="http://schemas.openxmlformats.org/officeDocument/2006/relationships/hyperlink" Id="rId249" Target="https://doi.org/10.1080/02701367.1987.10608114" TargetMode="External" /><Relationship Type="http://schemas.openxmlformats.org/officeDocument/2006/relationships/hyperlink" Id="rId167" Target="https://doi.org/10.1080/07370008.2015.1067215" TargetMode="External" /><Relationship Type="http://schemas.openxmlformats.org/officeDocument/2006/relationships/hyperlink" Id="rId206" Target="https://doi.org/10.1111/cogs.12738" TargetMode="External" /><Relationship Type="http://schemas.openxmlformats.org/officeDocument/2006/relationships/hyperlink" Id="rId188" Target="https://doi.org/10.1111/j.2044-8317.2011.02016.x" TargetMode="External" /><Relationship Type="http://schemas.openxmlformats.org/officeDocument/2006/relationships/hyperlink" Id="rId163" Target="https://doi.org/10.1152/jn.00615.2013" TargetMode="External" /><Relationship Type="http://schemas.openxmlformats.org/officeDocument/2006/relationships/hyperlink" Id="rId236" Target="https://doi.org/10.1162/opmi_a_00032" TargetMode="External" /><Relationship Type="http://schemas.openxmlformats.org/officeDocument/2006/relationships/hyperlink" Id="rId224" Target="https://doi.org/10.1177/0956797610389189" TargetMode="External" /><Relationship Type="http://schemas.openxmlformats.org/officeDocument/2006/relationships/hyperlink" Id="rId238" Target="https://doi.org/10.1177/1745691615569000" TargetMode="External" /><Relationship Type="http://schemas.openxmlformats.org/officeDocument/2006/relationships/hyperlink" Id="rId245" Target="https://doi.org/10.1371/journal.pcbi.1004172" TargetMode="External" /><Relationship Type="http://schemas.openxmlformats.org/officeDocument/2006/relationships/hyperlink" Id="rId177" Target="https://doi.org/10.18637/jss.v080.i01" TargetMode="External" /><Relationship Type="http://schemas.openxmlformats.org/officeDocument/2006/relationships/hyperlink" Id="rId214" Target="https://doi.org/10.21105/joss.01541" TargetMode="External" /><Relationship Type="http://schemas.openxmlformats.org/officeDocument/2006/relationships/hyperlink" Id="rId182" Target="https://doi.org/10.2466/pms.1984.58.3.851" TargetMode="External" /><Relationship Type="http://schemas.openxmlformats.org/officeDocument/2006/relationships/hyperlink" Id="rId194" Target="https://doi.org/10.31234/osf.io/ygmcj" TargetMode="External" /><Relationship Type="http://schemas.openxmlformats.org/officeDocument/2006/relationships/hyperlink" Id="rId161" Target="https://doi.org/10.32614/RJ-2021-048" TargetMode="External" /><Relationship Type="http://schemas.openxmlformats.org/officeDocument/2006/relationships/hyperlink" Id="rId186" Target="https://doi.org/10.3758/BF03206386" TargetMode="External" /><Relationship Type="http://schemas.openxmlformats.org/officeDocument/2006/relationships/hyperlink" Id="rId202" Target="https://doi.org/10.3758/s13421-013-0306-9" TargetMode="External" /><Relationship Type="http://schemas.openxmlformats.org/officeDocument/2006/relationships/hyperlink" Id="rId200" Target="https://doi.org/10.3758/s13421-023-01516-1" TargetMode="External" /><Relationship Type="http://schemas.openxmlformats.org/officeDocument/2006/relationships/hyperlink" Id="rId28" Target="https://phaser.io/" TargetMode="External" /><Relationship Type="http://schemas.openxmlformats.org/officeDocument/2006/relationships/hyperlink" Id="rId159" Target="https://tegorman13.github.io/htw/Analysis/e1_Analysis.html" TargetMode="External" /><Relationship Type="http://schemas.openxmlformats.org/officeDocument/2006/relationships/hyperlink" Id="rId198"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Training Variability on Visuomotor Function Learning and Extrapolation</dc:title>
  <dc:creator>Thomas E. Gorman; Robert L. Goldstone</dc:creator>
  <cp:keywords>Learning Generalization, Function Learning, Visuomotor learning, Training Variability</cp:keywords>
  <dcterms:created xsi:type="dcterms:W3CDTF">2024-07-02T17:36:47Z</dcterms:created>
  <dcterms:modified xsi:type="dcterms:W3CDTF">2024-07-02T17:36:47Z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../Assets/Bib/Dissertation.bib</vt:lpwstr>
  </property>
  <property fmtid="{D5CDD505-2E9C-101B-9397-08002B2CF9AE}" pid="6" name="by-affiliation">
    <vt:lpwstr/>
  </property>
  <property fmtid="{D5CDD505-2E9C-101B-9397-08002B2CF9AE}" pid="7" name="by-author">
    <vt:lpwstr/>
  </property>
  <property fmtid="{D5CDD505-2E9C-101B-9397-08002B2CF9AE}" pid="8" name="code-repo">
    <vt:lpwstr>Access the code, data, and analysis at https://github.com/tegorman13/htw</vt:lpwstr>
  </property>
  <property fmtid="{D5CDD505-2E9C-101B-9397-08002B2CF9AE}" pid="9" name="csl">
    <vt:lpwstr>../Assets/Bib/apa7.csl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nk-citations">
    <vt:lpwstr>True</vt:lpwstr>
  </property>
  <property fmtid="{D5CDD505-2E9C-101B-9397-08002B2CF9AE}" pid="15" name="toc-title">
    <vt:lpwstr>Table of contents</vt:lpwstr>
  </property>
</Properties>
</file>