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F012B" w14:textId="77777777" w:rsidR="00D542E2" w:rsidRDefault="00000000">
      <w:pPr>
        <w:spacing w:after="80"/>
      </w:pPr>
      <w:r>
        <w:rPr>
          <w:caps/>
          <w:color w:val="7F7F7F"/>
          <w:sz w:val="20"/>
          <w:szCs w:val="20"/>
        </w:rPr>
        <w:t>POLICY BRIEF</w:t>
      </w:r>
    </w:p>
    <w:p w14:paraId="206C7BCE" w14:textId="77777777" w:rsidR="00D542E2" w:rsidRDefault="00000000">
      <w:pPr>
        <w:spacing w:after="120"/>
      </w:pPr>
      <w:r>
        <w:rPr>
          <w:b/>
          <w:bCs/>
          <w:color w:val="1F3864"/>
          <w:sz w:val="36"/>
          <w:szCs w:val="36"/>
        </w:rPr>
        <w:t>Indonesia Tariff Agreement After the US Supreme Court and President Trump Debacle: What It Means for Indonesia</w:t>
      </w:r>
    </w:p>
    <w:p w14:paraId="7CD6559D" w14:textId="77777777" w:rsidR="00D542E2" w:rsidRDefault="00000000">
      <w:pPr>
        <w:pBdr>
          <w:bottom w:val="single" w:sz="6" w:space="0" w:color="2E75B6"/>
        </w:pBdr>
        <w:spacing w:after="240"/>
      </w:pPr>
      <w:r>
        <w:rPr>
          <w:color w:val="7F7F7F"/>
          <w:sz w:val="18"/>
          <w:szCs w:val="18"/>
        </w:rPr>
        <w:t xml:space="preserve">Teguh Yudo Wicaksono, Rima P Artha, and Philips J. </w:t>
      </w:r>
      <w:proofErr w:type="spellStart"/>
      <w:r>
        <w:rPr>
          <w:color w:val="7F7F7F"/>
          <w:sz w:val="18"/>
          <w:szCs w:val="18"/>
        </w:rPr>
        <w:t>Vermonte</w:t>
      </w:r>
      <w:proofErr w:type="spellEnd"/>
      <w:r>
        <w:rPr>
          <w:color w:val="7F7F7F"/>
          <w:sz w:val="18"/>
          <w:szCs w:val="18"/>
        </w:rPr>
        <w:t xml:space="preserve">  |  Indonesian Institute for Foreign Affairs (IIFA), UIII  |  February 2026</w:t>
      </w:r>
    </w:p>
    <w:p w14:paraId="459F7430" w14:textId="77777777" w:rsidR="00D542E2" w:rsidRDefault="00000000">
      <w:pPr>
        <w:spacing w:before="240" w:after="160"/>
      </w:pPr>
      <w:r>
        <w:rPr>
          <w:b/>
          <w:bCs/>
          <w:caps/>
          <w:color w:val="1F3864"/>
          <w:sz w:val="32"/>
          <w:szCs w:val="32"/>
        </w:rPr>
        <w:t>EXECUTIVE SUMMARY</w:t>
      </w:r>
    </w:p>
    <w:p w14:paraId="11393952" w14:textId="77777777" w:rsidR="00D542E2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1. A Deal Invalidated the Day After It Was Signed</w:t>
      </w:r>
    </w:p>
    <w:p w14:paraId="5B58B722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February 19, 2026:</w:t>
      </w:r>
      <w:r>
        <w:t xml:space="preserve"> Indonesia and the US signed the Bilateral Agreement of Reciprocal Trade (ART), reducing the reciprocal tariff from 32% to 19% and granting zero-tariff exemptions to 1,819 tariff lines — including palm oil, rubber, coffee, and cocoa.</w:t>
      </w:r>
    </w:p>
    <w:p w14:paraId="757683F7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February 20, 2026:</w:t>
      </w:r>
      <w:r>
        <w:t xml:space="preserve"> The US Supreme Court ruled 6–3 in </w:t>
      </w:r>
      <w:r>
        <w:rPr>
          <w:i/>
          <w:iCs/>
        </w:rPr>
        <w:t>Learning Resources, Inc. v. Trump</w:t>
      </w:r>
      <w:r>
        <w:t xml:space="preserve"> that IEEPA does not authorize the President to impose tariffs — invalidating the entire legal basis of the ART, one day after it was signed.</w:t>
      </w:r>
    </w:p>
    <w:p w14:paraId="5EB19B28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February 21, 2026:</w:t>
      </w:r>
      <w:r>
        <w:t xml:space="preserve"> The Trump administration invoked Section 122 of the Trade Act of 1974, initially at 10%, then escalated to </w:t>
      </w:r>
      <w:r>
        <w:rPr>
          <w:b/>
          <w:bCs/>
        </w:rPr>
        <w:t>15% — the statutory maximum</w:t>
      </w:r>
      <w:r>
        <w:t xml:space="preserve"> — within 24 hours.</w:t>
      </w:r>
    </w:p>
    <w:p w14:paraId="59620FBB" w14:textId="77777777" w:rsidR="00B466CD" w:rsidRPr="00B466CD" w:rsidRDefault="00B466CD" w:rsidP="00B466CD">
      <w:pPr>
        <w:pStyle w:val="ListParagraph"/>
        <w:numPr>
          <w:ilvl w:val="0"/>
          <w:numId w:val="2"/>
        </w:numPr>
        <w:spacing w:before="60" w:after="60"/>
      </w:pPr>
      <w:r w:rsidRPr="00B466CD">
        <w:t>The Trump administration responded within hours by invoking Section 122 of the Trade Act of 1974 at 10%, then escalating to 15%—the statutory maximum—on February 21, 2026.</w:t>
      </w:r>
    </w:p>
    <w:p w14:paraId="22024F7A" w14:textId="77777777" w:rsidR="00B466CD" w:rsidRPr="00B466CD" w:rsidRDefault="00B466CD" w:rsidP="00B466CD">
      <w:pPr>
        <w:pStyle w:val="ListParagraph"/>
        <w:numPr>
          <w:ilvl w:val="0"/>
          <w:numId w:val="2"/>
        </w:numPr>
        <w:spacing w:before="60" w:after="60"/>
      </w:pPr>
      <w:r w:rsidRPr="00B466CD">
        <w:rPr>
          <w:b/>
          <w:bCs/>
        </w:rPr>
        <w:t>Indonesia’s effective tariff rate (ETR) now stands at 20.3%, exceeding the negotiated deal rate of 19.7%</w:t>
      </w:r>
      <w:r w:rsidRPr="00B466CD">
        <w:t xml:space="preserve"> by 0.6 percentage points.</w:t>
      </w:r>
    </w:p>
    <w:p w14:paraId="7A74C4DD" w14:textId="77777777" w:rsidR="00B466CD" w:rsidRDefault="00B466CD" w:rsidP="00B466CD">
      <w:pPr>
        <w:pStyle w:val="ListParagraph"/>
        <w:numPr>
          <w:ilvl w:val="0"/>
          <w:numId w:val="2"/>
        </w:numPr>
        <w:spacing w:before="60" w:after="60"/>
      </w:pPr>
      <w:r>
        <w:t>This ETR level assumes that the Trump administration imposes  the statutory maximum of 15% on top of MFN rates</w:t>
      </w:r>
    </w:p>
    <w:p w14:paraId="5A8BB706" w14:textId="1564B641" w:rsidR="00B466CD" w:rsidRDefault="00B466CD" w:rsidP="00B466CD">
      <w:pPr>
        <w:pStyle w:val="ListParagraph"/>
        <w:numPr>
          <w:ilvl w:val="0"/>
          <w:numId w:val="2"/>
        </w:numPr>
        <w:spacing w:before="60" w:after="60"/>
        <w:rPr>
          <w:b/>
          <w:bCs/>
        </w:rPr>
      </w:pPr>
      <w:r>
        <w:t xml:space="preserve">If </w:t>
      </w:r>
      <w:r w:rsidRPr="00B466CD">
        <w:rPr>
          <w:b/>
          <w:bCs/>
        </w:rPr>
        <w:t xml:space="preserve">the administration set the 15%, including the MFN rates, the estimated ETR </w:t>
      </w:r>
      <w:r w:rsidRPr="00B466CD">
        <w:rPr>
          <w:b/>
          <w:bCs/>
        </w:rPr>
        <w:t>will 17.7%</w:t>
      </w:r>
      <w:r>
        <w:rPr>
          <w:b/>
          <w:bCs/>
        </w:rPr>
        <w:t>.</w:t>
      </w:r>
    </w:p>
    <w:p w14:paraId="36D2FE03" w14:textId="6BE3B026" w:rsidR="00B466CD" w:rsidRPr="00B466CD" w:rsidRDefault="00B466CD" w:rsidP="00B466CD">
      <w:pPr>
        <w:pStyle w:val="ListParagraph"/>
        <w:numPr>
          <w:ilvl w:val="0"/>
          <w:numId w:val="2"/>
        </w:numPr>
        <w:spacing w:before="60" w:after="60"/>
      </w:pPr>
      <w:r>
        <w:t>Yet i</w:t>
      </w:r>
      <w:r w:rsidRPr="00B466CD">
        <w:t>t remains unknown which rates the administration will impose.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42E2" w14:paraId="59765F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1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3A2F0" w14:textId="77777777" w:rsidR="00D542E2" w:rsidRDefault="00000000">
            <w:pPr>
              <w:spacing w:before="80" w:after="40"/>
            </w:pPr>
            <w:r>
              <w:rPr>
                <w:b/>
                <w:bCs/>
                <w:color w:val="1F3864"/>
                <w:sz w:val="24"/>
                <w:szCs w:val="24"/>
              </w:rPr>
              <w:t>Bottom Line: Indonesia Is Now Worse Off Than Under the Deal It Just Signed</w:t>
            </w:r>
          </w:p>
          <w:p w14:paraId="3E1EBEA8" w14:textId="77777777" w:rsidR="00D542E2" w:rsidRDefault="00000000">
            <w:pPr>
              <w:spacing w:before="40" w:after="40"/>
            </w:pPr>
            <w:r>
              <w:rPr>
                <w:b/>
                <w:bCs/>
              </w:rPr>
              <w:t>Indonesia’s effective tariff rate (ETR) now stands at 20.3%</w:t>
            </w:r>
            <w:r>
              <w:t xml:space="preserve"> — exceeding the negotiated deal rate of 19.7% by 0.6 percentage points, and representing a </w:t>
            </w:r>
            <w:r>
              <w:rPr>
                <w:b/>
                <w:bCs/>
              </w:rPr>
              <w:t>15.3 percentage point increase</w:t>
            </w:r>
            <w:r>
              <w:t xml:space="preserve"> over the pre-crisis 5.0% baseline.</w:t>
            </w:r>
          </w:p>
          <w:p w14:paraId="3C851B55" w14:textId="77777777" w:rsidR="00D542E2" w:rsidRDefault="00000000">
            <w:pPr>
              <w:spacing w:before="40" w:after="80"/>
            </w:pPr>
            <w:r>
              <w:t xml:space="preserve">This translates to approximately </w:t>
            </w:r>
            <w:r>
              <w:rPr>
                <w:b/>
                <w:bCs/>
              </w:rPr>
              <w:t>$4.3 billion in additional annual duties</w:t>
            </w:r>
            <w:r>
              <w:t xml:space="preserve"> relative to normal Most-Favoured-Nation (MFN) treatment. A flat, uniform tariff with no exemptions imposes a higher aggregate burden than a targeted deal with product carve-outs.</w:t>
            </w:r>
          </w:p>
        </w:tc>
      </w:tr>
    </w:tbl>
    <w:p w14:paraId="2D431FDD" w14:textId="1252763C" w:rsidR="00D542E2" w:rsidRDefault="00D542E2">
      <w:pPr>
        <w:spacing w:before="200"/>
      </w:pPr>
    </w:p>
    <w:p w14:paraId="7A09ABDB" w14:textId="77777777" w:rsidR="00B466CD" w:rsidRDefault="00B466CD">
      <w:pPr>
        <w:spacing w:before="200"/>
      </w:pPr>
    </w:p>
    <w:p w14:paraId="4EDCA675" w14:textId="77777777" w:rsidR="00B466CD" w:rsidRDefault="00B466CD">
      <w:pPr>
        <w:spacing w:before="200"/>
      </w:pPr>
    </w:p>
    <w:p w14:paraId="59C35677" w14:textId="77777777" w:rsidR="00B466CD" w:rsidRDefault="00B466CD">
      <w:pPr>
        <w:spacing w:before="200"/>
      </w:pPr>
    </w:p>
    <w:p w14:paraId="032A2B18" w14:textId="77777777" w:rsidR="00D542E2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lastRenderedPageBreak/>
        <w:t>2. Winners and Losers Across Sectors</w:t>
      </w:r>
    </w:p>
    <w:p w14:paraId="03C3E7FA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Hardest hit — deal-exempted commodity exporters</w:t>
      </w:r>
      <w:r>
        <w:t xml:space="preserve"> lose zero-tariff protections and face the full 15% flat rate:</w:t>
      </w:r>
    </w:p>
    <w:p w14:paraId="0DA71467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Palm oil ($1.74B):</w:t>
      </w:r>
      <w:r>
        <w:t xml:space="preserve"> tariff rises from 2% (deal) to 17% (+15 pp) — adding $261M in annual duties. Indonesia holds an 85% US market share, offering some limited pass-through capacity to US buyers.</w:t>
      </w:r>
    </w:p>
    <w:p w14:paraId="5DC66ED3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Rubber ($1.96B):</w:t>
      </w:r>
      <w:r>
        <w:t xml:space="preserve"> tariff rises from 3% to 18% (+15 pp) — adding $294M in annual duties.</w:t>
      </w:r>
    </w:p>
    <w:p w14:paraId="2096872F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Coffee ($0.50B)</w:t>
      </w:r>
      <w:r>
        <w:t xml:space="preserve"> and </w:t>
      </w:r>
      <w:r>
        <w:rPr>
          <w:b/>
          <w:bCs/>
        </w:rPr>
        <w:t>cocoa ($0.32B):</w:t>
      </w:r>
      <w:r>
        <w:t xml:space="preserve"> effective tariff rises from 1.5–3% to 16.5–18% (+15 pp).</w:t>
      </w:r>
    </w:p>
    <w:p w14:paraId="49CCCEDF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Combined additional duty burden on commodities: $670 million</w:t>
      </w:r>
      <w:r>
        <w:t xml:space="preserve"> relative to the deal.</w:t>
      </w:r>
    </w:p>
    <w:p w14:paraId="51290EB6" w14:textId="77777777" w:rsidR="00D542E2" w:rsidRDefault="00D542E2">
      <w:pPr>
        <w:spacing w:before="120"/>
      </w:pPr>
    </w:p>
    <w:p w14:paraId="2F2643D2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Modest relief — manufacturing exporters</w:t>
      </w:r>
      <w:r>
        <w:t xml:space="preserve"> benefit from a lower flat rate compared to the deal:</w:t>
      </w:r>
    </w:p>
    <w:p w14:paraId="6A0491C0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Textiles &amp; apparel ($4.22B,</w:t>
      </w:r>
      <w:r>
        <w:t xml:space="preserve"> employing ~4 million workers): tariff falls from 29.1% to 27% (-2.1 pp).</w:t>
      </w:r>
    </w:p>
    <w:p w14:paraId="4C585102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Footwear ($2.57B):</w:t>
      </w:r>
      <w:r>
        <w:t xml:space="preserve"> tariff falls from 30% to 26% (-4 pp) — saving $103M annually.</w:t>
      </w:r>
    </w:p>
    <w:p w14:paraId="7328A6E5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Furniture ($1.57B):</w:t>
      </w:r>
      <w:r>
        <w:t xml:space="preserve"> tariff falls from 20.5% to 16.5% (-4 pp).</w:t>
      </w:r>
    </w:p>
    <w:p w14:paraId="799791FA" w14:textId="77777777" w:rsidR="00D542E2" w:rsidRDefault="00000000">
      <w:pPr>
        <w:pStyle w:val="ListParagraph"/>
        <w:numPr>
          <w:ilvl w:val="1"/>
          <w:numId w:val="2"/>
        </w:numPr>
        <w:spacing w:before="60" w:after="60"/>
      </w:pPr>
      <w:r>
        <w:rPr>
          <w:b/>
          <w:bCs/>
        </w:rPr>
        <w:t>Combined manufacturing savings: approximately $500 million</w:t>
      </w:r>
      <w:r>
        <w:t xml:space="preserve"> relative to the deal.</w:t>
      </w:r>
    </w:p>
    <w:p w14:paraId="46C82E83" w14:textId="77777777" w:rsidR="00D542E2" w:rsidRDefault="00D542E2">
      <w:pPr>
        <w:spacing w:before="120"/>
      </w:pPr>
    </w:p>
    <w:p w14:paraId="08AD39D3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 xml:space="preserve">Unaffected — steel and </w:t>
      </w:r>
      <w:proofErr w:type="spellStart"/>
      <w:r>
        <w:rPr>
          <w:b/>
          <w:bCs/>
        </w:rPr>
        <w:t>aluminum</w:t>
      </w:r>
      <w:proofErr w:type="spellEnd"/>
      <w:r>
        <w:t xml:space="preserve"> remain under Section 232 at 50%, as this authority is independent of IEEPA and exceeds the 15% Section 122 rate.</w:t>
      </w:r>
    </w:p>
    <w:p w14:paraId="78900C25" w14:textId="77777777" w:rsidR="00D542E2" w:rsidRDefault="00D542E2">
      <w:pPr>
        <w:spacing w:before="160" w:after="120"/>
      </w:pPr>
    </w:p>
    <w:p w14:paraId="492EE5FF" w14:textId="77777777" w:rsidR="00D542E2" w:rsidRDefault="00000000">
      <w:pPr>
        <w:spacing w:after="80"/>
      </w:pPr>
      <w:r>
        <w:rPr>
          <w:i/>
          <w:iCs/>
          <w:color w:val="7F7F7F"/>
          <w:sz w:val="20"/>
          <w:szCs w:val="20"/>
        </w:rPr>
        <w:t>Table: Sector-Level Effective Tariff Rate — Deal vs. Section 122 at 15%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40"/>
        <w:gridCol w:w="1737"/>
        <w:gridCol w:w="1368"/>
        <w:gridCol w:w="1659"/>
        <w:gridCol w:w="1156"/>
      </w:tblGrid>
      <w:tr w:rsidR="00D542E2" w14:paraId="653AE0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A3989" w14:textId="77777777" w:rsidR="00D542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Sector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04B2" w14:textId="77777777" w:rsidR="00D542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Export Value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2F41" w14:textId="77777777" w:rsidR="00D542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Deal Rate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C9D90" w14:textId="77777777" w:rsidR="00D542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S122 at 15%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8C0F" w14:textId="77777777" w:rsidR="00D542E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D542E2" w14:paraId="174709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0CBC" w14:textId="77777777" w:rsidR="00D542E2" w:rsidRDefault="00000000">
            <w:r>
              <w:rPr>
                <w:sz w:val="20"/>
                <w:szCs w:val="20"/>
              </w:rPr>
              <w:t>Rubber (HS 40)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43B8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$1.96B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9EE6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281BF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18%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4BF6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+15 pp</w:t>
            </w:r>
          </w:p>
        </w:tc>
      </w:tr>
      <w:tr w:rsidR="00D542E2" w14:paraId="3D735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DFB1" w14:textId="77777777" w:rsidR="00D542E2" w:rsidRDefault="00000000">
            <w:r>
              <w:rPr>
                <w:sz w:val="20"/>
                <w:szCs w:val="20"/>
              </w:rPr>
              <w:t>Palm Oil (HS 15)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4B63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$1.74B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4F6BE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2%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AD8E0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17%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EDAFA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+15 pp</w:t>
            </w:r>
          </w:p>
        </w:tc>
      </w:tr>
      <w:tr w:rsidR="00D542E2" w14:paraId="446CC2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C0E17" w14:textId="77777777" w:rsidR="00D542E2" w:rsidRDefault="00000000">
            <w:r>
              <w:rPr>
                <w:sz w:val="20"/>
                <w:szCs w:val="20"/>
              </w:rPr>
              <w:t>Coffee (HS 09)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445F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$0.50B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DD50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1.5%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EFA6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16.5%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85DF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+15 pp</w:t>
            </w:r>
          </w:p>
        </w:tc>
      </w:tr>
      <w:tr w:rsidR="00D542E2" w14:paraId="714FE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4909C" w14:textId="77777777" w:rsidR="00D542E2" w:rsidRDefault="00000000">
            <w:r>
              <w:rPr>
                <w:sz w:val="20"/>
                <w:szCs w:val="20"/>
              </w:rPr>
              <w:t>Cocoa (HS 18)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C6186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$0.32B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63C00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3%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8C289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18%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BE93F" w14:textId="77777777" w:rsidR="00D542E2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+15 pp</w:t>
            </w:r>
          </w:p>
        </w:tc>
      </w:tr>
      <w:tr w:rsidR="00D542E2" w14:paraId="7E441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6E76" w14:textId="77777777" w:rsidR="00D542E2" w:rsidRDefault="00000000">
            <w:r>
              <w:rPr>
                <w:sz w:val="20"/>
                <w:szCs w:val="20"/>
              </w:rPr>
              <w:t>Textiles &amp; Apparel (HS 61-62)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6AA0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$4.22B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5A16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29.1%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CF49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27%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26CB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-2.1 pp</w:t>
            </w:r>
          </w:p>
        </w:tc>
      </w:tr>
      <w:tr w:rsidR="00D542E2" w14:paraId="20D96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23A6" w14:textId="77777777" w:rsidR="00D542E2" w:rsidRDefault="00000000">
            <w:r>
              <w:rPr>
                <w:sz w:val="20"/>
                <w:szCs w:val="20"/>
              </w:rPr>
              <w:t>Footwear (HS 64)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4EAC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$2.57B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C259B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B6E5E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26%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FBCB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-4.0 pp</w:t>
            </w:r>
          </w:p>
        </w:tc>
      </w:tr>
      <w:tr w:rsidR="00D542E2" w14:paraId="28F6AE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47B3" w14:textId="77777777" w:rsidR="00D542E2" w:rsidRDefault="00000000">
            <w:r>
              <w:rPr>
                <w:sz w:val="20"/>
                <w:szCs w:val="20"/>
              </w:rPr>
              <w:t>Furniture (HS 94)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8C8C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$1.57B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2ADA1" w14:textId="77777777" w:rsidR="00D542E2" w:rsidRDefault="00000000">
            <w:pPr>
              <w:jc w:val="center"/>
            </w:pPr>
            <w:r>
              <w:rPr>
                <w:sz w:val="20"/>
                <w:szCs w:val="20"/>
              </w:rPr>
              <w:t>20.5%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BBA01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16.5%</w:t>
            </w:r>
          </w:p>
        </w:tc>
        <w:tc>
          <w:tcPr>
            <w:tcW w:w="0" w:type="auto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7AE6" w14:textId="77777777" w:rsidR="00D542E2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-4.0 pp</w:t>
            </w:r>
          </w:p>
        </w:tc>
      </w:tr>
    </w:tbl>
    <w:p w14:paraId="1A9C17B5" w14:textId="77777777" w:rsidR="00D542E2" w:rsidRDefault="00000000">
      <w:pPr>
        <w:spacing w:before="80" w:after="200"/>
      </w:pPr>
      <w:r>
        <w:rPr>
          <w:i/>
          <w:iCs/>
          <w:color w:val="7F7F7F"/>
          <w:sz w:val="18"/>
          <w:szCs w:val="18"/>
        </w:rPr>
        <w:t>Red = sectors worse off; Green = sectors better off relative to the deal.</w:t>
      </w:r>
    </w:p>
    <w:p w14:paraId="7146478D" w14:textId="77777777" w:rsidR="00D542E2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3. Critical Features of Section 122 That Define Indonesia’s Position</w:t>
      </w:r>
    </w:p>
    <w:p w14:paraId="3033F365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Non-differentiating:</w:t>
      </w:r>
      <w:r>
        <w:t xml:space="preserve"> Section 122 applies uniformly to all countries. Indonesia faces the same 15% as Vietnam (previously 46% under IEEPA) and the EU (20%). This eliminates </w:t>
      </w:r>
      <w:r>
        <w:lastRenderedPageBreak/>
        <w:t>US leverage for bilateral deal-making, but also creates a window of relative competitive parity for Indonesian exporters.</w:t>
      </w:r>
    </w:p>
    <w:p w14:paraId="540D373E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Temporary:</w:t>
      </w:r>
      <w:r>
        <w:t xml:space="preserve"> The 150-day statutory limit expires approximately </w:t>
      </w:r>
      <w:r>
        <w:rPr>
          <w:b/>
          <w:bCs/>
        </w:rPr>
        <w:t>July 20, 2026</w:t>
      </w:r>
      <w:r>
        <w:t>. Without congressional action, non-Section 232 tariffs could revert toward the 5.0% baseline — a potential significant relief for Indonesian exporters.</w:t>
      </w:r>
    </w:p>
    <w:p w14:paraId="1A0D1F4A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At its ceiling:</w:t>
      </w:r>
      <w:r>
        <w:t xml:space="preserve"> At 15%, the administration has exhausted its unilateral authority. Any further escalation requires an Act of Congress. The current 20.3% ETR is therefore the </w:t>
      </w:r>
      <w:r>
        <w:rPr>
          <w:b/>
          <w:bCs/>
        </w:rPr>
        <w:t>worst-case scenario under existing executive power</w:t>
      </w:r>
      <w:r>
        <w:t>.</w:t>
      </w:r>
    </w:p>
    <w:p w14:paraId="43666C01" w14:textId="77777777" w:rsidR="00D542E2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>4. Indonesia’s Concessions Are Now in Legal Limbo</w:t>
      </w:r>
    </w:p>
    <w:p w14:paraId="4B4A3037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Under the ART, Indonesia committed to: </w:t>
      </w:r>
      <w:r>
        <w:rPr>
          <w:b/>
          <w:bCs/>
        </w:rPr>
        <w:t>$33 billion in US purchase commitments</w:t>
      </w:r>
      <w:r>
        <w:t xml:space="preserve"> (energy, Boeing aircraft, agricultural products); elimination of tariffs on 99% of US exports to Indonesia; and extension of PT Freeport Indonesia’s mining license from 2041 to 2061.</w:t>
      </w:r>
    </w:p>
    <w:p w14:paraId="78287D40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These concessions were given in exchange for tariff terms that </w:t>
      </w:r>
      <w:r>
        <w:rPr>
          <w:b/>
          <w:bCs/>
        </w:rPr>
        <w:t>can no longer be legally delivered</w:t>
      </w:r>
      <w:r>
        <w:t>.</w:t>
      </w:r>
    </w:p>
    <w:p w14:paraId="445A0732" w14:textId="77777777" w:rsidR="00D542E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International trade law principles of reciprocity provide Indonesia with legitimate grounds to </w:t>
      </w:r>
      <w:r>
        <w:rPr>
          <w:b/>
          <w:bCs/>
        </w:rPr>
        <w:t>pause or withdraw its commitments</w:t>
      </w:r>
      <w:r>
        <w:t xml:space="preserve"> until the legal framework is clarified.</w:t>
      </w:r>
    </w:p>
    <w:p w14:paraId="5224A5FB" w14:textId="03D2EA8A" w:rsidR="00D542E2" w:rsidRDefault="00000000">
      <w:pPr>
        <w:spacing w:before="240" w:after="120"/>
      </w:pPr>
      <w:r>
        <w:rPr>
          <w:b/>
          <w:bCs/>
          <w:color w:val="2E75B6"/>
          <w:sz w:val="26"/>
          <w:szCs w:val="26"/>
        </w:rPr>
        <w:t xml:space="preserve">5. Key Policy </w:t>
      </w:r>
      <w:r w:rsidR="00B466CD">
        <w:rPr>
          <w:b/>
          <w:bCs/>
          <w:color w:val="2E75B6"/>
          <w:sz w:val="26"/>
          <w:szCs w:val="26"/>
        </w:rPr>
        <w:t>Strategies</w:t>
      </w:r>
    </w:p>
    <w:p w14:paraId="63007A01" w14:textId="77777777" w:rsidR="00D542E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 xml:space="preserve">Do not prematurely implement deal concessions. </w:t>
      </w:r>
      <w:r>
        <w:t>Pause tariff reductions on US products and agricultural market access until the legal status of the ART is resolved. The statutory basis for Indonesia’s obligations has been invalidated.</w:t>
      </w:r>
    </w:p>
    <w:p w14:paraId="245560D1" w14:textId="77777777" w:rsidR="00D542E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 xml:space="preserve">Prepare for the July 2026 cliff. </w:t>
      </w:r>
      <w:r>
        <w:t>Develop contingency plans for three outcomes: (a) congressional renewal of tariff authority; (b) expiry without replacement — most favourable for Indonesia; or (c) replacement under alternative authority (Section 301, 201, or 338).</w:t>
      </w:r>
    </w:p>
    <w:p w14:paraId="7A6FED57" w14:textId="77777777" w:rsidR="00D542E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 xml:space="preserve">Renegotiate from a position of relative strength. </w:t>
      </w:r>
      <w:r>
        <w:t>Non-differentiation under Section 122 temporarily levels the playing field. Indonesia should use this window to secure more favourable differentiated terms than competitors such as Vietnam in any future bilateral framework.</w:t>
      </w:r>
    </w:p>
    <w:p w14:paraId="32F12462" w14:textId="77777777" w:rsidR="00D542E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 xml:space="preserve">Protect commodity exporters immediately. </w:t>
      </w:r>
      <w:r>
        <w:t>Palm oil and rubber exporters face the sharpest tariff increases. Hedging and inventory strategies should be activated now. Given Indonesia’s dominant US market share, partial cost pass-through to US buyers is possible for palm oil (85% market share) and rubber (48%).</w:t>
      </w:r>
    </w:p>
    <w:p w14:paraId="680D8E27" w14:textId="77777777" w:rsidR="00D542E2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b/>
          <w:bCs/>
        </w:rPr>
        <w:t xml:space="preserve">Accelerate export market diversification. </w:t>
      </w:r>
      <w:r>
        <w:t>Deepen trade ties with RCEP partners, advance EU–Indonesia CEPA negotiations, and expand into emerging markets to reduce dependence on US market access.</w:t>
      </w:r>
    </w:p>
    <w:p w14:paraId="6B13641A" w14:textId="77777777" w:rsidR="00D542E2" w:rsidRDefault="00D542E2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42E2" w14:paraId="70C4A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1" w:space="0" w:color="FFFFFF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435E6" w14:textId="77777777" w:rsidR="00D542E2" w:rsidRDefault="00000000">
            <w:pPr>
              <w:spacing w:before="80" w:after="80"/>
            </w:pPr>
            <w:r>
              <w:rPr>
                <w:i/>
                <w:iCs/>
                <w:color w:val="404040"/>
              </w:rPr>
              <w:t>The pace of change — two executive orders, a Supreme Court ruling, and a tariff escalation within 72 hours — signals that Indonesia must treat this as an ongoing and rapidly evolving situation requiring active diplomatic monitoring and adaptive economic strategy, not a concluded negotiation.</w:t>
            </w:r>
          </w:p>
        </w:tc>
      </w:tr>
    </w:tbl>
    <w:p w14:paraId="44418F8C" w14:textId="77777777" w:rsidR="00181E84" w:rsidRDefault="00181E84"/>
    <w:sectPr w:rsidR="00181E8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604A0"/>
    <w:multiLevelType w:val="hybridMultilevel"/>
    <w:tmpl w:val="5CCC6C30"/>
    <w:lvl w:ilvl="0" w:tplc="EDE4C190">
      <w:start w:val="1"/>
      <w:numFmt w:val="bullet"/>
      <w:lvlText w:val="•"/>
      <w:lvlJc w:val="left"/>
      <w:pPr>
        <w:ind w:left="720" w:hanging="360"/>
      </w:pPr>
    </w:lvl>
    <w:lvl w:ilvl="1" w:tplc="3A30A792">
      <w:start w:val="1"/>
      <w:numFmt w:val="bullet"/>
      <w:lvlText w:val="◦"/>
      <w:lvlJc w:val="left"/>
      <w:pPr>
        <w:ind w:left="1080" w:hanging="360"/>
      </w:pPr>
    </w:lvl>
    <w:lvl w:ilvl="2" w:tplc="F488B1A2">
      <w:numFmt w:val="decimal"/>
      <w:lvlText w:val=""/>
      <w:lvlJc w:val="left"/>
    </w:lvl>
    <w:lvl w:ilvl="3" w:tplc="196A3934">
      <w:numFmt w:val="decimal"/>
      <w:lvlText w:val=""/>
      <w:lvlJc w:val="left"/>
    </w:lvl>
    <w:lvl w:ilvl="4" w:tplc="EFCE3946">
      <w:numFmt w:val="decimal"/>
      <w:lvlText w:val=""/>
      <w:lvlJc w:val="left"/>
    </w:lvl>
    <w:lvl w:ilvl="5" w:tplc="9BC2E426">
      <w:numFmt w:val="decimal"/>
      <w:lvlText w:val=""/>
      <w:lvlJc w:val="left"/>
    </w:lvl>
    <w:lvl w:ilvl="6" w:tplc="31F881B8">
      <w:numFmt w:val="decimal"/>
      <w:lvlText w:val=""/>
      <w:lvlJc w:val="left"/>
    </w:lvl>
    <w:lvl w:ilvl="7" w:tplc="03948B38">
      <w:numFmt w:val="decimal"/>
      <w:lvlText w:val=""/>
      <w:lvlJc w:val="left"/>
    </w:lvl>
    <w:lvl w:ilvl="8" w:tplc="6B3A2736">
      <w:numFmt w:val="decimal"/>
      <w:lvlText w:val=""/>
      <w:lvlJc w:val="left"/>
    </w:lvl>
  </w:abstractNum>
  <w:abstractNum w:abstractNumId="1" w15:restartNumberingAfterBreak="0">
    <w:nsid w:val="20A7619A"/>
    <w:multiLevelType w:val="hybridMultilevel"/>
    <w:tmpl w:val="1B04B422"/>
    <w:lvl w:ilvl="0" w:tplc="0DA27820">
      <w:numFmt w:val="bullet"/>
      <w:lvlText w:val="•"/>
      <w:lvlJc w:val="left"/>
      <w:pPr>
        <w:ind w:left="608" w:hanging="300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25"/>
        <w:sz w:val="24"/>
        <w:szCs w:val="24"/>
        <w:lang w:val="en-US" w:eastAsia="en-US" w:bidi="ar-SA"/>
      </w:rPr>
    </w:lvl>
    <w:lvl w:ilvl="1" w:tplc="F28C9C2E">
      <w:numFmt w:val="bullet"/>
      <w:lvlText w:val="–"/>
      <w:lvlJc w:val="left"/>
      <w:pPr>
        <w:ind w:left="1123" w:hanging="252"/>
      </w:pPr>
      <w:rPr>
        <w:rFonts w:ascii="Palatino Linotype" w:eastAsia="Palatino Linotype" w:hAnsi="Palatino Linotype" w:cs="Palatino Linotype" w:hint="default"/>
        <w:b/>
        <w:bCs/>
        <w:i w:val="0"/>
        <w:iCs w:val="0"/>
        <w:spacing w:val="0"/>
        <w:w w:val="112"/>
        <w:sz w:val="24"/>
        <w:szCs w:val="24"/>
        <w:lang w:val="en-US" w:eastAsia="en-US" w:bidi="ar-SA"/>
      </w:rPr>
    </w:lvl>
    <w:lvl w:ilvl="2" w:tplc="FF9809AC">
      <w:numFmt w:val="bullet"/>
      <w:lvlText w:val="•"/>
      <w:lvlJc w:val="left"/>
      <w:pPr>
        <w:ind w:left="2129" w:hanging="252"/>
      </w:pPr>
      <w:rPr>
        <w:rFonts w:hint="default"/>
        <w:lang w:val="en-US" w:eastAsia="en-US" w:bidi="ar-SA"/>
      </w:rPr>
    </w:lvl>
    <w:lvl w:ilvl="3" w:tplc="519E69E2">
      <w:numFmt w:val="bullet"/>
      <w:lvlText w:val="•"/>
      <w:lvlJc w:val="left"/>
      <w:pPr>
        <w:ind w:left="3139" w:hanging="252"/>
      </w:pPr>
      <w:rPr>
        <w:rFonts w:hint="default"/>
        <w:lang w:val="en-US" w:eastAsia="en-US" w:bidi="ar-SA"/>
      </w:rPr>
    </w:lvl>
    <w:lvl w:ilvl="4" w:tplc="9CE21F14">
      <w:numFmt w:val="bullet"/>
      <w:lvlText w:val="•"/>
      <w:lvlJc w:val="left"/>
      <w:pPr>
        <w:ind w:left="4148" w:hanging="252"/>
      </w:pPr>
      <w:rPr>
        <w:rFonts w:hint="default"/>
        <w:lang w:val="en-US" w:eastAsia="en-US" w:bidi="ar-SA"/>
      </w:rPr>
    </w:lvl>
    <w:lvl w:ilvl="5" w:tplc="8BE097EE">
      <w:numFmt w:val="bullet"/>
      <w:lvlText w:val="•"/>
      <w:lvlJc w:val="left"/>
      <w:pPr>
        <w:ind w:left="5158" w:hanging="252"/>
      </w:pPr>
      <w:rPr>
        <w:rFonts w:hint="default"/>
        <w:lang w:val="en-US" w:eastAsia="en-US" w:bidi="ar-SA"/>
      </w:rPr>
    </w:lvl>
    <w:lvl w:ilvl="6" w:tplc="2C58ACC2">
      <w:numFmt w:val="bullet"/>
      <w:lvlText w:val="•"/>
      <w:lvlJc w:val="left"/>
      <w:pPr>
        <w:ind w:left="6167" w:hanging="252"/>
      </w:pPr>
      <w:rPr>
        <w:rFonts w:hint="default"/>
        <w:lang w:val="en-US" w:eastAsia="en-US" w:bidi="ar-SA"/>
      </w:rPr>
    </w:lvl>
    <w:lvl w:ilvl="7" w:tplc="FB5E00BE">
      <w:numFmt w:val="bullet"/>
      <w:lvlText w:val="•"/>
      <w:lvlJc w:val="left"/>
      <w:pPr>
        <w:ind w:left="7177" w:hanging="252"/>
      </w:pPr>
      <w:rPr>
        <w:rFonts w:hint="default"/>
        <w:lang w:val="en-US" w:eastAsia="en-US" w:bidi="ar-SA"/>
      </w:rPr>
    </w:lvl>
    <w:lvl w:ilvl="8" w:tplc="BED43EBC">
      <w:numFmt w:val="bullet"/>
      <w:lvlText w:val="•"/>
      <w:lvlJc w:val="left"/>
      <w:pPr>
        <w:ind w:left="8186" w:hanging="252"/>
      </w:pPr>
      <w:rPr>
        <w:rFonts w:hint="default"/>
        <w:lang w:val="en-US" w:eastAsia="en-US" w:bidi="ar-SA"/>
      </w:rPr>
    </w:lvl>
  </w:abstractNum>
  <w:abstractNum w:abstractNumId="2" w15:restartNumberingAfterBreak="0">
    <w:nsid w:val="33E33B28"/>
    <w:multiLevelType w:val="hybridMultilevel"/>
    <w:tmpl w:val="736A3568"/>
    <w:lvl w:ilvl="0" w:tplc="3848757C">
      <w:start w:val="1"/>
      <w:numFmt w:val="decimal"/>
      <w:lvlText w:val="%1."/>
      <w:lvlJc w:val="left"/>
      <w:pPr>
        <w:ind w:left="720" w:hanging="360"/>
      </w:pPr>
    </w:lvl>
    <w:lvl w:ilvl="1" w:tplc="89A02794">
      <w:numFmt w:val="decimal"/>
      <w:lvlText w:val=""/>
      <w:lvlJc w:val="left"/>
    </w:lvl>
    <w:lvl w:ilvl="2" w:tplc="E5023ADC">
      <w:numFmt w:val="decimal"/>
      <w:lvlText w:val=""/>
      <w:lvlJc w:val="left"/>
    </w:lvl>
    <w:lvl w:ilvl="3" w:tplc="8CCE2362">
      <w:numFmt w:val="decimal"/>
      <w:lvlText w:val=""/>
      <w:lvlJc w:val="left"/>
    </w:lvl>
    <w:lvl w:ilvl="4" w:tplc="BB16AEA8">
      <w:numFmt w:val="decimal"/>
      <w:lvlText w:val=""/>
      <w:lvlJc w:val="left"/>
    </w:lvl>
    <w:lvl w:ilvl="5" w:tplc="12825B1C">
      <w:numFmt w:val="decimal"/>
      <w:lvlText w:val=""/>
      <w:lvlJc w:val="left"/>
    </w:lvl>
    <w:lvl w:ilvl="6" w:tplc="DDA8FF6A">
      <w:numFmt w:val="decimal"/>
      <w:lvlText w:val=""/>
      <w:lvlJc w:val="left"/>
    </w:lvl>
    <w:lvl w:ilvl="7" w:tplc="47482A0E">
      <w:numFmt w:val="decimal"/>
      <w:lvlText w:val=""/>
      <w:lvlJc w:val="left"/>
    </w:lvl>
    <w:lvl w:ilvl="8" w:tplc="E85C8E74">
      <w:numFmt w:val="decimal"/>
      <w:lvlText w:val=""/>
      <w:lvlJc w:val="left"/>
    </w:lvl>
  </w:abstractNum>
  <w:abstractNum w:abstractNumId="3" w15:restartNumberingAfterBreak="0">
    <w:nsid w:val="4EED1079"/>
    <w:multiLevelType w:val="hybridMultilevel"/>
    <w:tmpl w:val="3DE04DFC"/>
    <w:lvl w:ilvl="0" w:tplc="1E0E6AC4">
      <w:start w:val="1"/>
      <w:numFmt w:val="bullet"/>
      <w:lvlText w:val="●"/>
      <w:lvlJc w:val="left"/>
      <w:pPr>
        <w:ind w:left="720" w:hanging="360"/>
      </w:pPr>
    </w:lvl>
    <w:lvl w:ilvl="1" w:tplc="5C8CBDE4">
      <w:start w:val="1"/>
      <w:numFmt w:val="bullet"/>
      <w:lvlText w:val="○"/>
      <w:lvlJc w:val="left"/>
      <w:pPr>
        <w:ind w:left="1440" w:hanging="360"/>
      </w:pPr>
    </w:lvl>
    <w:lvl w:ilvl="2" w:tplc="69DCBD3C">
      <w:start w:val="1"/>
      <w:numFmt w:val="bullet"/>
      <w:lvlText w:val="■"/>
      <w:lvlJc w:val="left"/>
      <w:pPr>
        <w:ind w:left="2160" w:hanging="360"/>
      </w:pPr>
    </w:lvl>
    <w:lvl w:ilvl="3" w:tplc="449EEDAA">
      <w:start w:val="1"/>
      <w:numFmt w:val="bullet"/>
      <w:lvlText w:val="●"/>
      <w:lvlJc w:val="left"/>
      <w:pPr>
        <w:ind w:left="2880" w:hanging="360"/>
      </w:pPr>
    </w:lvl>
    <w:lvl w:ilvl="4" w:tplc="4E022E62">
      <w:start w:val="1"/>
      <w:numFmt w:val="bullet"/>
      <w:lvlText w:val="○"/>
      <w:lvlJc w:val="left"/>
      <w:pPr>
        <w:ind w:left="3600" w:hanging="360"/>
      </w:pPr>
    </w:lvl>
    <w:lvl w:ilvl="5" w:tplc="CF881CC4">
      <w:start w:val="1"/>
      <w:numFmt w:val="bullet"/>
      <w:lvlText w:val="■"/>
      <w:lvlJc w:val="left"/>
      <w:pPr>
        <w:ind w:left="4320" w:hanging="360"/>
      </w:pPr>
    </w:lvl>
    <w:lvl w:ilvl="6" w:tplc="CB9EF8E2">
      <w:start w:val="1"/>
      <w:numFmt w:val="bullet"/>
      <w:lvlText w:val="●"/>
      <w:lvlJc w:val="left"/>
      <w:pPr>
        <w:ind w:left="5040" w:hanging="360"/>
      </w:pPr>
    </w:lvl>
    <w:lvl w:ilvl="7" w:tplc="B0FAD9F8">
      <w:start w:val="1"/>
      <w:numFmt w:val="bullet"/>
      <w:lvlText w:val="●"/>
      <w:lvlJc w:val="left"/>
      <w:pPr>
        <w:ind w:left="5760" w:hanging="360"/>
      </w:pPr>
    </w:lvl>
    <w:lvl w:ilvl="8" w:tplc="87A4146A">
      <w:start w:val="1"/>
      <w:numFmt w:val="bullet"/>
      <w:lvlText w:val="●"/>
      <w:lvlJc w:val="left"/>
      <w:pPr>
        <w:ind w:left="6480" w:hanging="360"/>
      </w:pPr>
    </w:lvl>
  </w:abstractNum>
  <w:num w:numId="1" w16cid:durableId="1235047854">
    <w:abstractNumId w:val="3"/>
    <w:lvlOverride w:ilvl="0">
      <w:startOverride w:val="1"/>
    </w:lvlOverride>
  </w:num>
  <w:num w:numId="2" w16cid:durableId="1363897395">
    <w:abstractNumId w:val="0"/>
    <w:lvlOverride w:ilvl="0">
      <w:startOverride w:val="1"/>
    </w:lvlOverride>
  </w:num>
  <w:num w:numId="3" w16cid:durableId="228614775">
    <w:abstractNumId w:val="2"/>
    <w:lvlOverride w:ilvl="0">
      <w:startOverride w:val="1"/>
    </w:lvlOverride>
  </w:num>
  <w:num w:numId="4" w16cid:durableId="12342020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2E2"/>
    <w:rsid w:val="00181E84"/>
    <w:rsid w:val="00890E34"/>
    <w:rsid w:val="00B466CD"/>
    <w:rsid w:val="00D5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51A44A4"/>
  <w15:docId w15:val="{4F68AAAA-BA5A-D64A-8BA8-0D19606A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1042</Words>
  <Characters>5716</Characters>
  <Application>Microsoft Office Word</Application>
  <DocSecurity>0</DocSecurity>
  <Lines>154</Lines>
  <Paragraphs>102</Paragraphs>
  <ScaleCrop>false</ScaleCrop>
  <Company/>
  <LinksUpToDate>false</LinksUpToDate>
  <CharactersWithSpaces>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Teguh Yudo Wicaksono Ph.D</cp:lastModifiedBy>
  <cp:revision>2</cp:revision>
  <dcterms:created xsi:type="dcterms:W3CDTF">2026-02-23T01:05:00Z</dcterms:created>
  <dcterms:modified xsi:type="dcterms:W3CDTF">2026-02-23T01:20:00Z</dcterms:modified>
</cp:coreProperties>
</file>