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2"/>
          <w:szCs w:val="52"/>
        </w:rPr>
        <w:t xml:space="preserve">CAHIER DES SPÉCIFICATIONS TECHNIQUES</w:t>
      </w:r>
    </w:p>
    <w:p>
      <w:pPr>
        <w:spacing w:before="300"/>
        <w:jc w:val="center"/>
      </w:pPr>
      <w:r>
        <w:rPr>
          <w:b/>
          <w:bCs/>
          <w:color w:val="2E86AB"/>
          <w:sz w:val="36"/>
          <w:szCs w:val="36"/>
        </w:rPr>
        <w:t xml:space="preserve">VOLUME 2</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4</w:t>
      </w:r>
    </w:p>
    <w:p>
      <w:pPr>
        <w:spacing w:after="80"/>
        <w:ind w:left="360"/>
      </w:pPr>
      <w:r>
        <w:rPr>
          <w:b w:val="false"/>
          <w:bCs w:val="false"/>
          <w:color w:val="000000"/>
          <w:sz w:val="20"/>
          <w:szCs w:val="20"/>
        </w:rPr>
        <w:t xml:space="preserve">1.1 Objet du document</w:t>
      </w:r>
      <w:r>
        <w:ptab w:alignment="right" w:relativeTo="margin" w:leader="dot"/>
      </w:r>
      <w:r>
        <w:rPr>
          <w:sz w:val="20"/>
          <w:szCs w:val="20"/>
        </w:rPr>
        <w:t xml:space="preserve">4</w:t>
      </w:r>
    </w:p>
    <w:p>
      <w:pPr>
        <w:spacing w:after="80"/>
        <w:ind w:left="360"/>
      </w:pPr>
      <w:r>
        <w:rPr>
          <w:b w:val="false"/>
          <w:bCs w:val="false"/>
          <w:color w:val="000000"/>
          <w:sz w:val="20"/>
          <w:szCs w:val="20"/>
        </w:rPr>
        <w:t xml:space="preserve">1.2 Public cible</w:t>
      </w:r>
      <w:r>
        <w:ptab w:alignment="right" w:relativeTo="margin" w:leader="dot"/>
      </w:r>
      <w:r>
        <w:rPr>
          <w:sz w:val="20"/>
          <w:szCs w:val="20"/>
        </w:rPr>
        <w:t xml:space="preserve">4</w:t>
      </w:r>
    </w:p>
    <w:p>
      <w:pPr>
        <w:spacing w:after="80"/>
        <w:ind w:left="360"/>
      </w:pPr>
      <w:r>
        <w:rPr>
          <w:b w:val="false"/>
          <w:bCs w:val="false"/>
          <w:color w:val="000000"/>
          <w:sz w:val="20"/>
          <w:szCs w:val="20"/>
        </w:rPr>
        <w:t xml:space="preserve">1.3 Documents de référence</w:t>
      </w:r>
      <w:r>
        <w:ptab w:alignment="right" w:relativeTo="margin" w:leader="dot"/>
      </w:r>
      <w:r>
        <w:rPr>
          <w:sz w:val="20"/>
          <w:szCs w:val="20"/>
        </w:rPr>
        <w:t xml:space="preserve">4</w:t>
      </w:r>
    </w:p>
    <w:p>
      <w:pPr>
        <w:spacing w:after="80"/>
        <w:ind w:left="360"/>
      </w:pPr>
      <w:r>
        <w:rPr>
          <w:b w:val="false"/>
          <w:bCs w:val="false"/>
          <w:color w:val="000000"/>
          <w:sz w:val="20"/>
          <w:szCs w:val="20"/>
        </w:rPr>
        <w:t xml:space="preserve">1.4 Principes directeurs de conception</w:t>
      </w:r>
      <w:r>
        <w:ptab w:alignment="right" w:relativeTo="margin" w:leader="dot"/>
      </w:r>
      <w:r>
        <w:rPr>
          <w:sz w:val="20"/>
          <w:szCs w:val="20"/>
        </w:rPr>
        <w:t xml:space="preserve">4</w:t>
      </w:r>
    </w:p>
    <w:p>
      <w:pPr>
        <w:spacing w:after="80"/>
        <w:ind w:left="360"/>
      </w:pPr>
      <w:r>
        <w:rPr>
          <w:b w:val="false"/>
          <w:bCs w:val="false"/>
          <w:color w:val="000000"/>
          <w:sz w:val="20"/>
          <w:szCs w:val="20"/>
        </w:rPr>
        <w:t xml:space="preserve">1.5 Glossaire technique</w:t>
      </w:r>
      <w:r>
        <w:ptab w:alignment="right" w:relativeTo="margin" w:leader="dot"/>
      </w:r>
      <w:r>
        <w:rPr>
          <w:sz w:val="20"/>
          <w:szCs w:val="20"/>
        </w:rPr>
        <w:t xml:space="preserve">4</w:t>
      </w:r>
    </w:p>
    <w:p>
      <w:pPr>
        <w:spacing w:after="160"/>
        <w:ind w:left="0"/>
      </w:pPr>
      <w:r>
        <w:rPr>
          <w:b/>
          <w:bCs/>
          <w:color w:val="1F4E5F"/>
          <w:sz w:val="22"/>
          <w:szCs w:val="22"/>
        </w:rPr>
        <w:t xml:space="preserve">PARTIE II — ARCHITECTURE GÉNÉRALE</w:t>
      </w:r>
      <w:r>
        <w:ptab w:alignment="right" w:relativeTo="margin" w:leader="dot"/>
      </w:r>
      <w:r>
        <w:rPr>
          <w:sz w:val="22"/>
          <w:szCs w:val="22"/>
        </w:rPr>
        <w:t xml:space="preserve">6</w:t>
      </w:r>
    </w:p>
    <w:p>
      <w:pPr>
        <w:spacing w:after="80"/>
        <w:ind w:left="360"/>
      </w:pPr>
      <w:r>
        <w:rPr>
          <w:b w:val="false"/>
          <w:bCs w:val="false"/>
          <w:color w:val="000000"/>
          <w:sz w:val="20"/>
          <w:szCs w:val="20"/>
        </w:rPr>
        <w:t xml:space="preserve">2.1 Choix d'architecture : monolithe modulaire</w:t>
      </w:r>
      <w:r>
        <w:ptab w:alignment="right" w:relativeTo="margin" w:leader="dot"/>
      </w:r>
      <w:r>
        <w:rPr>
          <w:sz w:val="20"/>
          <w:szCs w:val="20"/>
        </w:rPr>
        <w:t xml:space="preserve">6</w:t>
      </w:r>
    </w:p>
    <w:p>
      <w:pPr>
        <w:spacing w:after="80"/>
        <w:ind w:left="360"/>
      </w:pPr>
      <w:r>
        <w:rPr>
          <w:b w:val="false"/>
          <w:bCs w:val="false"/>
          <w:color w:val="000000"/>
          <w:sz w:val="20"/>
          <w:szCs w:val="20"/>
        </w:rPr>
        <w:t xml:space="preserve">2.2 Vue d'ensemble de l'architecture cible</w:t>
      </w:r>
      <w:r>
        <w:ptab w:alignment="right" w:relativeTo="margin" w:leader="dot"/>
      </w:r>
      <w:r>
        <w:rPr>
          <w:sz w:val="20"/>
          <w:szCs w:val="20"/>
        </w:rPr>
        <w:t xml:space="preserve">6</w:t>
      </w:r>
    </w:p>
    <w:p>
      <w:pPr>
        <w:spacing w:after="80"/>
        <w:ind w:left="360"/>
      </w:pPr>
      <w:r>
        <w:rPr>
          <w:b w:val="false"/>
          <w:bCs w:val="false"/>
          <w:color w:val="000000"/>
          <w:sz w:val="20"/>
          <w:szCs w:val="20"/>
        </w:rPr>
        <w:t xml:space="preserve">2.3 Architecture multi-tenant</w:t>
      </w:r>
      <w:r>
        <w:ptab w:alignment="right" w:relativeTo="margin" w:leader="dot"/>
      </w:r>
      <w:r>
        <w:rPr>
          <w:sz w:val="20"/>
          <w:szCs w:val="20"/>
        </w:rPr>
        <w:t xml:space="preserve">6</w:t>
      </w:r>
    </w:p>
    <w:p>
      <w:pPr>
        <w:spacing w:after="80"/>
        <w:ind w:left="360"/>
      </w:pPr>
      <w:r>
        <w:rPr>
          <w:b w:val="false"/>
          <w:bCs w:val="false"/>
          <w:color w:val="000000"/>
          <w:sz w:val="20"/>
          <w:szCs w:val="20"/>
        </w:rPr>
        <w:t xml:space="preserve">2.4 API Gateway et exposition externe</w:t>
      </w:r>
      <w:r>
        <w:ptab w:alignment="right" w:relativeTo="margin" w:leader="dot"/>
      </w:r>
      <w:r>
        <w:rPr>
          <w:sz w:val="20"/>
          <w:szCs w:val="20"/>
        </w:rPr>
        <w:t xml:space="preserve">6</w:t>
      </w:r>
    </w:p>
    <w:p>
      <w:pPr>
        <w:spacing w:after="80"/>
        <w:ind w:left="360"/>
      </w:pPr>
      <w:r>
        <w:rPr>
          <w:b w:val="false"/>
          <w:bCs w:val="false"/>
          <w:color w:val="000000"/>
          <w:sz w:val="20"/>
          <w:szCs w:val="20"/>
        </w:rPr>
        <w:t xml:space="preserve">2.5 Modules candidats à l'extraction en microservice</w:t>
      </w:r>
      <w:r>
        <w:ptab w:alignment="right" w:relativeTo="margin" w:leader="dot"/>
      </w:r>
      <w:r>
        <w:rPr>
          <w:sz w:val="20"/>
          <w:szCs w:val="20"/>
        </w:rPr>
        <w:t xml:space="preserve">6</w:t>
      </w:r>
    </w:p>
    <w:p>
      <w:pPr>
        <w:spacing w:after="160"/>
        <w:ind w:left="0"/>
      </w:pPr>
      <w:r>
        <w:rPr>
          <w:b/>
          <w:bCs/>
          <w:color w:val="1F4E5F"/>
          <w:sz w:val="22"/>
          <w:szCs w:val="22"/>
        </w:rPr>
        <w:t xml:space="preserve">PARTIE III — STACK TECHNOLOGIQUE</w:t>
      </w:r>
      <w:r>
        <w:ptab w:alignment="right" w:relativeTo="margin" w:leader="dot"/>
      </w:r>
      <w:r>
        <w:rPr>
          <w:sz w:val="22"/>
          <w:szCs w:val="22"/>
        </w:rPr>
        <w:t xml:space="preserve">7</w:t>
      </w:r>
    </w:p>
    <w:p>
      <w:pPr>
        <w:spacing w:after="160"/>
        <w:ind w:left="0"/>
      </w:pPr>
      <w:r>
        <w:rPr>
          <w:b/>
          <w:bCs/>
          <w:color w:val="1F4E5F"/>
          <w:sz w:val="22"/>
          <w:szCs w:val="22"/>
        </w:rPr>
        <w:t xml:space="preserve">PARTIE IV — EXIGENCES TECHNIQUES TRANSVERSES</w:t>
      </w:r>
      <w:r>
        <w:ptab w:alignment="right" w:relativeTo="margin" w:leader="dot"/>
      </w:r>
      <w:r>
        <w:rPr>
          <w:sz w:val="22"/>
          <w:szCs w:val="22"/>
        </w:rPr>
        <w:t xml:space="preserve">8</w:t>
      </w:r>
    </w:p>
    <w:p>
      <w:pPr>
        <w:spacing w:after="80"/>
        <w:ind w:left="360"/>
      </w:pPr>
      <w:r>
        <w:rPr>
          <w:b w:val="false"/>
          <w:bCs w:val="false"/>
          <w:color w:val="000000"/>
          <w:sz w:val="20"/>
          <w:szCs w:val="20"/>
        </w:rPr>
        <w:t xml:space="preserve">4.1 Sécurité applicative</w:t>
      </w:r>
      <w:r>
        <w:ptab w:alignment="right" w:relativeTo="margin" w:leader="dot"/>
      </w:r>
      <w:r>
        <w:rPr>
          <w:sz w:val="20"/>
          <w:szCs w:val="20"/>
        </w:rPr>
        <w:t xml:space="preserve">8</w:t>
      </w:r>
    </w:p>
    <w:p>
      <w:pPr>
        <w:spacing w:after="80"/>
        <w:ind w:left="360"/>
      </w:pPr>
      <w:r>
        <w:rPr>
          <w:b w:val="false"/>
          <w:bCs w:val="false"/>
          <w:color w:val="000000"/>
          <w:sz w:val="20"/>
          <w:szCs w:val="20"/>
        </w:rPr>
        <w:t xml:space="preserve">4.2 Performance</w:t>
      </w:r>
      <w:r>
        <w:ptab w:alignment="right" w:relativeTo="margin" w:leader="dot"/>
      </w:r>
      <w:r>
        <w:rPr>
          <w:sz w:val="20"/>
          <w:szCs w:val="20"/>
        </w:rPr>
        <w:t xml:space="preserve">8</w:t>
      </w:r>
    </w:p>
    <w:p>
      <w:pPr>
        <w:spacing w:after="80"/>
        <w:ind w:left="360"/>
      </w:pPr>
      <w:r>
        <w:rPr>
          <w:b w:val="false"/>
          <w:bCs w:val="false"/>
          <w:color w:val="000000"/>
          <w:sz w:val="20"/>
          <w:szCs w:val="20"/>
        </w:rPr>
        <w:t xml:space="preserve">4.3 Scalabilité horizontale</w:t>
      </w:r>
      <w:r>
        <w:ptab w:alignment="right" w:relativeTo="margin" w:leader="dot"/>
      </w:r>
      <w:r>
        <w:rPr>
          <w:sz w:val="20"/>
          <w:szCs w:val="20"/>
        </w:rPr>
        <w:t xml:space="preserve">8</w:t>
      </w:r>
    </w:p>
    <w:p>
      <w:pPr>
        <w:spacing w:after="80"/>
        <w:ind w:left="360"/>
      </w:pPr>
      <w:r>
        <w:rPr>
          <w:b w:val="false"/>
          <w:bCs w:val="false"/>
          <w:color w:val="000000"/>
          <w:sz w:val="20"/>
          <w:szCs w:val="20"/>
        </w:rPr>
        <w:t xml:space="preserve">4.4 Disponibilité et tolérance aux pannes</w:t>
      </w:r>
      <w:r>
        <w:ptab w:alignment="right" w:relativeTo="margin" w:leader="dot"/>
      </w:r>
      <w:r>
        <w:rPr>
          <w:sz w:val="20"/>
          <w:szCs w:val="20"/>
        </w:rPr>
        <w:t xml:space="preserve">8</w:t>
      </w:r>
    </w:p>
    <w:p>
      <w:pPr>
        <w:spacing w:after="80"/>
        <w:ind w:left="360"/>
      </w:pPr>
      <w:r>
        <w:rPr>
          <w:b w:val="false"/>
          <w:bCs w:val="false"/>
          <w:color w:val="000000"/>
          <w:sz w:val="20"/>
          <w:szCs w:val="20"/>
        </w:rPr>
        <w:t xml:space="preserve">4.5 Sauvegarde et plan de reprise d'activité (PRA)</w:t>
      </w:r>
      <w:r>
        <w:ptab w:alignment="right" w:relativeTo="margin" w:leader="dot"/>
      </w:r>
      <w:r>
        <w:rPr>
          <w:sz w:val="20"/>
          <w:szCs w:val="20"/>
        </w:rPr>
        <w:t xml:space="preserve">8</w:t>
      </w:r>
    </w:p>
    <w:p>
      <w:pPr>
        <w:spacing w:after="80"/>
        <w:ind w:left="360"/>
      </w:pPr>
      <w:r>
        <w:rPr>
          <w:b w:val="false"/>
          <w:bCs w:val="false"/>
          <w:color w:val="000000"/>
          <w:sz w:val="20"/>
          <w:szCs w:val="20"/>
        </w:rPr>
        <w:t xml:space="preserve">4.6 Mode hors-ligne / connectivité limitée</w:t>
      </w:r>
      <w:r>
        <w:ptab w:alignment="right" w:relativeTo="margin" w:leader="dot"/>
      </w:r>
      <w:r>
        <w:rPr>
          <w:sz w:val="20"/>
          <w:szCs w:val="20"/>
        </w:rPr>
        <w:t xml:space="preserve">8</w:t>
      </w:r>
    </w:p>
    <w:p>
      <w:pPr>
        <w:spacing w:after="80"/>
        <w:ind w:left="360"/>
      </w:pPr>
      <w:r>
        <w:rPr>
          <w:b w:val="false"/>
          <w:bCs w:val="false"/>
          <w:color w:val="000000"/>
          <w:sz w:val="20"/>
          <w:szCs w:val="20"/>
        </w:rPr>
        <w:t xml:space="preserve">4.7 Internationalisation (i18n)</w:t>
      </w:r>
      <w:r>
        <w:ptab w:alignment="right" w:relativeTo="margin" w:leader="dot"/>
      </w:r>
      <w:r>
        <w:rPr>
          <w:sz w:val="20"/>
          <w:szCs w:val="20"/>
        </w:rPr>
        <w:t xml:space="preserve">8</w:t>
      </w:r>
    </w:p>
    <w:p>
      <w:pPr>
        <w:spacing w:after="80"/>
        <w:ind w:left="360"/>
      </w:pPr>
      <w:r>
        <w:rPr>
          <w:b w:val="false"/>
          <w:bCs w:val="false"/>
          <w:color w:val="000000"/>
          <w:sz w:val="20"/>
          <w:szCs w:val="20"/>
        </w:rPr>
        <w:t xml:space="preserve">4.8 Observabilité</w:t>
      </w:r>
      <w:r>
        <w:ptab w:alignment="right" w:relativeTo="margin" w:leader="dot"/>
      </w:r>
      <w:r>
        <w:rPr>
          <w:sz w:val="20"/>
          <w:szCs w:val="20"/>
        </w:rPr>
        <w:t xml:space="preserve">9</w:t>
      </w:r>
    </w:p>
    <w:p>
      <w:pPr>
        <w:spacing w:after="80"/>
        <w:ind w:left="360"/>
      </w:pPr>
      <w:r>
        <w:rPr>
          <w:b w:val="false"/>
          <w:bCs w:val="false"/>
          <w:color w:val="000000"/>
          <w:sz w:val="20"/>
          <w:szCs w:val="20"/>
        </w:rPr>
        <w:t xml:space="preserve">4.9 Conformité et protection des données</w:t>
      </w:r>
      <w:r>
        <w:ptab w:alignment="right" w:relativeTo="margin" w:leader="dot"/>
      </w:r>
      <w:r>
        <w:rPr>
          <w:sz w:val="20"/>
          <w:szCs w:val="20"/>
        </w:rPr>
        <w:t xml:space="preserve">9</w:t>
      </w:r>
    </w:p>
    <w:p>
      <w:pPr>
        <w:spacing w:after="160"/>
        <w:ind w:left="0"/>
      </w:pPr>
      <w:r>
        <w:rPr>
          <w:b/>
          <w:bCs/>
          <w:color w:val="1F4E5F"/>
          <w:sz w:val="22"/>
          <w:szCs w:val="22"/>
        </w:rPr>
        <w:t xml:space="preserve">PARTIE V — SPÉCIFICATIONS TECHNIQUES PAR MODULE</w:t>
      </w:r>
      <w:r>
        <w:ptab w:alignment="right" w:relativeTo="margin" w:leader="dot"/>
      </w:r>
      <w:r>
        <w:rPr>
          <w:sz w:val="22"/>
          <w:szCs w:val="22"/>
        </w:rPr>
        <w:t xml:space="preserve">10</w:t>
      </w:r>
    </w:p>
    <w:p>
      <w:pPr>
        <w:spacing w:after="80"/>
        <w:ind w:left="360"/>
      </w:pPr>
      <w:r>
        <w:rPr>
          <w:b w:val="false"/>
          <w:bCs w:val="false"/>
          <w:color w:val="000000"/>
          <w:sz w:val="20"/>
          <w:szCs w:val="20"/>
        </w:rPr>
        <w:t xml:space="preserve">Module 1 — Gestion des utilisateurs et des rôles</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2 — Gestion des élèves</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3 — Gestion des parents</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4 — Gestion des professeurs / personnel</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5 — Gestion des classes</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6 — Gestion des matières</w:t>
      </w:r>
      <w:r>
        <w:ptab w:alignment="right" w:relativeTo="margin" w:leader="dot"/>
      </w:r>
      <w:r>
        <w:rPr>
          <w:sz w:val="20"/>
          <w:szCs w:val="20"/>
        </w:rPr>
        <w:t xml:space="preserve">12</w:t>
      </w:r>
    </w:p>
    <w:p>
      <w:pPr>
        <w:spacing w:after="80"/>
        <w:ind w:left="360"/>
      </w:pPr>
      <w:r>
        <w:rPr>
          <w:b w:val="false"/>
          <w:bCs w:val="false"/>
          <w:color w:val="000000"/>
          <w:sz w:val="20"/>
          <w:szCs w:val="20"/>
        </w:rPr>
        <w:t xml:space="preserve">Module 7 — Emploi du temps</w:t>
      </w:r>
      <w:r>
        <w:ptab w:alignment="right" w:relativeTo="margin" w:leader="dot"/>
      </w:r>
      <w:r>
        <w:rPr>
          <w:sz w:val="20"/>
          <w:szCs w:val="20"/>
        </w:rPr>
        <w:t xml:space="preserve">12</w:t>
      </w:r>
    </w:p>
    <w:p>
      <w:pPr>
        <w:spacing w:after="80"/>
        <w:ind w:left="360"/>
      </w:pPr>
      <w:r>
        <w:rPr>
          <w:b w:val="false"/>
          <w:bCs w:val="false"/>
          <w:color w:val="000000"/>
          <w:sz w:val="20"/>
          <w:szCs w:val="20"/>
        </w:rPr>
        <w:t xml:space="preserve">Module 8 — Gestion des notes</w:t>
      </w:r>
      <w:r>
        <w:ptab w:alignment="right" w:relativeTo="margin" w:leader="dot"/>
      </w:r>
      <w:r>
        <w:rPr>
          <w:sz w:val="20"/>
          <w:szCs w:val="20"/>
        </w:rPr>
        <w:t xml:space="preserve">12</w:t>
      </w:r>
    </w:p>
    <w:p>
      <w:pPr>
        <w:spacing w:after="80"/>
        <w:ind w:left="360"/>
      </w:pPr>
      <w:r>
        <w:rPr>
          <w:b w:val="false"/>
          <w:bCs w:val="false"/>
          <w:color w:val="000000"/>
          <w:sz w:val="20"/>
          <w:szCs w:val="20"/>
        </w:rPr>
        <w:t xml:space="preserve">Module 9 — Bulletin automatique</w:t>
      </w:r>
      <w:r>
        <w:ptab w:alignment="right" w:relativeTo="margin" w:leader="dot"/>
      </w:r>
      <w:r>
        <w:rPr>
          <w:sz w:val="20"/>
          <w:szCs w:val="20"/>
        </w:rPr>
        <w:t xml:space="preserve">13</w:t>
      </w:r>
    </w:p>
    <w:p>
      <w:pPr>
        <w:spacing w:after="80"/>
        <w:ind w:left="360"/>
      </w:pPr>
      <w:r>
        <w:rPr>
          <w:b w:val="false"/>
          <w:bCs w:val="false"/>
          <w:color w:val="000000"/>
          <w:sz w:val="20"/>
          <w:szCs w:val="20"/>
        </w:rPr>
        <w:t xml:space="preserve">Module 10 — Cahier de texte numérique</w:t>
      </w:r>
      <w:r>
        <w:ptab w:alignment="right" w:relativeTo="margin" w:leader="dot"/>
      </w:r>
      <w:r>
        <w:rPr>
          <w:sz w:val="20"/>
          <w:szCs w:val="20"/>
        </w:rPr>
        <w:t xml:space="preserve">13</w:t>
      </w:r>
    </w:p>
    <w:p>
      <w:pPr>
        <w:spacing w:after="80"/>
        <w:ind w:left="360"/>
      </w:pPr>
      <w:r>
        <w:rPr>
          <w:b w:val="false"/>
          <w:bCs w:val="false"/>
          <w:color w:val="000000"/>
          <w:sz w:val="20"/>
          <w:szCs w:val="20"/>
        </w:rPr>
        <w:t xml:space="preserve">Module 11 — Gestion des devoirs</w:t>
      </w:r>
      <w:r>
        <w:ptab w:alignment="right" w:relativeTo="margin" w:leader="dot"/>
      </w:r>
      <w:r>
        <w:rPr>
          <w:sz w:val="20"/>
          <w:szCs w:val="20"/>
        </w:rPr>
        <w:t xml:space="preserve">14</w:t>
      </w:r>
    </w:p>
    <w:p>
      <w:pPr>
        <w:spacing w:after="80"/>
        <w:ind w:left="360"/>
      </w:pPr>
      <w:r>
        <w:rPr>
          <w:b w:val="false"/>
          <w:bCs w:val="false"/>
          <w:color w:val="000000"/>
          <w:sz w:val="20"/>
          <w:szCs w:val="20"/>
        </w:rPr>
        <w:t xml:space="preserve">Module 12 — Présence</w:t>
      </w:r>
      <w:r>
        <w:ptab w:alignment="right" w:relativeTo="margin" w:leader="dot"/>
      </w:r>
      <w:r>
        <w:rPr>
          <w:sz w:val="20"/>
          <w:szCs w:val="20"/>
        </w:rPr>
        <w:t xml:space="preserve">14</w:t>
      </w:r>
    </w:p>
    <w:p>
      <w:pPr>
        <w:spacing w:after="80"/>
        <w:ind w:left="360"/>
      </w:pPr>
      <w:r>
        <w:rPr>
          <w:b w:val="false"/>
          <w:bCs w:val="false"/>
          <w:color w:val="000000"/>
          <w:sz w:val="20"/>
          <w:szCs w:val="20"/>
        </w:rPr>
        <w:t xml:space="preserve">Module 13 — Discipline</w:t>
      </w:r>
      <w:r>
        <w:ptab w:alignment="right" w:relativeTo="margin" w:leader="dot"/>
      </w:r>
      <w:r>
        <w:rPr>
          <w:sz w:val="20"/>
          <w:szCs w:val="20"/>
        </w:rPr>
        <w:t xml:space="preserve">14</w:t>
      </w:r>
    </w:p>
    <w:p>
      <w:pPr>
        <w:spacing w:after="80"/>
        <w:ind w:left="360"/>
      </w:pPr>
      <w:r>
        <w:rPr>
          <w:b w:val="false"/>
          <w:bCs w:val="false"/>
          <w:color w:val="000000"/>
          <w:sz w:val="20"/>
          <w:szCs w:val="20"/>
        </w:rPr>
        <w:t xml:space="preserve">Module 14 — Paiement</w:t>
      </w:r>
      <w:r>
        <w:ptab w:alignment="right" w:relativeTo="margin" w:leader="dot"/>
      </w:r>
      <w:r>
        <w:rPr>
          <w:sz w:val="20"/>
          <w:szCs w:val="20"/>
        </w:rPr>
        <w:t xml:space="preserve">15</w:t>
      </w:r>
    </w:p>
    <w:p>
      <w:pPr>
        <w:spacing w:after="80"/>
        <w:ind w:left="360"/>
      </w:pPr>
      <w:r>
        <w:rPr>
          <w:b w:val="false"/>
          <w:bCs w:val="false"/>
          <w:color w:val="000000"/>
          <w:sz w:val="20"/>
          <w:szCs w:val="20"/>
        </w:rPr>
        <w:t xml:space="preserve">Module 15 — Comptabilité</w:t>
      </w:r>
      <w:r>
        <w:ptab w:alignment="right" w:relativeTo="margin" w:leader="dot"/>
      </w:r>
      <w:r>
        <w:rPr>
          <w:sz w:val="20"/>
          <w:szCs w:val="20"/>
        </w:rPr>
        <w:t xml:space="preserve">15</w:t>
      </w:r>
    </w:p>
    <w:p>
      <w:pPr>
        <w:spacing w:after="80"/>
        <w:ind w:left="360"/>
      </w:pPr>
      <w:r>
        <w:rPr>
          <w:b w:val="false"/>
          <w:bCs w:val="false"/>
          <w:color w:val="000000"/>
          <w:sz w:val="20"/>
          <w:szCs w:val="20"/>
        </w:rPr>
        <w:t xml:space="preserve">Module 16 — Bibliothèque</w:t>
      </w:r>
      <w:r>
        <w:ptab w:alignment="right" w:relativeTo="margin" w:leader="dot"/>
      </w:r>
      <w:r>
        <w:rPr>
          <w:sz w:val="20"/>
          <w:szCs w:val="20"/>
        </w:rPr>
        <w:t xml:space="preserve">16</w:t>
      </w:r>
    </w:p>
    <w:p>
      <w:pPr>
        <w:spacing w:after="80"/>
        <w:ind w:left="360"/>
      </w:pPr>
      <w:r>
        <w:rPr>
          <w:b w:val="false"/>
          <w:bCs w:val="false"/>
          <w:color w:val="000000"/>
          <w:sz w:val="20"/>
          <w:szCs w:val="20"/>
        </w:rPr>
        <w:t xml:space="preserve">Module 17 — Infirmerie</w:t>
      </w:r>
      <w:r>
        <w:ptab w:alignment="right" w:relativeTo="margin" w:leader="dot"/>
      </w:r>
      <w:r>
        <w:rPr>
          <w:sz w:val="20"/>
          <w:szCs w:val="20"/>
        </w:rPr>
        <w:t xml:space="preserve">16</w:t>
      </w:r>
    </w:p>
    <w:p>
      <w:pPr>
        <w:spacing w:after="80"/>
        <w:ind w:left="360"/>
      </w:pPr>
      <w:r>
        <w:rPr>
          <w:b w:val="false"/>
          <w:bCs w:val="false"/>
          <w:color w:val="000000"/>
          <w:sz w:val="20"/>
          <w:szCs w:val="20"/>
        </w:rPr>
        <w:t xml:space="preserve">Module 18 — Transport scolaire</w:t>
      </w:r>
      <w:r>
        <w:ptab w:alignment="right" w:relativeTo="margin" w:leader="dot"/>
      </w:r>
      <w:r>
        <w:rPr>
          <w:sz w:val="20"/>
          <w:szCs w:val="20"/>
        </w:rPr>
        <w:t xml:space="preserve">16</w:t>
      </w:r>
    </w:p>
    <w:p>
      <w:pPr>
        <w:spacing w:after="80"/>
        <w:ind w:left="360"/>
      </w:pPr>
      <w:r>
        <w:rPr>
          <w:b w:val="false"/>
          <w:bCs w:val="false"/>
          <w:color w:val="000000"/>
          <w:sz w:val="20"/>
          <w:szCs w:val="20"/>
        </w:rPr>
        <w:t xml:space="preserve">Module 19 — Cantine</w:t>
      </w:r>
      <w:r>
        <w:ptab w:alignment="right" w:relativeTo="margin" w:leader="dot"/>
      </w:r>
      <w:r>
        <w:rPr>
          <w:sz w:val="20"/>
          <w:szCs w:val="20"/>
        </w:rPr>
        <w:t xml:space="preserve">17</w:t>
      </w:r>
    </w:p>
    <w:p>
      <w:pPr>
        <w:spacing w:after="80"/>
        <w:ind w:left="360"/>
      </w:pPr>
      <w:r>
        <w:rPr>
          <w:b w:val="false"/>
          <w:bCs w:val="false"/>
          <w:color w:val="000000"/>
          <w:sz w:val="20"/>
          <w:szCs w:val="20"/>
        </w:rPr>
        <w:t xml:space="preserve">Module 20 — Gestion du personnel (RH)</w:t>
      </w:r>
      <w:r>
        <w:ptab w:alignment="right" w:relativeTo="margin" w:leader="dot"/>
      </w:r>
      <w:r>
        <w:rPr>
          <w:sz w:val="20"/>
          <w:szCs w:val="20"/>
        </w:rPr>
        <w:t xml:space="preserve">17</w:t>
      </w:r>
    </w:p>
    <w:p>
      <w:pPr>
        <w:spacing w:after="80"/>
        <w:ind w:left="360"/>
      </w:pPr>
      <w:r>
        <w:rPr>
          <w:b w:val="false"/>
          <w:bCs w:val="false"/>
          <w:color w:val="000000"/>
          <w:sz w:val="20"/>
          <w:szCs w:val="20"/>
        </w:rPr>
        <w:t xml:space="preserve">Module 21 — Gestion documentaire</w:t>
      </w:r>
      <w:r>
        <w:ptab w:alignment="right" w:relativeTo="margin" w:leader="dot"/>
      </w:r>
      <w:r>
        <w:rPr>
          <w:sz w:val="20"/>
          <w:szCs w:val="20"/>
        </w:rPr>
        <w:t xml:space="preserve">17</w:t>
      </w:r>
    </w:p>
    <w:p>
      <w:pPr>
        <w:spacing w:after="80"/>
        <w:ind w:left="360"/>
      </w:pPr>
      <w:r>
        <w:rPr>
          <w:b w:val="false"/>
          <w:bCs w:val="false"/>
          <w:color w:val="000000"/>
          <w:sz w:val="20"/>
          <w:szCs w:val="20"/>
        </w:rPr>
        <w:t xml:space="preserve">Module 22 — Chat</w:t>
      </w:r>
      <w:r>
        <w:ptab w:alignment="right" w:relativeTo="margin" w:leader="dot"/>
      </w:r>
      <w:r>
        <w:rPr>
          <w:sz w:val="20"/>
          <w:szCs w:val="20"/>
        </w:rPr>
        <w:t xml:space="preserve">18</w:t>
      </w:r>
    </w:p>
    <w:p>
      <w:pPr>
        <w:spacing w:after="80"/>
        <w:ind w:left="360"/>
      </w:pPr>
      <w:r>
        <w:rPr>
          <w:b w:val="false"/>
          <w:bCs w:val="false"/>
          <w:color w:val="000000"/>
          <w:sz w:val="20"/>
          <w:szCs w:val="20"/>
        </w:rPr>
        <w:t xml:space="preserve">Module 23 — Réunions</w:t>
      </w:r>
      <w:r>
        <w:ptab w:alignment="right" w:relativeTo="margin" w:leader="dot"/>
      </w:r>
      <w:r>
        <w:rPr>
          <w:sz w:val="20"/>
          <w:szCs w:val="20"/>
        </w:rPr>
        <w:t xml:space="preserve">18</w:t>
      </w:r>
    </w:p>
    <w:p>
      <w:pPr>
        <w:spacing w:after="80"/>
        <w:ind w:left="360"/>
      </w:pPr>
      <w:r>
        <w:rPr>
          <w:b w:val="false"/>
          <w:bCs w:val="false"/>
          <w:color w:val="000000"/>
          <w:sz w:val="20"/>
          <w:szCs w:val="20"/>
        </w:rPr>
        <w:t xml:space="preserve">Module 24 — Notifications</w:t>
      </w:r>
      <w:r>
        <w:ptab w:alignment="right" w:relativeTo="margin" w:leader="dot"/>
      </w:r>
      <w:r>
        <w:rPr>
          <w:sz w:val="20"/>
          <w:szCs w:val="20"/>
        </w:rPr>
        <w:t xml:space="preserve">19</w:t>
      </w:r>
    </w:p>
    <w:p>
      <w:pPr>
        <w:spacing w:after="80"/>
        <w:ind w:left="360"/>
      </w:pPr>
      <w:r>
        <w:rPr>
          <w:b w:val="false"/>
          <w:bCs w:val="false"/>
          <w:color w:val="000000"/>
          <w:sz w:val="20"/>
          <w:szCs w:val="20"/>
        </w:rPr>
        <w:t xml:space="preserve">Module 25 — Intelligence artificielle</w:t>
      </w:r>
      <w:r>
        <w:ptab w:alignment="right" w:relativeTo="margin" w:leader="dot"/>
      </w:r>
      <w:r>
        <w:rPr>
          <w:sz w:val="20"/>
          <w:szCs w:val="20"/>
        </w:rPr>
        <w:t xml:space="preserve">19</w:t>
      </w:r>
    </w:p>
    <w:p>
      <w:pPr>
        <w:spacing w:after="80"/>
        <w:ind w:left="360"/>
      </w:pPr>
      <w:r>
        <w:rPr>
          <w:b w:val="false"/>
          <w:bCs w:val="false"/>
          <w:color w:val="000000"/>
          <w:sz w:val="20"/>
          <w:szCs w:val="20"/>
        </w:rPr>
        <w:t xml:space="preserve">Module 26 — Dashboard</w:t>
      </w:r>
      <w:r>
        <w:ptab w:alignment="right" w:relativeTo="margin" w:leader="dot"/>
      </w:r>
      <w:r>
        <w:rPr>
          <w:sz w:val="20"/>
          <w:szCs w:val="20"/>
        </w:rPr>
        <w:t xml:space="preserve">19</w:t>
      </w:r>
    </w:p>
    <w:p>
      <w:pPr>
        <w:spacing w:after="80"/>
        <w:ind w:left="360"/>
      </w:pPr>
      <w:r>
        <w:rPr>
          <w:b w:val="false"/>
          <w:bCs w:val="false"/>
          <w:color w:val="000000"/>
          <w:sz w:val="20"/>
          <w:szCs w:val="20"/>
        </w:rPr>
        <w:t xml:space="preserve">Module 27 — Rapports</w:t>
      </w:r>
      <w:r>
        <w:ptab w:alignment="right" w:relativeTo="margin" w:leader="dot"/>
      </w:r>
      <w:r>
        <w:rPr>
          <w:sz w:val="20"/>
          <w:szCs w:val="20"/>
        </w:rPr>
        <w:t xml:space="preserve">20</w:t>
      </w:r>
    </w:p>
    <w:p>
      <w:pPr>
        <w:spacing w:after="80"/>
        <w:ind w:left="360"/>
      </w:pPr>
      <w:r>
        <w:rPr>
          <w:b w:val="false"/>
          <w:bCs w:val="false"/>
          <w:color w:val="000000"/>
          <w:sz w:val="20"/>
          <w:szCs w:val="20"/>
        </w:rPr>
        <w:t xml:space="preserve">Module 28 — Sécurité</w:t>
      </w:r>
      <w:r>
        <w:ptab w:alignment="right" w:relativeTo="margin" w:leader="dot"/>
      </w:r>
      <w:r>
        <w:rPr>
          <w:sz w:val="20"/>
          <w:szCs w:val="20"/>
        </w:rPr>
        <w:t xml:space="preserve">20</w:t>
      </w:r>
    </w:p>
    <w:p>
      <w:pPr>
        <w:spacing w:after="80"/>
        <w:ind w:left="360"/>
      </w:pPr>
      <w:r>
        <w:rPr>
          <w:b w:val="false"/>
          <w:bCs w:val="false"/>
          <w:color w:val="000000"/>
          <w:sz w:val="20"/>
          <w:szCs w:val="20"/>
        </w:rPr>
        <w:t xml:space="preserve">Module 29 — Application mobile</w:t>
      </w:r>
      <w:r>
        <w:ptab w:alignment="right" w:relativeTo="margin" w:leader="dot"/>
      </w:r>
      <w:r>
        <w:rPr>
          <w:sz w:val="20"/>
          <w:szCs w:val="20"/>
        </w:rPr>
        <w:t xml:space="preserve">21</w:t>
      </w:r>
    </w:p>
    <w:p>
      <w:pPr>
        <w:spacing w:after="80"/>
        <w:ind w:left="360"/>
      </w:pPr>
      <w:r>
        <w:rPr>
          <w:b w:val="false"/>
          <w:bCs w:val="false"/>
          <w:color w:val="000000"/>
          <w:sz w:val="20"/>
          <w:szCs w:val="20"/>
        </w:rPr>
        <w:t xml:space="preserve">Module 30 — API et intégrations externes</w:t>
      </w:r>
      <w:r>
        <w:ptab w:alignment="right" w:relativeTo="margin" w:leader="dot"/>
      </w:r>
      <w:r>
        <w:rPr>
          <w:sz w:val="20"/>
          <w:szCs w:val="20"/>
        </w:rPr>
        <w:t xml:space="preserve">21</w:t>
      </w:r>
    </w:p>
    <w:p>
      <w:pPr>
        <w:spacing w:after="160"/>
        <w:ind w:left="0"/>
      </w:pPr>
      <w:r>
        <w:rPr>
          <w:b/>
          <w:bCs/>
          <w:color w:val="1F4E5F"/>
          <w:sz w:val="22"/>
          <w:szCs w:val="22"/>
        </w:rPr>
        <w:t xml:space="preserve">PARTIE VI — INTÉGRATIONS EXTERNES</w:t>
      </w:r>
      <w:r>
        <w:ptab w:alignment="right" w:relativeTo="margin" w:leader="dot"/>
      </w:r>
      <w:r>
        <w:rPr>
          <w:sz w:val="22"/>
          <w:szCs w:val="22"/>
        </w:rPr>
        <w:t xml:space="preserve">22</w:t>
      </w:r>
    </w:p>
    <w:p>
      <w:pPr>
        <w:spacing w:after="80"/>
        <w:ind w:left="360"/>
      </w:pPr>
      <w:r>
        <w:rPr>
          <w:b w:val="false"/>
          <w:bCs w:val="false"/>
          <w:color w:val="000000"/>
          <w:sz w:val="20"/>
          <w:szCs w:val="20"/>
        </w:rPr>
        <w:t xml:space="preserve">Orange Money / MTN MoMo</w:t>
      </w:r>
      <w:r>
        <w:ptab w:alignment="right" w:relativeTo="margin" w:leader="dot"/>
      </w:r>
      <w:r>
        <w:rPr>
          <w:sz w:val="20"/>
          <w:szCs w:val="20"/>
        </w:rPr>
        <w:t xml:space="preserve">22</w:t>
      </w:r>
    </w:p>
    <w:p>
      <w:pPr>
        <w:spacing w:after="80"/>
        <w:ind w:left="360"/>
      </w:pPr>
      <w:r>
        <w:rPr>
          <w:b w:val="false"/>
          <w:bCs w:val="false"/>
          <w:color w:val="000000"/>
          <w:sz w:val="20"/>
          <w:szCs w:val="20"/>
        </w:rPr>
        <w:t xml:space="preserve">Intégration bancaire</w:t>
      </w:r>
      <w:r>
        <w:ptab w:alignment="right" w:relativeTo="margin" w:leader="dot"/>
      </w:r>
      <w:r>
        <w:rPr>
          <w:sz w:val="20"/>
          <w:szCs w:val="20"/>
        </w:rPr>
        <w:t xml:space="preserve">22</w:t>
      </w:r>
    </w:p>
    <w:p>
      <w:pPr>
        <w:spacing w:after="80"/>
        <w:ind w:left="360"/>
      </w:pPr>
      <w:r>
        <w:rPr>
          <w:b w:val="false"/>
          <w:bCs w:val="false"/>
          <w:color w:val="000000"/>
          <w:sz w:val="20"/>
          <w:szCs w:val="20"/>
        </w:rPr>
        <w:t xml:space="preserve">SSO Microsoft 365 / Google Workspace</w:t>
      </w:r>
      <w:r>
        <w:ptab w:alignment="right" w:relativeTo="margin" w:leader="dot"/>
      </w:r>
      <w:r>
        <w:rPr>
          <w:sz w:val="20"/>
          <w:szCs w:val="20"/>
        </w:rPr>
        <w:t xml:space="preserve">22</w:t>
      </w:r>
    </w:p>
    <w:p>
      <w:pPr>
        <w:spacing w:after="80"/>
        <w:ind w:left="360"/>
      </w:pPr>
      <w:r>
        <w:rPr>
          <w:b w:val="false"/>
          <w:bCs w:val="false"/>
          <w:color w:val="000000"/>
          <w:sz w:val="20"/>
          <w:szCs w:val="20"/>
        </w:rPr>
        <w:t xml:space="preserve">Moodle</w:t>
      </w:r>
      <w:r>
        <w:ptab w:alignment="right" w:relativeTo="margin" w:leader="dot"/>
      </w:r>
      <w:r>
        <w:rPr>
          <w:sz w:val="20"/>
          <w:szCs w:val="20"/>
        </w:rPr>
        <w:t xml:space="preserve">22</w:t>
      </w:r>
    </w:p>
    <w:p>
      <w:pPr>
        <w:spacing w:after="80"/>
        <w:ind w:left="360"/>
      </w:pPr>
      <w:r>
        <w:rPr>
          <w:b w:val="false"/>
          <w:bCs w:val="false"/>
          <w:color w:val="000000"/>
          <w:sz w:val="20"/>
          <w:szCs w:val="20"/>
        </w:rPr>
        <w:t xml:space="preserve">SMS / WhatsApp Business API</w:t>
      </w:r>
      <w:r>
        <w:ptab w:alignment="right" w:relativeTo="margin" w:leader="dot"/>
      </w:r>
      <w:r>
        <w:rPr>
          <w:sz w:val="20"/>
          <w:szCs w:val="20"/>
        </w:rPr>
        <w:t xml:space="preserve">22</w:t>
      </w:r>
    </w:p>
    <w:p>
      <w:pPr>
        <w:spacing w:after="160"/>
        <w:ind w:left="0"/>
      </w:pPr>
      <w:r>
        <w:rPr>
          <w:b/>
          <w:bCs/>
          <w:color w:val="1F4E5F"/>
          <w:sz w:val="22"/>
          <w:szCs w:val="22"/>
        </w:rPr>
        <w:t xml:space="preserve">PARTIE VII — ENVIRONNEMENTS ET DÉPLOIEMENT</w:t>
      </w:r>
      <w:r>
        <w:ptab w:alignment="right" w:relativeTo="margin" w:leader="dot"/>
      </w:r>
      <w:r>
        <w:rPr>
          <w:sz w:val="22"/>
          <w:szCs w:val="22"/>
        </w:rPr>
        <w:t xml:space="preserve">23</w:t>
      </w:r>
    </w:p>
    <w:p>
      <w:pPr>
        <w:spacing w:after="80"/>
        <w:ind w:left="360"/>
      </w:pPr>
      <w:r>
        <w:rPr>
          <w:b w:val="false"/>
          <w:bCs w:val="false"/>
          <w:color w:val="000000"/>
          <w:sz w:val="20"/>
          <w:szCs w:val="20"/>
        </w:rPr>
        <w:t xml:space="preserve">7.1 Environnements</w:t>
      </w:r>
      <w:r>
        <w:ptab w:alignment="right" w:relativeTo="margin" w:leader="dot"/>
      </w:r>
      <w:r>
        <w:rPr>
          <w:sz w:val="20"/>
          <w:szCs w:val="20"/>
        </w:rPr>
        <w:t xml:space="preserve">23</w:t>
      </w:r>
    </w:p>
    <w:p>
      <w:pPr>
        <w:spacing w:after="80"/>
        <w:ind w:left="360"/>
      </w:pPr>
      <w:r>
        <w:rPr>
          <w:b w:val="false"/>
          <w:bCs w:val="false"/>
          <w:color w:val="000000"/>
          <w:sz w:val="20"/>
          <w:szCs w:val="20"/>
        </w:rPr>
        <w:t xml:space="preserve">7.2 Conteneurisation</w:t>
      </w:r>
      <w:r>
        <w:ptab w:alignment="right" w:relativeTo="margin" w:leader="dot"/>
      </w:r>
      <w:r>
        <w:rPr>
          <w:sz w:val="20"/>
          <w:szCs w:val="20"/>
        </w:rPr>
        <w:t xml:space="preserve">23</w:t>
      </w:r>
    </w:p>
    <w:p>
      <w:pPr>
        <w:spacing w:after="80"/>
        <w:ind w:left="360"/>
      </w:pPr>
      <w:r>
        <w:rPr>
          <w:b w:val="false"/>
          <w:bCs w:val="false"/>
          <w:color w:val="000000"/>
          <w:sz w:val="20"/>
          <w:szCs w:val="20"/>
        </w:rPr>
        <w:t xml:space="preserve">7.3 Intégration et déploiement continus (CI/CD)</w:t>
      </w:r>
      <w:r>
        <w:ptab w:alignment="right" w:relativeTo="margin" w:leader="dot"/>
      </w:r>
      <w:r>
        <w:rPr>
          <w:sz w:val="20"/>
          <w:szCs w:val="20"/>
        </w:rPr>
        <w:t xml:space="preserve">23</w:t>
      </w:r>
    </w:p>
    <w:p>
      <w:pPr>
        <w:spacing w:after="80"/>
        <w:ind w:left="360"/>
      </w:pPr>
      <w:r>
        <w:rPr>
          <w:b w:val="false"/>
          <w:bCs w:val="false"/>
          <w:color w:val="000000"/>
          <w:sz w:val="20"/>
          <w:szCs w:val="20"/>
        </w:rPr>
        <w:t xml:space="preserve">7.4 Stratégie de déploiement multi-tenant</w:t>
      </w:r>
      <w:r>
        <w:ptab w:alignment="right" w:relativeTo="margin" w:leader="dot"/>
      </w:r>
      <w:r>
        <w:rPr>
          <w:sz w:val="20"/>
          <w:szCs w:val="20"/>
        </w:rPr>
        <w:t xml:space="preserve">23</w:t>
      </w:r>
    </w:p>
    <w:p>
      <w:pPr>
        <w:spacing w:after="160"/>
        <w:ind w:left="0"/>
      </w:pPr>
      <w:r>
        <w:rPr>
          <w:b/>
          <w:bCs/>
          <w:color w:val="1F4E5F"/>
          <w:sz w:val="22"/>
          <w:szCs w:val="22"/>
        </w:rPr>
        <w:t xml:space="preserve">PARTIE VIII — DIMENSIONNEMENT TECHNIQUE ESTIMÉ</w:t>
      </w:r>
      <w:r>
        <w:ptab w:alignment="right" w:relativeTo="margin" w:leader="dot"/>
      </w:r>
      <w:r>
        <w:rPr>
          <w:sz w:val="22"/>
          <w:szCs w:val="22"/>
        </w:rPr>
        <w:t xml:space="preserve">24</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Objet du document</w:t>
      </w:r>
    </w:p>
    <w:p>
      <w:pPr>
        <w:spacing w:after="150"/>
      </w:pPr>
      <w:r>
        <w:t xml:space="preserve">Ce document constitue le Volume 2 de la documentation du projet EDUCORE. Il traduit les besoins fonctionnels décrits dans le Volume 1 (Cahier des charges fonctionnel) en exigences techniques précises : architecture cible, choix technologiques, contraintes non fonctionnelles et spécifications techniques module par module.</w:t>
      </w:r>
    </w:p>
    <w:p>
      <w:pPr>
        <w:pStyle w:val="Heading2"/>
        <w:spacing w:after="150" w:before="300"/>
      </w:pPr>
      <w:r>
        <w:rPr>
          <w:b/>
          <w:bCs/>
          <w:color w:val="2E86AB"/>
        </w:rPr>
        <w:t xml:space="preserve">1.2 Public cible</w:t>
      </w:r>
    </w:p>
    <w:p>
      <w:pPr>
        <w:spacing w:after="150"/>
      </w:pPr>
      <w:r>
        <w:t xml:space="preserve">Ce document s'adresse à l'équipe de développement, aux architectes logiciels, aux prestataires techniques externes et à toute personne devant comprendre ou implémenter la plateforme au niveau technique.</w:t>
      </w:r>
    </w:p>
    <w:p>
      <w:pPr>
        <w:pStyle w:val="Heading2"/>
        <w:spacing w:after="150" w:before="300"/>
      </w:pPr>
      <w:r>
        <w:rPr>
          <w:b/>
          <w:bCs/>
          <w:color w:val="2E86AB"/>
        </w:rPr>
        <w:t xml:space="preserve">1.3 Documents de référence</w:t>
      </w:r>
    </w:p>
    <w:p>
      <w:pPr>
        <w:pStyle w:val="ListParagraph"/>
        <w:numPr>
          <w:ilvl w:val="0"/>
          <w:numId w:val="2"/>
        </w:numPr>
        <w:spacing w:after="80"/>
      </w:pPr>
      <w:r>
        <w:t xml:space="preserve">Volume 1 — Cahier des charges fonctionnel (référence pour l'ensemble des besoins métier)</w:t>
      </w:r>
    </w:p>
    <w:p>
      <w:pPr>
        <w:pStyle w:val="ListParagraph"/>
        <w:numPr>
          <w:ilvl w:val="0"/>
          <w:numId w:val="2"/>
        </w:numPr>
        <w:spacing w:after="80"/>
      </w:pPr>
      <w:r>
        <w:t xml:space="preserve">Volume 3 — Architecture logicielle détaillée (à paraître)</w:t>
      </w:r>
    </w:p>
    <w:p>
      <w:pPr>
        <w:pStyle w:val="ListParagraph"/>
        <w:numPr>
          <w:ilvl w:val="0"/>
          <w:numId w:val="2"/>
        </w:numPr>
        <w:spacing w:after="80"/>
      </w:pPr>
      <w:r>
        <w:t xml:space="preserve">Volume 5 — Dictionnaire de données et modèle de base de données (le script SQL de référence a déjà été livré séparément)</w:t>
      </w:r>
    </w:p>
    <w:p>
      <w:pPr>
        <w:pStyle w:val="Heading2"/>
        <w:spacing w:after="150" w:before="300"/>
      </w:pPr>
      <w:r>
        <w:rPr>
          <w:b/>
          <w:bCs/>
          <w:color w:val="2E86AB"/>
        </w:rPr>
        <w:t xml:space="preserve">1.4 Principes directeurs de conception</w:t>
      </w:r>
    </w:p>
    <w:p>
      <w:pPr>
        <w:pStyle w:val="ListParagraph"/>
        <w:numPr>
          <w:ilvl w:val="0"/>
          <w:numId w:val="2"/>
        </w:numPr>
        <w:spacing w:after="80"/>
      </w:pPr>
      <w:r>
        <w:t xml:space="preserve">Modularité avant tout : chaque module doit rester découplé au niveau du code, même hébergé dans un monolithe, pour permettre une extraction future en service indépendant si le besoin de scalabilité l'exige</w:t>
      </w:r>
    </w:p>
    <w:p>
      <w:pPr>
        <w:pStyle w:val="ListParagraph"/>
        <w:numPr>
          <w:ilvl w:val="0"/>
          <w:numId w:val="2"/>
        </w:numPr>
        <w:spacing w:after="80"/>
      </w:pPr>
      <w:r>
        <w:t xml:space="preserve">Résilience au réseau : aucune fonctionnalité critique ne doit dépendre d'une connexion internet permanente et stable</w:t>
      </w:r>
    </w:p>
    <w:p>
      <w:pPr>
        <w:pStyle w:val="ListParagraph"/>
        <w:numPr>
          <w:ilvl w:val="0"/>
          <w:numId w:val="2"/>
        </w:numPr>
        <w:spacing w:after="80"/>
      </w:pPr>
      <w:r>
        <w:t xml:space="preserve">Sécurité par conception : chiffrement, contrôle d'accès et traçabilité intégrés dès la conception de chaque module, non ajoutés a posteriori</w:t>
      </w:r>
    </w:p>
    <w:p>
      <w:pPr>
        <w:pStyle w:val="ListParagraph"/>
        <w:numPr>
          <w:ilvl w:val="0"/>
          <w:numId w:val="2"/>
        </w:numPr>
        <w:spacing w:after="80"/>
      </w:pPr>
      <w:r>
        <w:t xml:space="preserve">Multi-tenant natif : toute nouvelle table ou fonctionnalité doit intégrer l'isolation par établissement dès sa conception</w:t>
      </w:r>
    </w:p>
    <w:p>
      <w:pPr>
        <w:pStyle w:val="Heading2"/>
        <w:spacing w:after="150" w:before="300"/>
      </w:pPr>
      <w:r>
        <w:rPr>
          <w:b/>
          <w:bCs/>
          <w:color w:val="2E86AB"/>
        </w:rPr>
        <w:t xml:space="preserve">1.5 Glossaire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4E5F" w:color="auto" w:val="clear"/>
            <w:tcMar>
              <w:top w:type="dxa" w:w="80"/>
              <w:left w:type="dxa" w:w="100"/>
              <w:bottom w:type="dxa" w:w="80"/>
              <w:right w:type="dxa" w:w="100"/>
            </w:tcMar>
            <w:vAlign w:val="center"/>
          </w:tcPr>
          <w:p>
            <w:r>
              <w:rPr>
                <w:b/>
                <w:bCs/>
                <w:color w:val="FFFFFF"/>
                <w:sz w:val="20"/>
                <w:szCs w:val="20"/>
              </w:rPr>
              <w:t xml:space="preserve">Terme</w:t>
            </w:r>
          </w:p>
        </w:tc>
        <w:tc>
          <w:tcPr>
            <w:tcW w:type="dxa" w:w="7000"/>
            <w:shd w:fill="1F4E5F" w:color="auto" w:val="clear"/>
            <w:tcMar>
              <w:top w:type="dxa" w:w="80"/>
              <w:left w:type="dxa" w:w="100"/>
              <w:bottom w:type="dxa" w:w="80"/>
              <w:right w:type="dxa" w:w="100"/>
            </w:tcMar>
            <w:vAlign w:val="center"/>
          </w:tcPr>
          <w:p>
            <w:r>
              <w:rPr>
                <w:b/>
                <w:bCs/>
                <w:color w:val="FFFFFF"/>
                <w:sz w:val="20"/>
                <w:szCs w:val="20"/>
              </w:rPr>
              <w:t xml:space="preserve">Définition</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API Gateway</w:t>
            </w:r>
          </w:p>
        </w:tc>
        <w:tc>
          <w:tcPr>
            <w:tcW w:type="dxa" w:w="7000"/>
            <w:tcMar>
              <w:top w:type="dxa" w:w="80"/>
              <w:left w:type="dxa" w:w="100"/>
              <w:bottom w:type="dxa" w:w="80"/>
              <w:right w:type="dxa" w:w="100"/>
            </w:tcMar>
            <w:vAlign w:val="center"/>
          </w:tcPr>
          <w:p>
            <w:r>
              <w:rPr>
                <w:b w:val="false"/>
                <w:bCs w:val="false"/>
                <w:color w:val="000000"/>
                <w:sz w:val="20"/>
                <w:szCs w:val="20"/>
              </w:rPr>
              <w:t xml:space="preserve">Point d'entrée unique qui route, authentifie et limite le débit des requêtes vers les services internes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JWT</w:t>
            </w:r>
          </w:p>
        </w:tc>
        <w:tc>
          <w:tcPr>
            <w:tcW w:type="dxa" w:w="7000"/>
            <w:tcMar>
              <w:top w:type="dxa" w:w="80"/>
              <w:left w:type="dxa" w:w="100"/>
              <w:bottom w:type="dxa" w:w="80"/>
              <w:right w:type="dxa" w:w="100"/>
            </w:tcMar>
            <w:vAlign w:val="center"/>
          </w:tcPr>
          <w:p>
            <w:r>
              <w:rPr>
                <w:b w:val="false"/>
                <w:bCs w:val="false"/>
                <w:color w:val="000000"/>
                <w:sz w:val="20"/>
                <w:szCs w:val="20"/>
              </w:rPr>
              <w:t xml:space="preserve">JSON Web Token — jeton d'authentification signé utilisé pour sécuriser les échanges API</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Webhook</w:t>
            </w:r>
          </w:p>
        </w:tc>
        <w:tc>
          <w:tcPr>
            <w:tcW w:type="dxa" w:w="7000"/>
            <w:tcMar>
              <w:top w:type="dxa" w:w="80"/>
              <w:left w:type="dxa" w:w="100"/>
              <w:bottom w:type="dxa" w:w="80"/>
              <w:right w:type="dxa" w:w="100"/>
            </w:tcMar>
            <w:vAlign w:val="center"/>
          </w:tcPr>
          <w:p>
            <w:r>
              <w:rPr>
                <w:b w:val="false"/>
                <w:bCs w:val="false"/>
                <w:color w:val="000000"/>
                <w:sz w:val="20"/>
                <w:szCs w:val="20"/>
              </w:rPr>
              <w:t xml:space="preserve">Mécanisme de notification HTTP asynchrone déclenché par un événement chez un fournisseur externe (ex. confirmation de paiement)</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Idempotence</w:t>
            </w:r>
          </w:p>
        </w:tc>
        <w:tc>
          <w:tcPr>
            <w:tcW w:type="dxa" w:w="7000"/>
            <w:tcMar>
              <w:top w:type="dxa" w:w="80"/>
              <w:left w:type="dxa" w:w="100"/>
              <w:bottom w:type="dxa" w:w="80"/>
              <w:right w:type="dxa" w:w="100"/>
            </w:tcMar>
            <w:vAlign w:val="center"/>
          </w:tcPr>
          <w:p>
            <w:r>
              <w:rPr>
                <w:b w:val="false"/>
                <w:bCs w:val="false"/>
                <w:color w:val="000000"/>
                <w:sz w:val="20"/>
                <w:szCs w:val="20"/>
              </w:rPr>
              <w:t xml:space="preserve">Propriété d'une opération pouvant être répétée sans effet de bord supplémentaire (essentiel pour les paiements)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RBAC</w:t>
            </w:r>
          </w:p>
        </w:tc>
        <w:tc>
          <w:tcPr>
            <w:tcW w:type="dxa" w:w="7000"/>
            <w:tcMar>
              <w:top w:type="dxa" w:w="80"/>
              <w:left w:type="dxa" w:w="100"/>
              <w:bottom w:type="dxa" w:w="80"/>
              <w:right w:type="dxa" w:w="100"/>
            </w:tcMar>
            <w:vAlign w:val="center"/>
          </w:tcPr>
          <w:p>
            <w:r>
              <w:rPr>
                <w:b w:val="false"/>
                <w:bCs w:val="false"/>
                <w:color w:val="000000"/>
                <w:sz w:val="20"/>
                <w:szCs w:val="20"/>
              </w:rPr>
              <w:t xml:space="preserve">Role-Based Access Control — contrôle d'accès basé sur les rôles</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CI/CD</w:t>
            </w:r>
          </w:p>
        </w:tc>
        <w:tc>
          <w:tcPr>
            <w:tcW w:type="dxa" w:w="7000"/>
            <w:tcMar>
              <w:top w:type="dxa" w:w="80"/>
              <w:left w:type="dxa" w:w="100"/>
              <w:bottom w:type="dxa" w:w="80"/>
              <w:right w:type="dxa" w:w="100"/>
            </w:tcMar>
            <w:vAlign w:val="center"/>
          </w:tcPr>
          <w:p>
            <w:r>
              <w:rPr>
                <w:b w:val="false"/>
                <w:bCs w:val="false"/>
                <w:color w:val="000000"/>
                <w:sz w:val="20"/>
                <w:szCs w:val="20"/>
              </w:rPr>
              <w:t xml:space="preserve">Intégration continue / déploiement continu</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SLA</w:t>
            </w:r>
          </w:p>
        </w:tc>
        <w:tc>
          <w:tcPr>
            <w:tcW w:type="dxa" w:w="7000"/>
            <w:tcMar>
              <w:top w:type="dxa" w:w="80"/>
              <w:left w:type="dxa" w:w="100"/>
              <w:bottom w:type="dxa" w:w="80"/>
              <w:right w:type="dxa" w:w="100"/>
            </w:tcMar>
            <w:vAlign w:val="center"/>
          </w:tcPr>
          <w:p>
            <w:r>
              <w:rPr>
                <w:b w:val="false"/>
                <w:bCs w:val="false"/>
                <w:color w:val="000000"/>
                <w:sz w:val="20"/>
                <w:szCs w:val="20"/>
              </w:rPr>
              <w:t xml:space="preserve">Service Level Agreement — engagement contractuel de niveau de service</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PRA</w:t>
            </w:r>
          </w:p>
        </w:tc>
        <w:tc>
          <w:tcPr>
            <w:tcW w:type="dxa" w:w="7000"/>
            <w:tcMar>
              <w:top w:type="dxa" w:w="80"/>
              <w:left w:type="dxa" w:w="100"/>
              <w:bottom w:type="dxa" w:w="80"/>
              <w:right w:type="dxa" w:w="100"/>
            </w:tcMar>
            <w:vAlign w:val="center"/>
          </w:tcPr>
          <w:p>
            <w:r>
              <w:rPr>
                <w:b w:val="false"/>
                <w:bCs w:val="false"/>
                <w:color w:val="000000"/>
                <w:sz w:val="20"/>
                <w:szCs w:val="20"/>
              </w:rPr>
              <w:t xml:space="preserve">Plan de reprise d'activité</w:t>
            </w:r>
          </w:p>
        </w:tc>
      </w:tr>
      <w:tr>
        <w:trPr>
          <w:tblHeader w:val="false"/>
        </w:trPr>
        <w:tc>
          <w:tcPr>
            <w:tcW w:type="dxa" w:w="2350"/>
            <w:tcMar>
              <w:top w:type="dxa" w:w="80"/>
              <w:left w:type="dxa" w:w="100"/>
              <w:bottom w:type="dxa" w:w="80"/>
              <w:right w:type="dxa" w:w="100"/>
            </w:tcMar>
            <w:vAlign w:val="center"/>
          </w:tcPr>
          <w:p>
            <w:r>
              <w:rPr>
                <w:b w:val="false"/>
                <w:bCs w:val="false"/>
                <w:color w:val="000000"/>
                <w:sz w:val="20"/>
                <w:szCs w:val="20"/>
              </w:rPr>
              <w:t xml:space="preserve">Vue matérialisée</w:t>
            </w:r>
          </w:p>
        </w:tc>
        <w:tc>
          <w:tcPr>
            <w:tcW w:type="dxa" w:w="7000"/>
            <w:tcMar>
              <w:top w:type="dxa" w:w="80"/>
              <w:left w:type="dxa" w:w="100"/>
              <w:bottom w:type="dxa" w:w="80"/>
              <w:right w:type="dxa" w:w="100"/>
            </w:tcMar>
            <w:vAlign w:val="center"/>
          </w:tcPr>
          <w:p>
            <w:r>
              <w:rPr>
                <w:b w:val="false"/>
                <w:bCs w:val="false"/>
                <w:color w:val="000000"/>
                <w:sz w:val="20"/>
                <w:szCs w:val="20"/>
              </w:rPr>
              <w:t xml:space="preserve">Résultat de requête pré-calculé et stocké, rafraîchi périodiquement pour accélérer la lecture</w:t>
            </w:r>
          </w:p>
        </w:tc>
      </w:tr>
    </w:tbl>
    <w:p>
      <w:r>
        <w:br w:type="page"/>
      </w:r>
    </w:p>
    <w:p>
      <w:pPr>
        <w:pStyle w:val="Heading1"/>
        <w:spacing w:after="200" w:before="400"/>
      </w:pPr>
      <w:r>
        <w:rPr>
          <w:b/>
          <w:bCs/>
          <w:color w:val="1F4E5F"/>
        </w:rPr>
        <w:t xml:space="preserve">PARTIE II — ARCHITECTURE GÉNÉRALE</w:t>
      </w:r>
    </w:p>
    <w:p>
      <w:pPr>
        <w:pStyle w:val="Heading2"/>
        <w:spacing w:after="150" w:before="300"/>
      </w:pPr>
      <w:r>
        <w:rPr>
          <w:b/>
          <w:bCs/>
          <w:color w:val="2E86AB"/>
        </w:rPr>
        <w:t xml:space="preserve">2.1 Choix d'architecture : monolithe modulaire</w:t>
      </w:r>
    </w:p>
    <w:p>
      <w:pPr>
        <w:spacing w:after="150"/>
      </w:pPr>
      <w:r>
        <w:t xml:space="preserve">Après analyse des besoins (30 modules fortement couplés fonctionnellement autour de l'élève), l'architecture retenue pour la première version d'EDUCORE est un monolithe modulaire : une seule application backend organisée en modules métier clairement séparés dans le code, s'appuyant sur une base de données PostgreSQL unique par instance. Ce choix privilégie la simplicité opérationnelle, la cohérence transactionnelle (ex. paiement + écriture comptable dans une même transaction) et la vitesse de développement, tout en préservant la possibilité d'extraire ultérieurement des modules à profil de charge distinct.</w:t>
      </w:r>
    </w:p>
    <w:p>
      <w:pPr>
        <w:pStyle w:val="Heading2"/>
        <w:spacing w:after="150" w:before="300"/>
      </w:pPr>
      <w:r>
        <w:rPr>
          <w:b/>
          <w:bCs/>
          <w:color w:val="2E86AB"/>
        </w:rPr>
        <w:t xml:space="preserve">2.2 Vue d'ensemble de l'architecture cible</w:t>
      </w:r>
    </w:p>
    <w:p>
      <w:pPr>
        <w:pStyle w:val="ListParagraph"/>
        <w:numPr>
          <w:ilvl w:val="0"/>
          <w:numId w:val="2"/>
        </w:numPr>
        <w:spacing w:after="80"/>
      </w:pPr>
      <w:r>
        <w:t xml:space="preserve">Une API Gateway unique en frontal, gérant l'authentification, le rate limiting et le routage</w:t>
      </w:r>
    </w:p>
    <w:p>
      <w:pPr>
        <w:pStyle w:val="ListParagraph"/>
        <w:numPr>
          <w:ilvl w:val="0"/>
          <w:numId w:val="2"/>
        </w:numPr>
        <w:spacing w:after="80"/>
      </w:pPr>
      <w:r>
        <w:t xml:space="preserve">Un backend applicatif monolithique modulaire exposant une API REST versionnée (/api/v1/...)</w:t>
      </w:r>
    </w:p>
    <w:p>
      <w:pPr>
        <w:pStyle w:val="ListParagraph"/>
        <w:numPr>
          <w:ilvl w:val="0"/>
          <w:numId w:val="2"/>
        </w:numPr>
        <w:spacing w:after="80"/>
      </w:pPr>
      <w:r>
        <w:t xml:space="preserve">Une base de données PostgreSQL par instance, avec isolation multi-tenant par colonne etablissement_id</w:t>
      </w:r>
    </w:p>
    <w:p>
      <w:pPr>
        <w:pStyle w:val="ListParagraph"/>
        <w:numPr>
          <w:ilvl w:val="0"/>
          <w:numId w:val="2"/>
        </w:numPr>
        <w:spacing w:after="80"/>
      </w:pPr>
      <w:r>
        <w:t xml:space="preserve">Des services périphériques découplés dès la V1 pour les besoins à profil de charge distinct : service IA (Python/FastAPI), service de notifications événementielles, service de chat temps réel (WebSocket)</w:t>
      </w:r>
    </w:p>
    <w:p>
      <w:pPr>
        <w:pStyle w:val="ListParagraph"/>
        <w:numPr>
          <w:ilvl w:val="0"/>
          <w:numId w:val="2"/>
        </w:numPr>
        <w:spacing w:after="80"/>
      </w:pPr>
      <w:r>
        <w:t xml:space="preserve">Une file de messages (ex. RabbitMQ ou Redis Streams) pour les traitements asynchrones inter-modules (notifications, recalcul de moyennes, génération de rapports)</w:t>
      </w:r>
    </w:p>
    <w:p>
      <w:pPr>
        <w:pStyle w:val="Heading2"/>
        <w:spacing w:after="150" w:before="300"/>
      </w:pPr>
      <w:r>
        <w:rPr>
          <w:b/>
          <w:bCs/>
          <w:color w:val="2E86AB"/>
        </w:rPr>
        <w:t xml:space="preserve">2.3 Architecture multi-tenant</w:t>
      </w:r>
    </w:p>
    <w:p>
      <w:pPr>
        <w:spacing w:after="150"/>
      </w:pPr>
      <w:r>
        <w:t xml:space="preserve">Chaque établissement (tenant) est isolé au niveau applicatif par la colonne etablissement_id présente sur toutes les tables métier, complétée par des politiques Row-Level Security (RLS) PostgreSQL pour garantir qu'aucune requête ne puisse, même par erreur applicative, retourner les données d'un autre établissement. Un établissement à très fort volume ou à exigence de conformité spécifique pourra être migré vers une base dédiée sans changement de code applicatif.</w:t>
      </w:r>
    </w:p>
    <w:p>
      <w:pPr>
        <w:pStyle w:val="Heading2"/>
        <w:spacing w:after="150" w:before="300"/>
      </w:pPr>
      <w:r>
        <w:rPr>
          <w:b/>
          <w:bCs/>
          <w:color w:val="2E86AB"/>
        </w:rPr>
        <w:t xml:space="preserve">2.4 API Gateway et exposition externe</w:t>
      </w:r>
    </w:p>
    <w:p>
      <w:pPr>
        <w:spacing w:after="150"/>
      </w:pPr>
      <w:r>
        <w:t xml:space="preserve">L'API Gateway est le point d'entrée unique pour les clients web, mobile et les intégrations partenaires. Elle assure : l'authentification (validation JWT / OAuth2), le rate limiting par client, le routage vers le backend monolithique ou les services périphériques, et la journalisation centralisée des appels.</w:t>
      </w:r>
    </w:p>
    <w:p>
      <w:pPr>
        <w:pStyle w:val="Heading2"/>
        <w:spacing w:after="150" w:before="300"/>
      </w:pPr>
      <w:r>
        <w:rPr>
          <w:b/>
          <w:bCs/>
          <w:color w:val="2E86AB"/>
        </w:rPr>
        <w:t xml:space="preserve">2.5 Modules candidats à l'extraction en microservice</w:t>
      </w:r>
    </w:p>
    <w:p>
      <w:pPr>
        <w:spacing w:after="150"/>
      </w:pPr>
      <w:r>
        <w:t xml:space="preserve">Trois périmètres présentent un profil de charge suffisamment différent du reste de la plateforme pour justifier, dès la conception, une séparation physique en services indépendants derrière l'API Gateway :</w:t>
      </w:r>
    </w:p>
    <w:p>
      <w:pPr>
        <w:pStyle w:val="ListParagraph"/>
        <w:numPr>
          <w:ilvl w:val="0"/>
          <w:numId w:val="2"/>
        </w:numPr>
        <w:spacing w:after="80"/>
      </w:pPr>
      <w:r>
        <w:t xml:space="preserve">Module 25 — Intelligence artificielle (charge de calcul GPU/CPU différente, écosystème Python)</w:t>
      </w:r>
    </w:p>
    <w:p>
      <w:pPr>
        <w:pStyle w:val="ListParagraph"/>
        <w:numPr>
          <w:ilvl w:val="0"/>
          <w:numId w:val="2"/>
        </w:numPr>
        <w:spacing w:after="80"/>
      </w:pPr>
      <w:r>
        <w:t xml:space="preserve">Module 22 — Chat (connexions WebSocket persistantes, scaling horizontal spécifique)</w:t>
      </w:r>
    </w:p>
    <w:p>
      <w:pPr>
        <w:pStyle w:val="ListParagraph"/>
        <w:numPr>
          <w:ilvl w:val="0"/>
          <w:numId w:val="2"/>
        </w:numPr>
        <w:spacing w:after="80"/>
      </w:pPr>
      <w:r>
        <w:t xml:space="preserve">Module 24 — Notifications (débit élevé, tolérance à la latence différente, intégrations multiples de canaux)</w:t>
      </w:r>
    </w:p>
    <w:p>
      <w:r>
        <w:br w:type="page"/>
      </w:r>
    </w:p>
    <w:p>
      <w:pPr>
        <w:pStyle w:val="Heading1"/>
        <w:spacing w:after="200" w:before="400"/>
      </w:pPr>
      <w:r>
        <w:rPr>
          <w:b/>
          <w:bCs/>
          <w:color w:val="1F4E5F"/>
        </w:rPr>
        <w:t xml:space="preserve">PARTIE III — STACK TECHNOLOGIQUE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50"/>
      </w:tblGrid>
      <w:tr>
        <w:trPr>
          <w:tblHeader/>
        </w:trPr>
        <w:tc>
          <w:tcPr>
            <w:tcW w:type="dxa" w:w="2300"/>
            <w:shd w:fill="1F4E5F" w:color="auto" w:val="clear"/>
            <w:tcMar>
              <w:top w:type="dxa" w:w="80"/>
              <w:left w:type="dxa" w:w="100"/>
              <w:bottom w:type="dxa" w:w="80"/>
              <w:right w:type="dxa" w:w="100"/>
            </w:tcMar>
            <w:vAlign w:val="center"/>
          </w:tcPr>
          <w:p>
            <w:r>
              <w:rPr>
                <w:b/>
                <w:bCs/>
                <w:color w:val="FFFFFF"/>
                <w:sz w:val="20"/>
                <w:szCs w:val="20"/>
              </w:rPr>
              <w:t xml:space="preserve">Composant</w:t>
            </w:r>
          </w:p>
        </w:tc>
        <w:tc>
          <w:tcPr>
            <w:tcW w:type="dxa" w:w="2300"/>
            <w:shd w:fill="1F4E5F" w:color="auto" w:val="clear"/>
            <w:tcMar>
              <w:top w:type="dxa" w:w="80"/>
              <w:left w:type="dxa" w:w="100"/>
              <w:bottom w:type="dxa" w:w="80"/>
              <w:right w:type="dxa" w:w="100"/>
            </w:tcMar>
            <w:vAlign w:val="center"/>
          </w:tcPr>
          <w:p>
            <w:r>
              <w:rPr>
                <w:b/>
                <w:bCs/>
                <w:color w:val="FFFFFF"/>
                <w:sz w:val="20"/>
                <w:szCs w:val="20"/>
              </w:rPr>
              <w:t xml:space="preserve">Technologie retenue</w:t>
            </w:r>
          </w:p>
        </w:tc>
        <w:tc>
          <w:tcPr>
            <w:tcW w:type="dxa" w:w="4750"/>
            <w:shd w:fill="1F4E5F" w:color="auto" w:val="clear"/>
            <w:tcMar>
              <w:top w:type="dxa" w:w="80"/>
              <w:left w:type="dxa" w:w="100"/>
              <w:bottom w:type="dxa" w:w="80"/>
              <w:right w:type="dxa" w:w="100"/>
            </w:tcMar>
            <w:vAlign w:val="center"/>
          </w:tcPr>
          <w:p>
            <w:r>
              <w:rPr>
                <w:b/>
                <w:bCs/>
                <w:color w:val="FFFFFF"/>
                <w:sz w:val="20"/>
                <w:szCs w:val="20"/>
              </w:rPr>
              <w:t xml:space="preserve">Justification</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Backend applicatif</w:t>
            </w:r>
          </w:p>
        </w:tc>
        <w:tc>
          <w:tcPr>
            <w:tcW w:type="dxa" w:w="2300"/>
            <w:tcMar>
              <w:top w:type="dxa" w:w="80"/>
              <w:left w:type="dxa" w:w="100"/>
              <w:bottom w:type="dxa" w:w="80"/>
              <w:right w:type="dxa" w:w="100"/>
            </w:tcMar>
            <w:vAlign w:val="center"/>
          </w:tcPr>
          <w:p>
            <w:r>
              <w:rPr>
                <w:b w:val="false"/>
                <w:bCs w:val="false"/>
                <w:color w:val="000000"/>
                <w:sz w:val="20"/>
                <w:szCs w:val="20"/>
              </w:rPr>
              <w:t xml:space="preserve">Java 21 / Spring Boot 3</w:t>
            </w:r>
          </w:p>
        </w:tc>
        <w:tc>
          <w:tcPr>
            <w:tcW w:type="dxa" w:w="4750"/>
            <w:tcMar>
              <w:top w:type="dxa" w:w="80"/>
              <w:left w:type="dxa" w:w="100"/>
              <w:bottom w:type="dxa" w:w="80"/>
              <w:right w:type="dxa" w:w="100"/>
            </w:tcMar>
            <w:vAlign w:val="center"/>
          </w:tcPr>
          <w:p>
            <w:r>
              <w:rPr>
                <w:b w:val="false"/>
                <w:bCs w:val="false"/>
                <w:color w:val="000000"/>
                <w:sz w:val="20"/>
                <w:szCs w:val="20"/>
              </w:rPr>
              <w:t xml:space="preserve">Écosystème mature, fortement typé, excellent support transactionnel (essentiel pour la comptabilité et les paiements), large vivier de compétences disponibles</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Service IA</w:t>
            </w:r>
          </w:p>
        </w:tc>
        <w:tc>
          <w:tcPr>
            <w:tcW w:type="dxa" w:w="2300"/>
            <w:tcMar>
              <w:top w:type="dxa" w:w="80"/>
              <w:left w:type="dxa" w:w="100"/>
              <w:bottom w:type="dxa" w:w="80"/>
              <w:right w:type="dxa" w:w="100"/>
            </w:tcMar>
            <w:vAlign w:val="center"/>
          </w:tcPr>
          <w:p>
            <w:r>
              <w:rPr>
                <w:b w:val="false"/>
                <w:bCs w:val="false"/>
                <w:color w:val="000000"/>
                <w:sz w:val="20"/>
                <w:szCs w:val="20"/>
              </w:rPr>
              <w:t xml:space="preserve">Python 3.12 / FastAPI</w:t>
            </w:r>
          </w:p>
        </w:tc>
        <w:tc>
          <w:tcPr>
            <w:tcW w:type="dxa" w:w="4750"/>
            <w:tcMar>
              <w:top w:type="dxa" w:w="80"/>
              <w:left w:type="dxa" w:w="100"/>
              <w:bottom w:type="dxa" w:w="80"/>
              <w:right w:type="dxa" w:w="100"/>
            </w:tcMar>
            <w:vAlign w:val="center"/>
          </w:tcPr>
          <w:p>
            <w:r>
              <w:rPr>
                <w:b w:val="false"/>
                <w:bCs w:val="false"/>
                <w:color w:val="000000"/>
                <w:sz w:val="20"/>
                <w:szCs w:val="20"/>
              </w:rPr>
              <w:t xml:space="preserve">Écosystème de référence pour le machine learning (scikit-learn, PyTorch)</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Frontend web</w:t>
            </w:r>
          </w:p>
        </w:tc>
        <w:tc>
          <w:tcPr>
            <w:tcW w:type="dxa" w:w="2300"/>
            <w:tcMar>
              <w:top w:type="dxa" w:w="80"/>
              <w:left w:type="dxa" w:w="100"/>
              <w:bottom w:type="dxa" w:w="80"/>
              <w:right w:type="dxa" w:w="100"/>
            </w:tcMar>
            <w:vAlign w:val="center"/>
          </w:tcPr>
          <w:p>
            <w:r>
              <w:rPr>
                <w:b w:val="false"/>
                <w:bCs w:val="false"/>
                <w:color w:val="000000"/>
                <w:sz w:val="20"/>
                <w:szCs w:val="20"/>
              </w:rPr>
              <w:t xml:space="preserve">React 18 + TypeScript</w:t>
            </w:r>
          </w:p>
        </w:tc>
        <w:tc>
          <w:tcPr>
            <w:tcW w:type="dxa" w:w="4750"/>
            <w:tcMar>
              <w:top w:type="dxa" w:w="80"/>
              <w:left w:type="dxa" w:w="100"/>
              <w:bottom w:type="dxa" w:w="80"/>
              <w:right w:type="dxa" w:w="100"/>
            </w:tcMar>
            <w:vAlign w:val="center"/>
          </w:tcPr>
          <w:p>
            <w:r>
              <w:rPr>
                <w:b w:val="false"/>
                <w:bCs w:val="false"/>
                <w:color w:val="000000"/>
                <w:sz w:val="20"/>
                <w:szCs w:val="20"/>
              </w:rPr>
              <w:t xml:space="preserve">Écosystème riche, forte disponibilité de composants, typage statique réduisant les erreurs</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Application mobile</w:t>
            </w:r>
          </w:p>
        </w:tc>
        <w:tc>
          <w:tcPr>
            <w:tcW w:type="dxa" w:w="2300"/>
            <w:tcMar>
              <w:top w:type="dxa" w:w="80"/>
              <w:left w:type="dxa" w:w="100"/>
              <w:bottom w:type="dxa" w:w="80"/>
              <w:right w:type="dxa" w:w="100"/>
            </w:tcMar>
            <w:vAlign w:val="center"/>
          </w:tcPr>
          <w:p>
            <w:r>
              <w:rPr>
                <w:b w:val="false"/>
                <w:bCs w:val="false"/>
                <w:color w:val="000000"/>
                <w:sz w:val="20"/>
                <w:szCs w:val="20"/>
              </w:rPr>
              <w:t xml:space="preserve">Flutter</w:t>
            </w:r>
          </w:p>
        </w:tc>
        <w:tc>
          <w:tcPr>
            <w:tcW w:type="dxa" w:w="4750"/>
            <w:tcMar>
              <w:top w:type="dxa" w:w="80"/>
              <w:left w:type="dxa" w:w="100"/>
              <w:bottom w:type="dxa" w:w="80"/>
              <w:right w:type="dxa" w:w="100"/>
            </w:tcMar>
            <w:vAlign w:val="center"/>
          </w:tcPr>
          <w:p>
            <w:r>
              <w:rPr>
                <w:b w:val="false"/>
                <w:bCs w:val="false"/>
                <w:color w:val="000000"/>
                <w:sz w:val="20"/>
                <w:szCs w:val="20"/>
              </w:rPr>
              <w:t xml:space="preserve">Un seul code source pour Android et iOS, performance proche du natif, adapté aux terminaux d'entrée de gamme</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Base de données</w:t>
            </w:r>
          </w:p>
        </w:tc>
        <w:tc>
          <w:tcPr>
            <w:tcW w:type="dxa" w:w="2300"/>
            <w:tcMar>
              <w:top w:type="dxa" w:w="80"/>
              <w:left w:type="dxa" w:w="100"/>
              <w:bottom w:type="dxa" w:w="80"/>
              <w:right w:type="dxa" w:w="100"/>
            </w:tcMar>
            <w:vAlign w:val="center"/>
          </w:tcPr>
          <w:p>
            <w:r>
              <w:rPr>
                <w:b w:val="false"/>
                <w:bCs w:val="false"/>
                <w:color w:val="000000"/>
                <w:sz w:val="20"/>
                <w:szCs w:val="20"/>
              </w:rPr>
              <w:t xml:space="preserve">PostgreSQL 16</w:t>
            </w:r>
          </w:p>
        </w:tc>
        <w:tc>
          <w:tcPr>
            <w:tcW w:type="dxa" w:w="4750"/>
            <w:tcMar>
              <w:top w:type="dxa" w:w="80"/>
              <w:left w:type="dxa" w:w="100"/>
              <w:bottom w:type="dxa" w:w="80"/>
              <w:right w:type="dxa" w:w="100"/>
            </w:tcMar>
            <w:vAlign w:val="center"/>
          </w:tcPr>
          <w:p>
            <w:r>
              <w:rPr>
                <w:b w:val="false"/>
                <w:bCs w:val="false"/>
                <w:color w:val="000000"/>
                <w:sz w:val="20"/>
                <w:szCs w:val="20"/>
              </w:rPr>
              <w:t xml:space="preserve">Fiabilité, support natif JSONB, Row-Level Security pour le multi-tenant, écosystème d'extensions riche</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Cache / files de messages</w:t>
            </w:r>
          </w:p>
        </w:tc>
        <w:tc>
          <w:tcPr>
            <w:tcW w:type="dxa" w:w="2300"/>
            <w:tcMar>
              <w:top w:type="dxa" w:w="80"/>
              <w:left w:type="dxa" w:w="100"/>
              <w:bottom w:type="dxa" w:w="80"/>
              <w:right w:type="dxa" w:w="100"/>
            </w:tcMar>
            <w:vAlign w:val="center"/>
          </w:tcPr>
          <w:p>
            <w:r>
              <w:rPr>
                <w:b w:val="false"/>
                <w:bCs w:val="false"/>
                <w:color w:val="000000"/>
                <w:sz w:val="20"/>
                <w:szCs w:val="20"/>
              </w:rPr>
              <w:t xml:space="preserve">Redis</w:t>
            </w:r>
          </w:p>
        </w:tc>
        <w:tc>
          <w:tcPr>
            <w:tcW w:type="dxa" w:w="4750"/>
            <w:tcMar>
              <w:top w:type="dxa" w:w="80"/>
              <w:left w:type="dxa" w:w="100"/>
              <w:bottom w:type="dxa" w:w="80"/>
              <w:right w:type="dxa" w:w="100"/>
            </w:tcMar>
            <w:vAlign w:val="center"/>
          </w:tcPr>
          <w:p>
            <w:r>
              <w:rPr>
                <w:b w:val="false"/>
                <w:bCs w:val="false"/>
                <w:color w:val="000000"/>
                <w:sz w:val="20"/>
                <w:szCs w:val="20"/>
              </w:rPr>
              <w:t xml:space="preserve">Cache applicatif, files de messages légères, gestion de sessions</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Stockage de fichiers</w:t>
            </w:r>
          </w:p>
        </w:tc>
        <w:tc>
          <w:tcPr>
            <w:tcW w:type="dxa" w:w="2300"/>
            <w:tcMar>
              <w:top w:type="dxa" w:w="80"/>
              <w:left w:type="dxa" w:w="100"/>
              <w:bottom w:type="dxa" w:w="80"/>
              <w:right w:type="dxa" w:w="100"/>
            </w:tcMar>
            <w:vAlign w:val="center"/>
          </w:tcPr>
          <w:p>
            <w:r>
              <w:rPr>
                <w:b w:val="false"/>
                <w:bCs w:val="false"/>
                <w:color w:val="000000"/>
                <w:sz w:val="20"/>
                <w:szCs w:val="20"/>
              </w:rPr>
              <w:t xml:space="preserve">Stockage objet compatible S3</w:t>
            </w:r>
          </w:p>
        </w:tc>
        <w:tc>
          <w:tcPr>
            <w:tcW w:type="dxa" w:w="4750"/>
            <w:tcMar>
              <w:top w:type="dxa" w:w="80"/>
              <w:left w:type="dxa" w:w="100"/>
              <w:bottom w:type="dxa" w:w="80"/>
              <w:right w:type="dxa" w:w="100"/>
            </w:tcMar>
            <w:vAlign w:val="center"/>
          </w:tcPr>
          <w:p>
            <w:r>
              <w:rPr>
                <w:b w:val="false"/>
                <w:bCs w:val="false"/>
                <w:color w:val="000000"/>
                <w:sz w:val="20"/>
                <w:szCs w:val="20"/>
              </w:rPr>
              <w:t xml:space="preserve">Scalable, indépendant du système de fichiers local, versionnement natif</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API Gateway</w:t>
            </w:r>
          </w:p>
        </w:tc>
        <w:tc>
          <w:tcPr>
            <w:tcW w:type="dxa" w:w="2300"/>
            <w:tcMar>
              <w:top w:type="dxa" w:w="80"/>
              <w:left w:type="dxa" w:w="100"/>
              <w:bottom w:type="dxa" w:w="80"/>
              <w:right w:type="dxa" w:w="100"/>
            </w:tcMar>
            <w:vAlign w:val="center"/>
          </w:tcPr>
          <w:p>
            <w:r>
              <w:rPr>
                <w:b w:val="false"/>
                <w:bCs w:val="false"/>
                <w:color w:val="000000"/>
                <w:sz w:val="20"/>
                <w:szCs w:val="20"/>
              </w:rPr>
              <w:t xml:space="preserve">Kong ou équivalent</w:t>
            </w:r>
          </w:p>
        </w:tc>
        <w:tc>
          <w:tcPr>
            <w:tcW w:type="dxa" w:w="4750"/>
            <w:tcMar>
              <w:top w:type="dxa" w:w="80"/>
              <w:left w:type="dxa" w:w="100"/>
              <w:bottom w:type="dxa" w:w="80"/>
              <w:right w:type="dxa" w:w="100"/>
            </w:tcMar>
            <w:vAlign w:val="center"/>
          </w:tcPr>
          <w:p>
            <w:r>
              <w:rPr>
                <w:b w:val="false"/>
                <w:bCs w:val="false"/>
                <w:color w:val="000000"/>
                <w:sz w:val="20"/>
                <w:szCs w:val="20"/>
              </w:rPr>
              <w:t xml:space="preserve">Gestion centralisée de l'authentification, du rate limiting et du routage</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Conteneurisation</w:t>
            </w:r>
          </w:p>
        </w:tc>
        <w:tc>
          <w:tcPr>
            <w:tcW w:type="dxa" w:w="2300"/>
            <w:tcMar>
              <w:top w:type="dxa" w:w="80"/>
              <w:left w:type="dxa" w:w="100"/>
              <w:bottom w:type="dxa" w:w="80"/>
              <w:right w:type="dxa" w:w="100"/>
            </w:tcMar>
            <w:vAlign w:val="center"/>
          </w:tcPr>
          <w:p>
            <w:r>
              <w:rPr>
                <w:b w:val="false"/>
                <w:bCs w:val="false"/>
                <w:color w:val="000000"/>
                <w:sz w:val="20"/>
                <w:szCs w:val="20"/>
              </w:rPr>
              <w:t xml:space="preserve">Docker</w:t>
            </w:r>
          </w:p>
        </w:tc>
        <w:tc>
          <w:tcPr>
            <w:tcW w:type="dxa" w:w="4750"/>
            <w:tcMar>
              <w:top w:type="dxa" w:w="80"/>
              <w:left w:type="dxa" w:w="100"/>
              <w:bottom w:type="dxa" w:w="80"/>
              <w:right w:type="dxa" w:w="100"/>
            </w:tcMar>
            <w:vAlign w:val="center"/>
          </w:tcPr>
          <w:p>
            <w:r>
              <w:rPr>
                <w:b w:val="false"/>
                <w:bCs w:val="false"/>
                <w:color w:val="000000"/>
                <w:sz w:val="20"/>
                <w:szCs w:val="20"/>
              </w:rPr>
              <w:t xml:space="preserve">Portabilité et reproductibilité des environnements</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Orchestration (à terme)</w:t>
            </w:r>
          </w:p>
        </w:tc>
        <w:tc>
          <w:tcPr>
            <w:tcW w:type="dxa" w:w="2300"/>
            <w:tcMar>
              <w:top w:type="dxa" w:w="80"/>
              <w:left w:type="dxa" w:w="100"/>
              <w:bottom w:type="dxa" w:w="80"/>
              <w:right w:type="dxa" w:w="100"/>
            </w:tcMar>
            <w:vAlign w:val="center"/>
          </w:tcPr>
          <w:p>
            <w:r>
              <w:rPr>
                <w:b w:val="false"/>
                <w:bCs w:val="false"/>
                <w:color w:val="000000"/>
                <w:sz w:val="20"/>
                <w:szCs w:val="20"/>
              </w:rPr>
              <w:t xml:space="preserve">Kubernetes</w:t>
            </w:r>
          </w:p>
        </w:tc>
        <w:tc>
          <w:tcPr>
            <w:tcW w:type="dxa" w:w="4750"/>
            <w:tcMar>
              <w:top w:type="dxa" w:w="80"/>
              <w:left w:type="dxa" w:w="100"/>
              <w:bottom w:type="dxa" w:w="80"/>
              <w:right w:type="dxa" w:w="100"/>
            </w:tcMar>
            <w:vAlign w:val="center"/>
          </w:tcPr>
          <w:p>
            <w:r>
              <w:rPr>
                <w:b w:val="false"/>
                <w:bCs w:val="false"/>
                <w:color w:val="000000"/>
                <w:sz w:val="20"/>
                <w:szCs w:val="20"/>
              </w:rPr>
              <w:t xml:space="preserve">Nécessaire uniquement au-delà d'un certain volume de tenants ; non requis en V1</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CI/CD</w:t>
            </w:r>
          </w:p>
        </w:tc>
        <w:tc>
          <w:tcPr>
            <w:tcW w:type="dxa" w:w="2300"/>
            <w:tcMar>
              <w:top w:type="dxa" w:w="80"/>
              <w:left w:type="dxa" w:w="100"/>
              <w:bottom w:type="dxa" w:w="80"/>
              <w:right w:type="dxa" w:w="100"/>
            </w:tcMar>
            <w:vAlign w:val="center"/>
          </w:tcPr>
          <w:p>
            <w:r>
              <w:rPr>
                <w:b w:val="false"/>
                <w:bCs w:val="false"/>
                <w:color w:val="000000"/>
                <w:sz w:val="20"/>
                <w:szCs w:val="20"/>
              </w:rPr>
              <w:t xml:space="preserve">GitLab CI / GitHub Actions</w:t>
            </w:r>
          </w:p>
        </w:tc>
        <w:tc>
          <w:tcPr>
            <w:tcW w:type="dxa" w:w="4750"/>
            <w:tcMar>
              <w:top w:type="dxa" w:w="80"/>
              <w:left w:type="dxa" w:w="100"/>
              <w:bottom w:type="dxa" w:w="80"/>
              <w:right w:type="dxa" w:w="100"/>
            </w:tcMar>
            <w:vAlign w:val="center"/>
          </w:tcPr>
          <w:p>
            <w:r>
              <w:rPr>
                <w:b w:val="false"/>
                <w:bCs w:val="false"/>
                <w:color w:val="000000"/>
                <w:sz w:val="20"/>
                <w:szCs w:val="20"/>
              </w:rPr>
              <w:t xml:space="preserve">Automatisation des tests et déploiements</w:t>
            </w:r>
          </w:p>
        </w:tc>
      </w:tr>
      <w:tr>
        <w:trPr>
          <w:tblHeader w:val="false"/>
        </w:trPr>
        <w:tc>
          <w:tcPr>
            <w:tcW w:type="dxa" w:w="2300"/>
            <w:tcMar>
              <w:top w:type="dxa" w:w="80"/>
              <w:left w:type="dxa" w:w="100"/>
              <w:bottom w:type="dxa" w:w="80"/>
              <w:right w:type="dxa" w:w="100"/>
            </w:tcMar>
            <w:vAlign w:val="center"/>
          </w:tcPr>
          <w:p>
            <w:r>
              <w:rPr>
                <w:b w:val="false"/>
                <w:bCs w:val="false"/>
                <w:color w:val="000000"/>
                <w:sz w:val="20"/>
                <w:szCs w:val="20"/>
              </w:rPr>
              <w:t xml:space="preserve">Observabilité</w:t>
            </w:r>
          </w:p>
        </w:tc>
        <w:tc>
          <w:tcPr>
            <w:tcW w:type="dxa" w:w="2300"/>
            <w:tcMar>
              <w:top w:type="dxa" w:w="80"/>
              <w:left w:type="dxa" w:w="100"/>
              <w:bottom w:type="dxa" w:w="80"/>
              <w:right w:type="dxa" w:w="100"/>
            </w:tcMar>
            <w:vAlign w:val="center"/>
          </w:tcPr>
          <w:p>
            <w:r>
              <w:rPr>
                <w:b w:val="false"/>
                <w:bCs w:val="false"/>
                <w:color w:val="000000"/>
                <w:sz w:val="20"/>
                <w:szCs w:val="20"/>
              </w:rPr>
              <w:t xml:space="preserve">Prometheus + Grafana, ELK/Loki pour les logs</w:t>
            </w:r>
          </w:p>
        </w:tc>
        <w:tc>
          <w:tcPr>
            <w:tcW w:type="dxa" w:w="4750"/>
            <w:tcMar>
              <w:top w:type="dxa" w:w="80"/>
              <w:left w:type="dxa" w:w="100"/>
              <w:bottom w:type="dxa" w:w="80"/>
              <w:right w:type="dxa" w:w="100"/>
            </w:tcMar>
            <w:vAlign w:val="center"/>
          </w:tcPr>
          <w:p>
            <w:r>
              <w:rPr>
                <w:b w:val="false"/>
                <w:bCs w:val="false"/>
                <w:color w:val="000000"/>
                <w:sz w:val="20"/>
                <w:szCs w:val="20"/>
              </w:rPr>
              <w:t xml:space="preserve">Suivi de performance et diagnostic centralisé</w:t>
            </w:r>
          </w:p>
        </w:tc>
      </w:tr>
    </w:tbl>
    <w:p>
      <w:pPr>
        <w:spacing w:before="200"/>
      </w:pPr>
    </w:p>
    <w:p>
      <w:pPr>
        <w:spacing w:after="150"/>
      </w:pPr>
      <w:r>
        <w:rPr>
          <w:i/>
          <w:iCs/>
        </w:rPr>
        <w:t xml:space="preserve">Ce choix technologique sera détaillé et argumenté de façon exhaustive dans le Volume 3 (Architecture logicielle), avec les alternatives étudiées et les critères de décision.</w:t>
      </w:r>
    </w:p>
    <w:p>
      <w:r>
        <w:br w:type="page"/>
      </w:r>
    </w:p>
    <w:p>
      <w:pPr>
        <w:pStyle w:val="Heading1"/>
        <w:spacing w:after="200" w:before="400"/>
      </w:pPr>
      <w:r>
        <w:rPr>
          <w:b/>
          <w:bCs/>
          <w:color w:val="1F4E5F"/>
        </w:rPr>
        <w:t xml:space="preserve">PARTIE IV — EXIGENCES TECHNIQUES TRANSVERSES</w:t>
      </w:r>
    </w:p>
    <w:p>
      <w:pPr>
        <w:pStyle w:val="Heading2"/>
        <w:spacing w:after="150" w:before="300"/>
      </w:pPr>
      <w:r>
        <w:rPr>
          <w:b/>
          <w:bCs/>
          <w:color w:val="2E86AB"/>
        </w:rPr>
        <w:t xml:space="preserve">4.1 Sécurité applicative</w:t>
      </w:r>
    </w:p>
    <w:p>
      <w:pPr>
        <w:pStyle w:val="ListParagraph"/>
        <w:numPr>
          <w:ilvl w:val="0"/>
          <w:numId w:val="2"/>
        </w:numPr>
        <w:spacing w:after="80"/>
      </w:pPr>
      <w:r>
        <w:t xml:space="preserve">Authentification JWT + refresh token, 2FA TOTP pour les rôles à privilèges élevés</w:t>
      </w:r>
    </w:p>
    <w:p>
      <w:pPr>
        <w:pStyle w:val="ListParagraph"/>
        <w:numPr>
          <w:ilvl w:val="0"/>
          <w:numId w:val="2"/>
        </w:numPr>
        <w:spacing w:after="80"/>
      </w:pPr>
      <w:r>
        <w:t xml:space="preserve">Chiffrement TLS 1.3 en transit, chiffrement AES-256 au repos pour les données sensibles (dossiers médicaux, documents d'identité)</w:t>
      </w:r>
    </w:p>
    <w:p>
      <w:pPr>
        <w:pStyle w:val="ListParagraph"/>
        <w:numPr>
          <w:ilvl w:val="0"/>
          <w:numId w:val="2"/>
        </w:numPr>
        <w:spacing w:after="80"/>
      </w:pPr>
      <w:r>
        <w:t xml:space="preserve">Protection systématique contre l'injection SQL (requêtes paramétrées / ORM), le XSS (échappement systématique) et le CSRF (jetons anti-CSRF)</w:t>
      </w:r>
    </w:p>
    <w:p>
      <w:pPr>
        <w:pStyle w:val="ListParagraph"/>
        <w:numPr>
          <w:ilvl w:val="0"/>
          <w:numId w:val="2"/>
        </w:numPr>
        <w:spacing w:after="80"/>
      </w:pPr>
      <w:r>
        <w:t xml:space="preserve">Tests de sécurité automatisés (SAST) intégrés au pipeline CI/CD</w:t>
      </w:r>
    </w:p>
    <w:p>
      <w:pPr>
        <w:pStyle w:val="Heading2"/>
        <w:spacing w:after="150" w:before="300"/>
      </w:pPr>
      <w:r>
        <w:rPr>
          <w:b/>
          <w:bCs/>
          <w:color w:val="2E86AB"/>
        </w:rPr>
        <w:t xml:space="preserve">4.2 Performance</w:t>
      </w:r>
    </w:p>
    <w:p>
      <w:pPr>
        <w:pStyle w:val="ListParagraph"/>
        <w:numPr>
          <w:ilvl w:val="0"/>
          <w:numId w:val="2"/>
        </w:numPr>
        <w:spacing w:after="80"/>
      </w:pPr>
      <w:r>
        <w:t xml:space="preserve">Temps de réponse cible inférieur à 300 ms pour 95% des requêtes API sous charge nominale</w:t>
      </w:r>
    </w:p>
    <w:p>
      <w:pPr>
        <w:pStyle w:val="ListParagraph"/>
        <w:numPr>
          <w:ilvl w:val="0"/>
          <w:numId w:val="2"/>
        </w:numPr>
        <w:spacing w:after="80"/>
      </w:pPr>
      <w:r>
        <w:t xml:space="preserve">Temps de génération d'un bulletin PDF inférieur à 3 secondes</w:t>
      </w:r>
    </w:p>
    <w:p>
      <w:pPr>
        <w:pStyle w:val="ListParagraph"/>
        <w:numPr>
          <w:ilvl w:val="0"/>
          <w:numId w:val="2"/>
        </w:numPr>
        <w:spacing w:after="80"/>
      </w:pPr>
      <w:r>
        <w:t xml:space="preserve">Pagination obligatoire sur tous les endpoints retournant des listes</w:t>
      </w:r>
    </w:p>
    <w:p>
      <w:pPr>
        <w:pStyle w:val="Heading2"/>
        <w:spacing w:after="150" w:before="300"/>
      </w:pPr>
      <w:r>
        <w:rPr>
          <w:b/>
          <w:bCs/>
          <w:color w:val="2E86AB"/>
        </w:rPr>
        <w:t xml:space="preserve">4.3 Scalabilité horizontale</w:t>
      </w:r>
    </w:p>
    <w:p>
      <w:pPr>
        <w:pStyle w:val="ListParagraph"/>
        <w:numPr>
          <w:ilvl w:val="0"/>
          <w:numId w:val="2"/>
        </w:numPr>
        <w:spacing w:after="80"/>
      </w:pPr>
      <w:r>
        <w:t xml:space="preserve">Le backend applicatif est conçu sans état (stateless), permettant la montée en charge par simple duplication d'instances derrière un répartiteur de charge</w:t>
      </w:r>
    </w:p>
    <w:p>
      <w:pPr>
        <w:pStyle w:val="ListParagraph"/>
        <w:numPr>
          <w:ilvl w:val="0"/>
          <w:numId w:val="2"/>
        </w:numPr>
        <w:spacing w:after="80"/>
      </w:pPr>
      <w:r>
        <w:t xml:space="preserve">Les sessions sont stockées dans Redis, jamais en mémoire locale du serveur applicatif</w:t>
      </w:r>
    </w:p>
    <w:p>
      <w:pPr>
        <w:pStyle w:val="Heading2"/>
        <w:spacing w:after="150" w:before="300"/>
      </w:pPr>
      <w:r>
        <w:rPr>
          <w:b/>
          <w:bCs/>
          <w:color w:val="2E86AB"/>
        </w:rPr>
        <w:t xml:space="preserve">4.4 Disponibilité et tolérance aux pannes</w:t>
      </w:r>
    </w:p>
    <w:p>
      <w:pPr>
        <w:pStyle w:val="ListParagraph"/>
        <w:numPr>
          <w:ilvl w:val="0"/>
          <w:numId w:val="2"/>
        </w:numPr>
        <w:spacing w:after="80"/>
      </w:pPr>
      <w:r>
        <w:t xml:space="preserve">Cible de disponibilité 99,5% hors fenêtres de maintenance planifiées</w:t>
      </w:r>
    </w:p>
    <w:p>
      <w:pPr>
        <w:pStyle w:val="ListParagraph"/>
        <w:numPr>
          <w:ilvl w:val="0"/>
          <w:numId w:val="2"/>
        </w:numPr>
        <w:spacing w:after="80"/>
      </w:pPr>
      <w:r>
        <w:t xml:space="preserve">Base de données PostgreSQL en réplication (primaire + réplique en lecture, bascule automatique en cas de panne)</w:t>
      </w:r>
    </w:p>
    <w:p>
      <w:pPr>
        <w:pStyle w:val="ListParagraph"/>
        <w:numPr>
          <w:ilvl w:val="0"/>
          <w:numId w:val="2"/>
        </w:numPr>
        <w:spacing w:after="80"/>
      </w:pPr>
      <w:r>
        <w:t xml:space="preserve">Health checks automatisés sur chaque instance applicative avec redémarrage automatique en cas d'échec</w:t>
      </w:r>
    </w:p>
    <w:p>
      <w:pPr>
        <w:pStyle w:val="Heading2"/>
        <w:spacing w:after="150" w:before="300"/>
      </w:pPr>
      <w:r>
        <w:rPr>
          <w:b/>
          <w:bCs/>
          <w:color w:val="2E86AB"/>
        </w:rPr>
        <w:t xml:space="preserve">4.5 Sauvegarde et plan de reprise d'activité (PRA)</w:t>
      </w:r>
    </w:p>
    <w:p>
      <w:pPr>
        <w:pStyle w:val="ListParagraph"/>
        <w:numPr>
          <w:ilvl w:val="0"/>
          <w:numId w:val="2"/>
        </w:numPr>
        <w:spacing w:after="80"/>
      </w:pPr>
      <w:r>
        <w:t xml:space="preserve">Sauvegarde automatique quotidienne de la base de données, conservée 30 jours glissants</w:t>
      </w:r>
    </w:p>
    <w:p>
      <w:pPr>
        <w:pStyle w:val="ListParagraph"/>
        <w:numPr>
          <w:ilvl w:val="0"/>
          <w:numId w:val="2"/>
        </w:numPr>
        <w:spacing w:after="80"/>
      </w:pPr>
      <w:r>
        <w:t xml:space="preserve">Objectif de temps de reprise (RTO) inférieur à 4 heures, objectif de perte de données maximale (RPO) inférieur à 1 heure</w:t>
      </w:r>
    </w:p>
    <w:p>
      <w:pPr>
        <w:pStyle w:val="ListParagraph"/>
        <w:numPr>
          <w:ilvl w:val="0"/>
          <w:numId w:val="2"/>
        </w:numPr>
        <w:spacing w:after="80"/>
      </w:pPr>
      <w:r>
        <w:t xml:space="preserve">Test de restauration effectué au minimum une fois par trimestre</w:t>
      </w:r>
    </w:p>
    <w:p>
      <w:pPr>
        <w:pStyle w:val="Heading2"/>
        <w:spacing w:after="150" w:before="300"/>
      </w:pPr>
      <w:r>
        <w:rPr>
          <w:b/>
          <w:bCs/>
          <w:color w:val="2E86AB"/>
        </w:rPr>
        <w:t xml:space="preserve">4.6 Mode hors-ligne / connectivité limitée</w:t>
      </w:r>
    </w:p>
    <w:p>
      <w:pPr>
        <w:pStyle w:val="ListParagraph"/>
        <w:numPr>
          <w:ilvl w:val="0"/>
          <w:numId w:val="2"/>
        </w:numPr>
        <w:spacing w:after="80"/>
      </w:pPr>
      <w:r>
        <w:t xml:space="preserve">L'application mobile conserve un cache local chiffré des dernières données synchronisées (emploi du temps, notes, cahier de texte)</w:t>
      </w:r>
    </w:p>
    <w:p>
      <w:pPr>
        <w:pStyle w:val="ListParagraph"/>
        <w:numPr>
          <w:ilvl w:val="0"/>
          <w:numId w:val="2"/>
        </w:numPr>
        <w:spacing w:after="80"/>
      </w:pPr>
      <w:r>
        <w:t xml:space="preserve">Les actions effectuées hors-ligne (ex. pointage) sont mises en file d'attente locale et synchronisées dès le retour de connexion</w:t>
      </w:r>
    </w:p>
    <w:p>
      <w:pPr>
        <w:pStyle w:val="ListParagraph"/>
        <w:numPr>
          <w:ilvl w:val="0"/>
          <w:numId w:val="2"/>
        </w:numPr>
        <w:spacing w:after="80"/>
      </w:pPr>
      <w:r>
        <w:t xml:space="preserve">Les pages web critiques sont optimisées pour un chargement rapide sur connexion bas débit (poids de page minimisé, chargement différé des ressources non essentielles)</w:t>
      </w:r>
    </w:p>
    <w:p>
      <w:pPr>
        <w:pStyle w:val="Heading2"/>
        <w:spacing w:after="150" w:before="300"/>
      </w:pPr>
      <w:r>
        <w:rPr>
          <w:b/>
          <w:bCs/>
          <w:color w:val="2E86AB"/>
        </w:rPr>
        <w:t xml:space="preserve">4.7 Internationalisation (i18n)</w:t>
      </w:r>
    </w:p>
    <w:p>
      <w:pPr>
        <w:pStyle w:val="ListParagraph"/>
        <w:numPr>
          <w:ilvl w:val="0"/>
          <w:numId w:val="2"/>
        </w:numPr>
        <w:spacing w:after="80"/>
      </w:pPr>
      <w:r>
        <w:t xml:space="preserve">Toutes les chaînes de caractères de l'interface sont externalisées dans des fichiers de traduction (français et anglais dès la V1)</w:t>
      </w:r>
    </w:p>
    <w:p>
      <w:pPr>
        <w:pStyle w:val="ListParagraph"/>
        <w:numPr>
          <w:ilvl w:val="0"/>
          <w:numId w:val="2"/>
        </w:numPr>
        <w:spacing w:after="80"/>
      </w:pPr>
      <w:r>
        <w:t xml:space="preserve">Les formats de date, heure et devise s'adaptent à la locale de l'établissement</w:t>
      </w:r>
    </w:p>
    <w:p>
      <w:pPr>
        <w:pStyle w:val="Heading2"/>
        <w:spacing w:after="150" w:before="300"/>
      </w:pPr>
      <w:r>
        <w:rPr>
          <w:b/>
          <w:bCs/>
          <w:color w:val="2E86AB"/>
        </w:rPr>
        <w:t xml:space="preserve">4.8 Observabilité</w:t>
      </w:r>
    </w:p>
    <w:p>
      <w:pPr>
        <w:pStyle w:val="ListParagraph"/>
        <w:numPr>
          <w:ilvl w:val="0"/>
          <w:numId w:val="2"/>
        </w:numPr>
        <w:spacing w:after="80"/>
      </w:pPr>
      <w:r>
        <w:t xml:space="preserve">Centralisation des logs applicatifs avec corrélation par identifiant de requête</w:t>
      </w:r>
    </w:p>
    <w:p>
      <w:pPr>
        <w:pStyle w:val="ListParagraph"/>
        <w:numPr>
          <w:ilvl w:val="0"/>
          <w:numId w:val="2"/>
        </w:numPr>
        <w:spacing w:after="80"/>
      </w:pPr>
      <w:r>
        <w:t xml:space="preserve">Tableaux de bord de supervision technique (latence, taux d'erreur, saturation) consultables par l'équipe technique</w:t>
      </w:r>
    </w:p>
    <w:p>
      <w:pPr>
        <w:pStyle w:val="ListParagraph"/>
        <w:numPr>
          <w:ilvl w:val="0"/>
          <w:numId w:val="2"/>
        </w:numPr>
        <w:spacing w:after="80"/>
      </w:pPr>
      <w:r>
        <w:t xml:space="preserve">Alerting automatique en cas de dépassement de seuils critiques (taux d'erreur, temps de réponse, espace disque)</w:t>
      </w:r>
    </w:p>
    <w:p>
      <w:pPr>
        <w:pStyle w:val="Heading2"/>
        <w:spacing w:after="150" w:before="300"/>
      </w:pPr>
      <w:r>
        <w:rPr>
          <w:b/>
          <w:bCs/>
          <w:color w:val="2E86AB"/>
        </w:rPr>
        <w:t xml:space="preserve">4.9 Conformité et protection des données</w:t>
      </w:r>
    </w:p>
    <w:p>
      <w:pPr>
        <w:pStyle w:val="ListParagraph"/>
        <w:numPr>
          <w:ilvl w:val="0"/>
          <w:numId w:val="2"/>
        </w:numPr>
        <w:spacing w:after="80"/>
      </w:pPr>
      <w:r>
        <w:t xml:space="preserve">Registre des traitements tenu à jour pour les données personnelles collectées</w:t>
      </w:r>
    </w:p>
    <w:p>
      <w:pPr>
        <w:pStyle w:val="ListParagraph"/>
        <w:numPr>
          <w:ilvl w:val="0"/>
          <w:numId w:val="2"/>
        </w:numPr>
        <w:spacing w:after="80"/>
      </w:pPr>
      <w:r>
        <w:t xml:space="preserve">Mécanisme de consentement explicite pour les traitements biométriques (pointage par empreinte ou reconnaissance faciale)</w:t>
      </w:r>
    </w:p>
    <w:p>
      <w:pPr>
        <w:pStyle w:val="ListParagraph"/>
        <w:numPr>
          <w:ilvl w:val="0"/>
          <w:numId w:val="2"/>
        </w:numPr>
        <w:spacing w:after="80"/>
      </w:pPr>
      <w:r>
        <w:t xml:space="preserve">Droit à l'export et à la suppression des données personnelles sur demande, dans les limites de la durée légale de conservation des données scolaires</w:t>
      </w:r>
    </w:p>
    <w:p>
      <w:r>
        <w:br w:type="page"/>
      </w:r>
    </w:p>
    <w:p>
      <w:pPr>
        <w:pStyle w:val="Heading1"/>
        <w:spacing w:after="200" w:before="400"/>
      </w:pPr>
      <w:r>
        <w:rPr>
          <w:b/>
          <w:bCs/>
          <w:color w:val="1F4E5F"/>
        </w:rPr>
        <w:t xml:space="preserve">PARTIE V — SPÉCIFICATIONS TECHNIQUES PAR MODULE</w:t>
      </w:r>
    </w:p>
    <w:p>
      <w:pPr>
        <w:spacing w:after="150"/>
      </w:pPr>
      <w:r>
        <w:t xml:space="preserve">Pour chaque module, cette partie précise les entités techniques principales (détaillées au niveau du modèle de données dans le script SQL déjà livré), les dépendances vis-à-vis des autres modules, les contraintes techniques spécifiques et des exemples représentatifs de points d'API.</w:t>
      </w:r>
    </w:p>
    <w:p>
      <w:pPr>
        <w:pStyle w:val="Heading2"/>
        <w:spacing w:after="150" w:before="300"/>
      </w:pPr>
      <w:r>
        <w:rPr>
          <w:b/>
          <w:bCs/>
          <w:color w:val="2E86AB"/>
        </w:rPr>
        <w:t xml:space="preserve">Module 1 — Gestion des utilisateurs et des rôles</w:t>
      </w:r>
    </w:p>
    <w:p>
      <w:pPr>
        <w:pStyle w:val="Heading3"/>
        <w:spacing w:after="100" w:before="200"/>
      </w:pPr>
      <w:r>
        <w:rPr>
          <w:b/>
          <w:bCs/>
        </w:rPr>
        <w:t xml:space="preserve">Entités principales</w:t>
      </w:r>
    </w:p>
    <w:p>
      <w:pPr>
        <w:spacing w:after="150"/>
      </w:pPr>
      <w:r>
        <w:t xml:space="preserve">Utilisateur · Rôle · Permission · Session · JournalConnexion</w:t>
      </w:r>
    </w:p>
    <w:p>
      <w:pPr>
        <w:pStyle w:val="Heading3"/>
        <w:spacing w:after="100" w:before="200"/>
      </w:pPr>
      <w:r>
        <w:rPr>
          <w:b/>
          <w:bCs/>
        </w:rPr>
        <w:t xml:space="preserve">Dépendances inter-modules</w:t>
      </w:r>
    </w:p>
    <w:p>
      <w:pPr>
        <w:spacing w:after="150"/>
      </w:pPr>
      <w:r>
        <w:t xml:space="preserve">Tous les modules (authentification et autorisation transverses)</w:t>
      </w:r>
    </w:p>
    <w:p>
      <w:pPr>
        <w:pStyle w:val="Heading3"/>
        <w:spacing w:after="100" w:before="200"/>
      </w:pPr>
      <w:r>
        <w:rPr>
          <w:b/>
          <w:bCs/>
        </w:rPr>
        <w:t xml:space="preserve">Contraintes techniques spécifiques</w:t>
      </w:r>
    </w:p>
    <w:p>
      <w:pPr>
        <w:pStyle w:val="ListParagraph"/>
        <w:numPr>
          <w:ilvl w:val="0"/>
          <w:numId w:val="2"/>
        </w:numPr>
        <w:spacing w:after="80"/>
      </w:pPr>
      <w:r>
        <w:t xml:space="preserve">Mots de passe hashés (bcrypt/argon2), jamais stockés en clair</w:t>
      </w:r>
    </w:p>
    <w:p>
      <w:pPr>
        <w:pStyle w:val="ListParagraph"/>
        <w:numPr>
          <w:ilvl w:val="0"/>
          <w:numId w:val="2"/>
        </w:numPr>
        <w:spacing w:after="80"/>
      </w:pPr>
      <w:r>
        <w:t xml:space="preserve">Jetons JWT à durée de vie courte + refresh token</w:t>
      </w:r>
    </w:p>
    <w:p>
      <w:pPr>
        <w:pStyle w:val="ListParagraph"/>
        <w:numPr>
          <w:ilvl w:val="0"/>
          <w:numId w:val="2"/>
        </w:numPr>
        <w:spacing w:after="80"/>
      </w:pPr>
      <w:r>
        <w:t xml:space="preserve">2FA basée sur TOTP (RFC 6238)</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/api/v1/auth/login</w:t>
      </w:r>
    </w:p>
    <w:p>
      <w:pPr>
        <w:pStyle w:val="ListParagraph"/>
        <w:numPr>
          <w:ilvl w:val="0"/>
          <w:numId w:val="2"/>
        </w:numPr>
        <w:spacing w:after="80"/>
      </w:pPr>
      <w:r>
        <w:rPr>
          <w:rFonts w:ascii="Consolas" w:cs="Consolas" w:eastAsia="Consolas" w:hAnsi="Consolas"/>
          <w:sz w:val="19"/>
          <w:szCs w:val="19"/>
        </w:rPr>
        <w:t xml:space="preserve">POST /api/v1/auth/refresh</w:t>
      </w:r>
    </w:p>
    <w:p>
      <w:pPr>
        <w:pStyle w:val="ListParagraph"/>
        <w:numPr>
          <w:ilvl w:val="0"/>
          <w:numId w:val="2"/>
        </w:numPr>
        <w:spacing w:after="80"/>
      </w:pPr>
      <w:r>
        <w:rPr>
          <w:rFonts w:ascii="Consolas" w:cs="Consolas" w:eastAsia="Consolas" w:hAnsi="Consolas"/>
          <w:sz w:val="19"/>
          <w:szCs w:val="19"/>
        </w:rPr>
        <w:t xml:space="preserve">GET /api/v1/utilisateurs/{id}</w:t>
      </w:r>
    </w:p>
    <w:p>
      <w:pPr>
        <w:pStyle w:val="ListParagraph"/>
        <w:numPr>
          <w:ilvl w:val="0"/>
          <w:numId w:val="2"/>
        </w:numPr>
        <w:spacing w:after="80"/>
      </w:pPr>
      <w:r>
        <w:rPr>
          <w:rFonts w:ascii="Consolas" w:cs="Consolas" w:eastAsia="Consolas" w:hAnsi="Consolas"/>
          <w:sz w:val="19"/>
          <w:szCs w:val="19"/>
        </w:rPr>
        <w:t xml:space="preserve">POST /api/v1/utilisateurs</w:t>
      </w:r>
    </w:p>
    <w:p>
      <w:pPr>
        <w:pStyle w:val="ListParagraph"/>
        <w:numPr>
          <w:ilvl w:val="0"/>
          <w:numId w:val="2"/>
        </w:numPr>
        <w:spacing w:after="80"/>
      </w:pPr>
      <w:r>
        <w:rPr>
          <w:rFonts w:ascii="Consolas" w:cs="Consolas" w:eastAsia="Consolas" w:hAnsi="Consolas"/>
          <w:sz w:val="19"/>
          <w:szCs w:val="19"/>
        </w:rPr>
        <w:t xml:space="preserve">PATCH /api/v1/utilisateurs/{id}/role</w:t>
      </w:r>
    </w:p>
    <w:p>
      <w:pPr>
        <w:spacing w:before="100"/>
      </w:pPr>
    </w:p>
    <w:p>
      <w:pPr>
        <w:pStyle w:val="Heading2"/>
        <w:spacing w:after="150" w:before="300"/>
      </w:pPr>
      <w:r>
        <w:rPr>
          <w:b/>
          <w:bCs/>
          <w:color w:val="2E86AB"/>
        </w:rPr>
        <w:t xml:space="preserve">Module 2 — Gestion des élèves</w:t>
      </w:r>
    </w:p>
    <w:p>
      <w:pPr>
        <w:pStyle w:val="Heading3"/>
        <w:spacing w:after="100" w:before="200"/>
      </w:pPr>
      <w:r>
        <w:rPr>
          <w:b/>
          <w:bCs/>
        </w:rPr>
        <w:t xml:space="preserve">Entités principales</w:t>
      </w:r>
    </w:p>
    <w:p>
      <w:pPr>
        <w:spacing w:after="150"/>
      </w:pPr>
      <w:r>
        <w:t xml:space="preserve">Eleve · Inscription · Transfert · DossierNumerique</w:t>
      </w:r>
    </w:p>
    <w:p>
      <w:pPr>
        <w:pStyle w:val="Heading3"/>
        <w:spacing w:after="100" w:before="200"/>
      </w:pPr>
      <w:r>
        <w:rPr>
          <w:b/>
          <w:bCs/>
        </w:rPr>
        <w:t xml:space="preserve">Dépendances inter-modules</w:t>
      </w:r>
    </w:p>
    <w:p>
      <w:pPr>
        <w:spacing w:after="150"/>
      </w:pPr>
      <w:r>
        <w:t xml:space="preserve">Module 5 (Classes) · Module 3 (Parents) · Module 21 (Documents)</w:t>
      </w:r>
    </w:p>
    <w:p>
      <w:pPr>
        <w:pStyle w:val="Heading3"/>
        <w:spacing w:after="100" w:before="200"/>
      </w:pPr>
      <w:r>
        <w:rPr>
          <w:b/>
          <w:bCs/>
        </w:rPr>
        <w:t xml:space="preserve">Contraintes techniques spécifiques</w:t>
      </w:r>
    </w:p>
    <w:p>
      <w:pPr>
        <w:pStyle w:val="ListParagraph"/>
        <w:numPr>
          <w:ilvl w:val="0"/>
          <w:numId w:val="2"/>
        </w:numPr>
        <w:spacing w:after="80"/>
      </w:pPr>
      <w:r>
        <w:t xml:space="preserve">Stockage des documents sensibles chiffré au repos</w:t>
      </w:r>
    </w:p>
    <w:p>
      <w:pPr>
        <w:pStyle w:val="ListParagraph"/>
        <w:numPr>
          <w:ilvl w:val="0"/>
          <w:numId w:val="2"/>
        </w:numPr>
        <w:spacing w:after="80"/>
      </w:pPr>
      <w:r>
        <w:t xml:space="preserve">QR Code généré côté serveur (bibliothèque zxing ou équivalent)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/api/v1/eleves/{id}</w:t>
      </w:r>
    </w:p>
    <w:p>
      <w:pPr>
        <w:pStyle w:val="ListParagraph"/>
        <w:numPr>
          <w:ilvl w:val="0"/>
          <w:numId w:val="2"/>
        </w:numPr>
        <w:spacing w:after="80"/>
      </w:pPr>
      <w:r>
        <w:rPr>
          <w:rFonts w:ascii="Consolas" w:cs="Consolas" w:eastAsia="Consolas" w:hAnsi="Consolas"/>
          <w:sz w:val="19"/>
          <w:szCs w:val="19"/>
        </w:rPr>
        <w:t xml:space="preserve">POST /api/v1/eleves</w:t>
      </w:r>
    </w:p>
    <w:p>
      <w:pPr>
        <w:pStyle w:val="ListParagraph"/>
        <w:numPr>
          <w:ilvl w:val="0"/>
          <w:numId w:val="2"/>
        </w:numPr>
        <w:spacing w:after="80"/>
      </w:pPr>
      <w:r>
        <w:rPr>
          <w:rFonts w:ascii="Consolas" w:cs="Consolas" w:eastAsia="Consolas" w:hAnsi="Consolas"/>
          <w:sz w:val="19"/>
          <w:szCs w:val="19"/>
        </w:rPr>
        <w:t xml:space="preserve">POST /api/v1/eleves/{id}/inscriptions</w:t>
      </w:r>
    </w:p>
    <w:p>
      <w:pPr>
        <w:pStyle w:val="ListParagraph"/>
        <w:numPr>
          <w:ilvl w:val="0"/>
          <w:numId w:val="2"/>
        </w:numPr>
        <w:spacing w:after="80"/>
      </w:pPr>
      <w:r>
        <w:rPr>
          <w:rFonts w:ascii="Consolas" w:cs="Consolas" w:eastAsia="Consolas" w:hAnsi="Consolas"/>
          <w:sz w:val="19"/>
          <w:szCs w:val="19"/>
        </w:rPr>
        <w:t xml:space="preserve">POST /api/v1/eleves/{id}/transfert</w:t>
      </w:r>
    </w:p>
    <w:p>
      <w:pPr>
        <w:spacing w:before="100"/>
      </w:pPr>
    </w:p>
    <w:p>
      <w:pPr>
        <w:pStyle w:val="Heading2"/>
        <w:spacing w:after="150" w:before="300"/>
      </w:pPr>
      <w:r>
        <w:rPr>
          <w:b/>
          <w:bCs/>
          <w:color w:val="2E86AB"/>
        </w:rPr>
        <w:t xml:space="preserve">Module 3 — Gestion des parents</w:t>
      </w:r>
    </w:p>
    <w:p>
      <w:pPr>
        <w:pStyle w:val="Heading3"/>
        <w:spacing w:after="100" w:before="200"/>
      </w:pPr>
      <w:r>
        <w:rPr>
          <w:b/>
          <w:bCs/>
        </w:rPr>
        <w:t xml:space="preserve">Entités principales</w:t>
      </w:r>
    </w:p>
    <w:p>
      <w:pPr>
        <w:spacing w:after="150"/>
      </w:pPr>
      <w:r>
        <w:t xml:space="preserve">Parent · ElevaParent · Convocation</w:t>
      </w:r>
    </w:p>
    <w:p>
      <w:pPr>
        <w:pStyle w:val="Heading3"/>
        <w:spacing w:after="100" w:before="200"/>
      </w:pPr>
      <w:r>
        <w:rPr>
          <w:b/>
          <w:bCs/>
        </w:rPr>
        <w:t xml:space="preserve">Dépendances inter-modules</w:t>
      </w:r>
    </w:p>
    <w:p>
      <w:pPr>
        <w:spacing w:after="150"/>
      </w:pPr>
      <w:r>
        <w:t xml:space="preserve">Module 2 (Élèves)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Un utilisateur parent peut être rattaché à des élèves de plusieurs établissements (comptes fédérés)</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/api/v1/parents/{id}/enfants</w:t>
      </w:r>
    </w:p>
    <w:p>
      <w:pPr>
        <w:pStyle w:val="ListParagraph"/>
        <w:numPr>
          <w:ilvl w:val="0"/>
          <w:numId w:val="2"/>
        </w:numPr>
        <w:spacing w:after="80"/>
      </w:pPr>
      <w:r>
        <w:rPr>
          <w:rFonts w:ascii="Consolas" w:cs="Consolas" w:eastAsia="Consolas" w:hAnsi="Consolas"/>
          <w:sz w:val="19"/>
          <w:szCs w:val="19"/>
        </w:rPr>
        <w:t xml:space="preserve">POST /api/v1/convocations</w:t>
      </w:r>
    </w:p>
    <w:p>
      <w:pPr>
        <w:pStyle w:val="ListParagraph"/>
        <w:numPr>
          <w:ilvl w:val="0"/>
          <w:numId w:val="2"/>
        </w:numPr>
        <w:spacing w:after="80"/>
      </w:pPr>
      <w:r>
        <w:rPr>
          <w:rFonts w:ascii="Consolas" w:cs="Consolas" w:eastAsia="Consolas" w:hAnsi="Consolas"/>
          <w:sz w:val="19"/>
          <w:szCs w:val="19"/>
        </w:rPr>
        <w:t xml:space="preserve">GET /api/v1/parents/{id}/messages</w:t>
      </w:r>
    </w:p>
    <w:p>
      <w:pPr>
        <w:spacing w:before="100"/>
      </w:pPr>
    </w:p>
    <w:p>
      <w:pPr>
        <w:pStyle w:val="Heading2"/>
        <w:spacing w:after="150" w:before="300"/>
      </w:pPr>
      <w:r>
        <w:rPr>
          <w:b/>
          <w:bCs/>
          <w:color w:val="2E86AB"/>
        </w:rPr>
        <w:t xml:space="preserve">Module 4 — Gestion des professeurs / personnel</w:t>
      </w:r>
    </w:p>
    <w:p>
      <w:pPr>
        <w:pStyle w:val="Heading3"/>
        <w:spacing w:after="100" w:before="200"/>
      </w:pPr>
      <w:r>
        <w:rPr>
          <w:b/>
          <w:bCs/>
        </w:rPr>
        <w:t xml:space="preserve">Entités principales</w:t>
      </w:r>
    </w:p>
    <w:p>
      <w:pPr>
        <w:spacing w:after="150"/>
      </w:pPr>
      <w:r>
        <w:t xml:space="preserve">Enseignant · Personnel · Contrat · DemandeConge · Salaire</w:t>
      </w:r>
    </w:p>
    <w:p>
      <w:pPr>
        <w:pStyle w:val="Heading3"/>
        <w:spacing w:after="100" w:before="200"/>
      </w:pPr>
      <w:r>
        <w:rPr>
          <w:b/>
          <w:bCs/>
        </w:rPr>
        <w:t xml:space="preserve">Dépendances inter-modules</w:t>
      </w:r>
    </w:p>
    <w:p>
      <w:pPr>
        <w:spacing w:after="150"/>
      </w:pPr>
      <w:r>
        <w:t xml:space="preserve">Module 7 (Emploi du temps) · Module 15 (Comptabilité) · Module 20 (RH)</w:t>
      </w:r>
    </w:p>
    <w:p>
      <w:pPr>
        <w:pStyle w:val="Heading3"/>
        <w:spacing w:after="100" w:before="200"/>
      </w:pPr>
      <w:r>
        <w:rPr>
          <w:b/>
          <w:bCs/>
        </w:rPr>
        <w:t xml:space="preserve">Contraintes techniques spécifiques</w:t>
      </w:r>
    </w:p>
    <w:p>
      <w:pPr>
        <w:pStyle w:val="ListParagraph"/>
        <w:numPr>
          <w:ilvl w:val="0"/>
          <w:numId w:val="2"/>
        </w:numPr>
        <w:spacing w:after="80"/>
      </w:pPr>
      <w:r>
        <w:t xml:space="preserve">Calcul des heures supplémentaires déclenché par un job planifié mensuel</w:t>
      </w:r>
    </w:p>
    <w:p>
      <w:pPr>
        <w:pStyle w:val="ListParagraph"/>
        <w:numPr>
          <w:ilvl w:val="0"/>
          <w:numId w:val="2"/>
        </w:numPr>
        <w:spacing w:after="80"/>
      </w:pPr>
      <w:r>
        <w:t xml:space="preserve">Workflow de validation à états (en_attente → approuve/refuse)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/api/v1/enseignants/{id}/emploi-du-temps</w:t>
      </w:r>
    </w:p>
    <w:p>
      <w:pPr>
        <w:pStyle w:val="ListParagraph"/>
        <w:numPr>
          <w:ilvl w:val="0"/>
          <w:numId w:val="2"/>
        </w:numPr>
        <w:spacing w:after="80"/>
      </w:pPr>
      <w:r>
        <w:rPr>
          <w:rFonts w:ascii="Consolas" w:cs="Consolas" w:eastAsia="Consolas" w:hAnsi="Consolas"/>
          <w:sz w:val="19"/>
          <w:szCs w:val="19"/>
        </w:rPr>
        <w:t xml:space="preserve">POST /api/v1/conges</w:t>
      </w:r>
    </w:p>
    <w:p>
      <w:pPr>
        <w:pStyle w:val="ListParagraph"/>
        <w:numPr>
          <w:ilvl w:val="0"/>
          <w:numId w:val="2"/>
        </w:numPr>
        <w:spacing w:after="80"/>
      </w:pPr>
      <w:r>
        <w:rPr>
          <w:rFonts w:ascii="Consolas" w:cs="Consolas" w:eastAsia="Consolas" w:hAnsi="Consolas"/>
          <w:sz w:val="19"/>
          <w:szCs w:val="19"/>
        </w:rPr>
        <w:t xml:space="preserve">PATCH /api/v1/conges/{id}/valider</w:t>
      </w:r>
    </w:p>
    <w:p>
      <w:pPr>
        <w:spacing w:before="100"/>
      </w:pPr>
    </w:p>
    <w:p>
      <w:pPr>
        <w:pStyle w:val="Heading2"/>
        <w:spacing w:after="150" w:before="300"/>
      </w:pPr>
      <w:r>
        <w:rPr>
          <w:b/>
          <w:bCs/>
          <w:color w:val="2E86AB"/>
        </w:rPr>
        <w:t xml:space="preserve">Module 5 — Gestion des classes</w:t>
      </w:r>
    </w:p>
    <w:p>
      <w:pPr>
        <w:pStyle w:val="Heading3"/>
        <w:spacing w:after="100" w:before="200"/>
      </w:pPr>
      <w:r>
        <w:rPr>
          <w:b/>
          <w:bCs/>
        </w:rPr>
        <w:t xml:space="preserve">Entités principales</w:t>
      </w:r>
    </w:p>
    <w:p>
      <w:pPr>
        <w:spacing w:after="150"/>
      </w:pPr>
      <w:r>
        <w:t xml:space="preserve">Classe · Niveau · Serie · Salle</w:t>
      </w:r>
    </w:p>
    <w:p>
      <w:pPr>
        <w:pStyle w:val="Heading3"/>
        <w:spacing w:after="100" w:before="200"/>
      </w:pPr>
      <w:r>
        <w:rPr>
          <w:b/>
          <w:bCs/>
        </w:rPr>
        <w:t xml:space="preserve">Dépendances inter-modules</w:t>
      </w:r>
    </w:p>
    <w:p>
      <w:pPr>
        <w:spacing w:after="150"/>
      </w:pPr>
      <w:r>
        <w:t xml:space="preserve">Module 2 (Élèves) · Module 6 (Matières) · Module 7 (Emploi du temps)</w:t>
      </w:r>
    </w:p>
    <w:p>
      <w:pPr>
        <w:pStyle w:val="Heading3"/>
        <w:spacing w:after="100" w:before="200"/>
      </w:pPr>
      <w:r>
        <w:rPr>
          <w:b/>
          <w:bCs/>
        </w:rPr>
        <w:t xml:space="preserve">Contraintes techniques spécifiques</w:t>
      </w:r>
    </w:p>
    <w:p>
      <w:pPr>
        <w:pStyle w:val="ListParagraph"/>
        <w:numPr>
          <w:ilvl w:val="0"/>
          <w:numId w:val="2"/>
        </w:numPr>
        <w:spacing w:after="80"/>
      </w:pPr>
      <w:r>
        <w:t xml:space="preserve">Effectif recalculé en temps réel via vue matérialisée ou requête agrégée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/api/v1/classes/{id}/effectif</w:t>
      </w:r>
    </w:p>
    <w:p>
      <w:pPr>
        <w:pStyle w:val="ListParagraph"/>
        <w:numPr>
          <w:ilvl w:val="0"/>
          <w:numId w:val="2"/>
        </w:numPr>
        <w:spacing w:after="80"/>
      </w:pPr>
      <w:r>
        <w:rPr>
          <w:rFonts w:ascii="Consolas" w:cs="Consolas" w:eastAsia="Consolas" w:hAnsi="Consolas"/>
          <w:sz w:val="19"/>
          <w:szCs w:val="19"/>
        </w:rPr>
        <w:t xml:space="preserve">POST /api/v1/classes</w:t>
      </w:r>
    </w:p>
    <w:p>
      <w:pPr>
        <w:pStyle w:val="ListParagraph"/>
        <w:numPr>
          <w:ilvl w:val="0"/>
          <w:numId w:val="2"/>
        </w:numPr>
        <w:spacing w:after="80"/>
      </w:pPr>
      <w:r>
        <w:rPr>
          <w:rFonts w:ascii="Consolas" w:cs="Consolas" w:eastAsia="Consolas" w:hAnsi="Consolas"/>
          <w:sz w:val="19"/>
          <w:szCs w:val="19"/>
        </w:rPr>
        <w:t xml:space="preserve">GET /api/v1/classes?annee_scolaire_id=</w:t>
      </w:r>
    </w:p>
    <w:p>
      <w:pPr>
        <w:spacing w:before="100"/>
      </w:pPr>
    </w:p>
    <w:p>
      <w:pPr>
        <w:pStyle w:val="Heading2"/>
        <w:spacing w:after="150" w:before="300"/>
      </w:pPr>
      <w:r>
        <w:rPr>
          <w:b/>
          <w:bCs/>
          <w:color w:val="2E86AB"/>
        </w:rPr>
        <w:t xml:space="preserve">Module 6 — Gestion des matières</w:t>
      </w:r>
    </w:p>
    <w:p>
      <w:pPr>
        <w:pStyle w:val="Heading3"/>
        <w:spacing w:after="100" w:before="200"/>
      </w:pPr>
      <w:r>
        <w:rPr>
          <w:b/>
          <w:bCs/>
        </w:rPr>
        <w:t xml:space="preserve">Entités principales</w:t>
      </w:r>
    </w:p>
    <w:p>
      <w:pPr>
        <w:spacing w:after="150"/>
      </w:pPr>
      <w:r>
        <w:t xml:space="preserve">Matiere · ClasseMatiere · ProgrammeMatiere</w:t>
      </w:r>
    </w:p>
    <w:p>
      <w:pPr>
        <w:pStyle w:val="Heading3"/>
        <w:spacing w:after="100" w:before="200"/>
      </w:pPr>
      <w:r>
        <w:rPr>
          <w:b/>
          <w:bCs/>
        </w:rPr>
        <w:t xml:space="preserve">Dépendances inter-modules</w:t>
      </w:r>
    </w:p>
    <w:p>
      <w:pPr>
        <w:spacing w:after="150"/>
      </w:pPr>
      <w:r>
        <w:t xml:space="preserve">Module 5 (Classes) · Module 8 (Notes)</w:t>
      </w:r>
    </w:p>
    <w:p>
      <w:pPr>
        <w:pStyle w:val="Heading3"/>
        <w:spacing w:after="100" w:before="200"/>
      </w:pPr>
      <w:r>
        <w:rPr>
          <w:b/>
          <w:bCs/>
        </w:rPr>
        <w:t xml:space="preserve">Contraintes techniques spécifiques</w:t>
      </w:r>
    </w:p>
    <w:p>
      <w:pPr>
        <w:pStyle w:val="ListParagraph"/>
        <w:numPr>
          <w:ilvl w:val="0"/>
          <w:numId w:val="2"/>
        </w:numPr>
        <w:spacing w:after="80"/>
      </w:pPr>
      <w:r>
        <w:t xml:space="preserve">Le coefficient est porté par la relation ClasseMatiere, pas par la matière elle-même (variabilité par série)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/api/v1/matieres</w:t>
      </w:r>
    </w:p>
    <w:p>
      <w:pPr>
        <w:pStyle w:val="ListParagraph"/>
        <w:numPr>
          <w:ilvl w:val="0"/>
          <w:numId w:val="2"/>
        </w:numPr>
        <w:spacing w:after="80"/>
      </w:pPr>
      <w:r>
        <w:rPr>
          <w:rFonts w:ascii="Consolas" w:cs="Consolas" w:eastAsia="Consolas" w:hAnsi="Consolas"/>
          <w:sz w:val="19"/>
          <w:szCs w:val="19"/>
        </w:rPr>
        <w:t xml:space="preserve">POST /api/v1/classes/{id}/matieres</w:t>
      </w:r>
    </w:p>
    <w:p>
      <w:pPr>
        <w:pStyle w:val="ListParagraph"/>
        <w:numPr>
          <w:ilvl w:val="0"/>
          <w:numId w:val="2"/>
        </w:numPr>
        <w:spacing w:after="80"/>
      </w:pPr>
      <w:r>
        <w:rPr>
          <w:rFonts w:ascii="Consolas" w:cs="Consolas" w:eastAsia="Consolas" w:hAnsi="Consolas"/>
          <w:sz w:val="19"/>
          <w:szCs w:val="19"/>
        </w:rPr>
        <w:t xml:space="preserve">PATCH /api/v1/classe-matiere/{id}/coefficient</w:t>
      </w:r>
    </w:p>
    <w:p>
      <w:pPr>
        <w:spacing w:before="100"/>
      </w:pPr>
    </w:p>
    <w:p>
      <w:pPr>
        <w:pStyle w:val="Heading2"/>
        <w:spacing w:after="150" w:before="300"/>
      </w:pPr>
      <w:r>
        <w:rPr>
          <w:b/>
          <w:bCs/>
          <w:color w:val="2E86AB"/>
        </w:rPr>
        <w:t xml:space="preserve">Module 7 — Emploi du temps</w:t>
      </w:r>
    </w:p>
    <w:p>
      <w:pPr>
        <w:pStyle w:val="Heading3"/>
        <w:spacing w:after="100" w:before="200"/>
      </w:pPr>
      <w:r>
        <w:rPr>
          <w:b/>
          <w:bCs/>
        </w:rPr>
        <w:t xml:space="preserve">Entités principales</w:t>
      </w:r>
    </w:p>
    <w:p>
      <w:pPr>
        <w:spacing w:after="150"/>
      </w:pPr>
      <w:r>
        <w:t xml:space="preserve">CreneauHoraire · EmploiDuTemps</w:t>
      </w:r>
    </w:p>
    <w:p>
      <w:pPr>
        <w:pStyle w:val="Heading3"/>
        <w:spacing w:after="100" w:before="200"/>
      </w:pPr>
      <w:r>
        <w:rPr>
          <w:b/>
          <w:bCs/>
        </w:rPr>
        <w:t xml:space="preserve">Dépendances inter-modules</w:t>
      </w:r>
    </w:p>
    <w:p>
      <w:pPr>
        <w:spacing w:after="150"/>
      </w:pPr>
      <w:r>
        <w:t xml:space="preserve">Module 5 (Classes) · Module 6 (Matières) · Module 4 (Enseignants)</w:t>
      </w:r>
    </w:p>
    <w:p>
      <w:pPr>
        <w:pStyle w:val="Heading3"/>
        <w:spacing w:after="100" w:before="200"/>
      </w:pPr>
      <w:r>
        <w:rPr>
          <w:b/>
          <w:bCs/>
        </w:rPr>
        <w:t xml:space="preserve">Contraintes techniques spécifiques</w:t>
      </w:r>
    </w:p>
    <w:p>
      <w:pPr>
        <w:pStyle w:val="ListParagraph"/>
        <w:numPr>
          <w:ilvl w:val="0"/>
          <w:numId w:val="2"/>
        </w:numPr>
        <w:spacing w:after="80"/>
      </w:pPr>
      <w:r>
        <w:t xml:space="preserve">Détection de conflit implémentée par contrainte d'unicité base de données (salle/enseignant/classe × créneau × jour) ET vérification applicative avant écriture</w:t>
      </w:r>
    </w:p>
    <w:p>
      <w:pPr>
        <w:pStyle w:val="ListParagraph"/>
        <w:numPr>
          <w:ilvl w:val="0"/>
          <w:numId w:val="2"/>
        </w:numPr>
        <w:spacing w:after="80"/>
      </w:pPr>
      <w:r>
        <w:t xml:space="preserve">Algorithme de génération assistée basé sur un solveur de contraintes (ex. programmation par contraintes / heuristique gloutonne)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/api/v1/emploi-du-temps</w:t>
      </w:r>
    </w:p>
    <w:p>
      <w:pPr>
        <w:pStyle w:val="ListParagraph"/>
        <w:numPr>
          <w:ilvl w:val="0"/>
          <w:numId w:val="2"/>
        </w:numPr>
        <w:spacing w:after="80"/>
      </w:pPr>
      <w:r>
        <w:rPr>
          <w:rFonts w:ascii="Consolas" w:cs="Consolas" w:eastAsia="Consolas" w:hAnsi="Consolas"/>
          <w:sz w:val="19"/>
          <w:szCs w:val="19"/>
        </w:rPr>
        <w:t xml:space="preserve">GET /api/v1/emploi-du-temps/classe/{id}</w:t>
      </w:r>
    </w:p>
    <w:p>
      <w:pPr>
        <w:pStyle w:val="ListParagraph"/>
        <w:numPr>
          <w:ilvl w:val="0"/>
          <w:numId w:val="2"/>
        </w:numPr>
        <w:spacing w:after="80"/>
      </w:pPr>
      <w:r>
        <w:rPr>
          <w:rFonts w:ascii="Consolas" w:cs="Consolas" w:eastAsia="Consolas" w:hAnsi="Consolas"/>
          <w:sz w:val="19"/>
          <w:szCs w:val="19"/>
        </w:rPr>
        <w:t xml:space="preserve">GET /api/v1/emploi-du-temps/conflits</w:t>
      </w:r>
    </w:p>
    <w:p>
      <w:pPr>
        <w:spacing w:before="100"/>
      </w:pPr>
    </w:p>
    <w:p>
      <w:pPr>
        <w:pStyle w:val="Heading2"/>
        <w:spacing w:after="150" w:before="300"/>
      </w:pPr>
      <w:r>
        <w:rPr>
          <w:b/>
          <w:bCs/>
          <w:color w:val="2E86AB"/>
        </w:rPr>
        <w:t xml:space="preserve">Module 8 — Gestion des notes</w:t>
      </w:r>
    </w:p>
    <w:p>
      <w:pPr>
        <w:pStyle w:val="Heading3"/>
        <w:spacing w:after="100" w:before="200"/>
      </w:pPr>
      <w:r>
        <w:rPr>
          <w:b/>
          <w:bCs/>
        </w:rPr>
        <w:t xml:space="preserve">Entités principales</w:t>
      </w:r>
    </w:p>
    <w:p>
      <w:pPr>
        <w:spacing w:after="150"/>
      </w:pPr>
      <w:r>
        <w:t xml:space="preserve">Evaluation · Note · MoyenneMatiere · MoyenneGenerale</w:t>
      </w:r>
    </w:p>
    <w:p>
      <w:pPr>
        <w:pStyle w:val="Heading3"/>
        <w:spacing w:after="100" w:before="200"/>
      </w:pPr>
      <w:r>
        <w:rPr>
          <w:b/>
          <w:bCs/>
        </w:rPr>
        <w:t xml:space="preserve">Dépendances inter-modules</w:t>
      </w:r>
    </w:p>
    <w:p>
      <w:pPr>
        <w:spacing w:after="150"/>
      </w:pPr>
      <w:r>
        <w:t xml:space="preserve">Module 6 (Matières) · Module 9 (Bulletins) · Module 25 (IA)</w:t>
      </w:r>
    </w:p>
    <w:p>
      <w:pPr>
        <w:pStyle w:val="Heading3"/>
        <w:spacing w:after="100" w:before="200"/>
      </w:pPr>
      <w:r>
        <w:rPr>
          <w:b/>
          <w:bCs/>
        </w:rPr>
        <w:t xml:space="preserve">Contraintes techniques spécifiques</w:t>
      </w:r>
    </w:p>
    <w:p>
      <w:pPr>
        <w:pStyle w:val="ListParagraph"/>
        <w:numPr>
          <w:ilvl w:val="0"/>
          <w:numId w:val="2"/>
        </w:numPr>
        <w:spacing w:after="80"/>
      </w:pPr>
      <w:r>
        <w:t xml:space="preserve">Recalcul des moyennes et rangs déclenché de façon asynchrone (file de messages) après validation d'une évaluation pour ne pas bloquer la saisie</w:t>
      </w:r>
    </w:p>
    <w:p>
      <w:pPr>
        <w:pStyle w:val="ListParagraph"/>
        <w:numPr>
          <w:ilvl w:val="0"/>
          <w:numId w:val="2"/>
        </w:numPr>
        <w:spacing w:after="80"/>
      </w:pPr>
      <w:r>
        <w:t xml:space="preserve">Verrouillage optimiste sur les notes en cours de saisie concurrente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/api/v1/evaluations</w:t>
      </w:r>
    </w:p>
    <w:p>
      <w:pPr>
        <w:pStyle w:val="ListParagraph"/>
        <w:numPr>
          <w:ilvl w:val="0"/>
          <w:numId w:val="2"/>
        </w:numPr>
        <w:spacing w:after="80"/>
      </w:pPr>
      <w:r>
        <w:rPr>
          <w:rFonts w:ascii="Consolas" w:cs="Consolas" w:eastAsia="Consolas" w:hAnsi="Consolas"/>
          <w:sz w:val="19"/>
          <w:szCs w:val="19"/>
        </w:rPr>
        <w:t xml:space="preserve">POST /api/v1/evaluations/{id}/notes</w:t>
      </w:r>
    </w:p>
    <w:p>
      <w:pPr>
        <w:pStyle w:val="ListParagraph"/>
        <w:numPr>
          <w:ilvl w:val="0"/>
          <w:numId w:val="2"/>
        </w:numPr>
        <w:spacing w:after="80"/>
      </w:pPr>
      <w:r>
        <w:rPr>
          <w:rFonts w:ascii="Consolas" w:cs="Consolas" w:eastAsia="Consolas" w:hAnsi="Consolas"/>
          <w:sz w:val="19"/>
          <w:szCs w:val="19"/>
        </w:rPr>
        <w:t xml:space="preserve">POST /api/v1/evaluations/{id}/valider</w:t>
      </w:r>
    </w:p>
    <w:p>
      <w:pPr>
        <w:pStyle w:val="ListParagraph"/>
        <w:numPr>
          <w:ilvl w:val="0"/>
          <w:numId w:val="2"/>
        </w:numPr>
        <w:spacing w:after="80"/>
      </w:pPr>
      <w:r>
        <w:rPr>
          <w:rFonts w:ascii="Consolas" w:cs="Consolas" w:eastAsia="Consolas" w:hAnsi="Consolas"/>
          <w:sz w:val="19"/>
          <w:szCs w:val="19"/>
        </w:rPr>
        <w:t xml:space="preserve">GET /api/v1/eleves/{id}/moyennes</w:t>
      </w:r>
    </w:p>
    <w:p>
      <w:pPr>
        <w:spacing w:before="100"/>
      </w:pPr>
    </w:p>
    <w:p>
      <w:pPr>
        <w:pStyle w:val="Heading2"/>
        <w:spacing w:after="150" w:before="300"/>
      </w:pPr>
      <w:r>
        <w:rPr>
          <w:b/>
          <w:bCs/>
          <w:color w:val="2E86AB"/>
        </w:rPr>
        <w:t xml:space="preserve">Module 9 — Bulletin automatique</w:t>
      </w:r>
    </w:p>
    <w:p>
      <w:pPr>
        <w:pStyle w:val="Heading3"/>
        <w:spacing w:after="100" w:before="200"/>
      </w:pPr>
      <w:r>
        <w:rPr>
          <w:b/>
          <w:bCs/>
        </w:rPr>
        <w:t xml:space="preserve">Entités principales</w:t>
      </w:r>
    </w:p>
    <w:p>
      <w:pPr>
        <w:spacing w:after="150"/>
      </w:pPr>
      <w:r>
        <w:t xml:space="preserve">Bulletin</w:t>
      </w:r>
    </w:p>
    <w:p>
      <w:pPr>
        <w:pStyle w:val="Heading3"/>
        <w:spacing w:after="100" w:before="200"/>
      </w:pPr>
      <w:r>
        <w:rPr>
          <w:b/>
          <w:bCs/>
        </w:rPr>
        <w:t xml:space="preserve">Dépendances inter-modules</w:t>
      </w:r>
    </w:p>
    <w:p>
      <w:pPr>
        <w:spacing w:after="150"/>
      </w:pPr>
      <w:r>
        <w:t xml:space="preserve">Module 8 (Notes) · Module 25 (IA — commentaires générés)</w:t>
      </w:r>
    </w:p>
    <w:p>
      <w:pPr>
        <w:pStyle w:val="Heading3"/>
        <w:spacing w:after="100" w:before="200"/>
      </w:pPr>
      <w:r>
        <w:rPr>
          <w:b/>
          <w:bCs/>
        </w:rPr>
        <w:t xml:space="preserve">Contraintes techniques spécifiques</w:t>
      </w:r>
    </w:p>
    <w:p>
      <w:pPr>
        <w:pStyle w:val="ListParagraph"/>
        <w:numPr>
          <w:ilvl w:val="0"/>
          <w:numId w:val="2"/>
        </w:numPr>
        <w:spacing w:after="80"/>
      </w:pPr>
      <w:r>
        <w:t xml:space="preserve">Génération PDF via moteur de templating serveur (ex. Puppeteer/HTML-to-PDF ou bibliothèque PDF native)</w:t>
      </w:r>
    </w:p>
    <w:p>
      <w:pPr>
        <w:pStyle w:val="ListParagraph"/>
        <w:numPr>
          <w:ilvl w:val="0"/>
          <w:numId w:val="2"/>
        </w:numPr>
        <w:spacing w:after="80"/>
      </w:pPr>
      <w:r>
        <w:t xml:space="preserve">Un bulletin publié est immuable ; toute correction crée une nouvelle version horodatée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/api/v1/bulletins/generer</w:t>
      </w:r>
    </w:p>
    <w:p>
      <w:pPr>
        <w:pStyle w:val="ListParagraph"/>
        <w:numPr>
          <w:ilvl w:val="0"/>
          <w:numId w:val="2"/>
        </w:numPr>
        <w:spacing w:after="80"/>
      </w:pPr>
      <w:r>
        <w:rPr>
          <w:rFonts w:ascii="Consolas" w:cs="Consolas" w:eastAsia="Consolas" w:hAnsi="Consolas"/>
          <w:sz w:val="19"/>
          <w:szCs w:val="19"/>
        </w:rPr>
        <w:t xml:space="preserve">GET /api/v1/bulletins/{id}/pdf</w:t>
      </w:r>
    </w:p>
    <w:p>
      <w:pPr>
        <w:pStyle w:val="ListParagraph"/>
        <w:numPr>
          <w:ilvl w:val="0"/>
          <w:numId w:val="2"/>
        </w:numPr>
        <w:spacing w:after="80"/>
      </w:pPr>
      <w:r>
        <w:rPr>
          <w:rFonts w:ascii="Consolas" w:cs="Consolas" w:eastAsia="Consolas" w:hAnsi="Consolas"/>
          <w:sz w:val="19"/>
          <w:szCs w:val="19"/>
        </w:rPr>
        <w:t xml:space="preserve">POST /api/v1/bulletins/{id}/publier</w:t>
      </w:r>
    </w:p>
    <w:p>
      <w:pPr>
        <w:spacing w:before="100"/>
      </w:pPr>
    </w:p>
    <w:p>
      <w:pPr>
        <w:pStyle w:val="Heading2"/>
        <w:spacing w:after="150" w:before="300"/>
      </w:pPr>
      <w:r>
        <w:rPr>
          <w:b/>
          <w:bCs/>
          <w:color w:val="2E86AB"/>
        </w:rPr>
        <w:t xml:space="preserve">Module 10 — Cahier de texte numérique</w:t>
      </w:r>
    </w:p>
    <w:p>
      <w:pPr>
        <w:pStyle w:val="Heading3"/>
        <w:spacing w:after="100" w:before="200"/>
      </w:pPr>
      <w:r>
        <w:rPr>
          <w:b/>
          <w:bCs/>
        </w:rPr>
        <w:t xml:space="preserve">Entités principales</w:t>
      </w:r>
    </w:p>
    <w:p>
      <w:pPr>
        <w:spacing w:after="150"/>
      </w:pPr>
      <w:r>
        <w:t xml:space="preserve">CahierDeTexte</w:t>
      </w:r>
    </w:p>
    <w:p>
      <w:pPr>
        <w:pStyle w:val="Heading3"/>
        <w:spacing w:after="100" w:before="200"/>
      </w:pPr>
      <w:r>
        <w:rPr>
          <w:b/>
          <w:bCs/>
        </w:rPr>
        <w:t xml:space="preserve">Dépendances inter-modules</w:t>
      </w:r>
    </w:p>
    <w:p>
      <w:pPr>
        <w:spacing w:after="150"/>
      </w:pPr>
      <w:r>
        <w:t xml:space="preserve">Module 7 (Emploi du temps) · Module 6 (Matières)</w:t>
      </w:r>
    </w:p>
    <w:p>
      <w:pPr>
        <w:pStyle w:val="Heading3"/>
        <w:spacing w:after="100" w:before="200"/>
      </w:pPr>
      <w:r>
        <w:rPr>
          <w:b/>
          <w:bCs/>
        </w:rPr>
        <w:t xml:space="preserve">Contraintes techniques spécifiques</w:t>
      </w:r>
    </w:p>
    <w:p>
      <w:pPr>
        <w:pStyle w:val="ListParagraph"/>
        <w:numPr>
          <w:ilvl w:val="0"/>
          <w:numId w:val="2"/>
        </w:numPr>
        <w:spacing w:after="80"/>
      </w:pPr>
      <w:r>
        <w:t xml:space="preserve">Une entrée doit être rattachée à une occurrence réelle de cours (pas de saisie libre hors planning)</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/api/v1/cahier-de-texte</w:t>
      </w:r>
    </w:p>
    <w:p>
      <w:pPr>
        <w:pStyle w:val="ListParagraph"/>
        <w:numPr>
          <w:ilvl w:val="0"/>
          <w:numId w:val="2"/>
        </w:numPr>
        <w:spacing w:after="80"/>
      </w:pPr>
      <w:r>
        <w:rPr>
          <w:rFonts w:ascii="Consolas" w:cs="Consolas" w:eastAsia="Consolas" w:hAnsi="Consolas"/>
          <w:sz w:val="19"/>
          <w:szCs w:val="19"/>
        </w:rPr>
        <w:t xml:space="preserve">GET /api/v1/classes/{id}/cahier-de-texte</w:t>
      </w:r>
    </w:p>
    <w:p>
      <w:pPr>
        <w:spacing w:before="100"/>
      </w:pPr>
    </w:p>
    <w:p>
      <w:pPr>
        <w:pStyle w:val="Heading2"/>
        <w:spacing w:after="150" w:before="300"/>
      </w:pPr>
      <w:r>
        <w:rPr>
          <w:b/>
          <w:bCs/>
          <w:color w:val="2E86AB"/>
        </w:rPr>
        <w:t xml:space="preserve">Module 11 — Gestion des devoirs</w:t>
      </w:r>
    </w:p>
    <w:p>
      <w:pPr>
        <w:pStyle w:val="Heading3"/>
        <w:spacing w:after="100" w:before="200"/>
      </w:pPr>
      <w:r>
        <w:rPr>
          <w:b/>
          <w:bCs/>
        </w:rPr>
        <w:t xml:space="preserve">Entités principales</w:t>
      </w:r>
    </w:p>
    <w:p>
      <w:pPr>
        <w:spacing w:after="150"/>
      </w:pPr>
      <w:r>
        <w:t xml:space="preserve">Devoir · DevoirRendu</w:t>
      </w:r>
    </w:p>
    <w:p>
      <w:pPr>
        <w:pStyle w:val="Heading3"/>
        <w:spacing w:after="100" w:before="200"/>
      </w:pPr>
      <w:r>
        <w:rPr>
          <w:b/>
          <w:bCs/>
        </w:rPr>
        <w:t xml:space="preserve">Dépendances inter-modules</w:t>
      </w:r>
    </w:p>
    <w:p>
      <w:pPr>
        <w:spacing w:after="150"/>
      </w:pPr>
      <w:r>
        <w:t xml:space="preserve">Module 21 (Documents — stockage des fichiers)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Stockage des fichiers sur un service de stockage objet (compatible S3), jamais sur le disque applicatif</w:t>
      </w:r>
    </w:p>
    <w:p>
      <w:pPr>
        <w:pStyle w:val="ListParagraph"/>
        <w:numPr>
          <w:ilvl w:val="0"/>
          <w:numId w:val="2"/>
        </w:numPr>
        <w:spacing w:after="80"/>
      </w:pPr>
      <w:r>
        <w:t xml:space="preserve">Vérification de la date limite côté serveur, pas seulement côté client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/api/v1/devoirs</w:t>
      </w:r>
    </w:p>
    <w:p>
      <w:pPr>
        <w:pStyle w:val="ListParagraph"/>
        <w:numPr>
          <w:ilvl w:val="0"/>
          <w:numId w:val="2"/>
        </w:numPr>
        <w:spacing w:after="80"/>
      </w:pPr>
      <w:r>
        <w:rPr>
          <w:rFonts w:ascii="Consolas" w:cs="Consolas" w:eastAsia="Consolas" w:hAnsi="Consolas"/>
          <w:sz w:val="19"/>
          <w:szCs w:val="19"/>
        </w:rPr>
        <w:t xml:space="preserve">POST /api/v1/devoirs/{id}/rendre</w:t>
      </w:r>
    </w:p>
    <w:p>
      <w:pPr>
        <w:pStyle w:val="ListParagraph"/>
        <w:numPr>
          <w:ilvl w:val="0"/>
          <w:numId w:val="2"/>
        </w:numPr>
        <w:spacing w:after="80"/>
      </w:pPr>
      <w:r>
        <w:rPr>
          <w:rFonts w:ascii="Consolas" w:cs="Consolas" w:eastAsia="Consolas" w:hAnsi="Consolas"/>
          <w:sz w:val="19"/>
          <w:szCs w:val="19"/>
        </w:rPr>
        <w:t xml:space="preserve">PATCH /api/v1/devoirs-rendus/{id}/corriger</w:t>
      </w:r>
    </w:p>
    <w:p>
      <w:pPr>
        <w:spacing w:before="100"/>
      </w:pPr>
    </w:p>
    <w:p>
      <w:pPr>
        <w:pStyle w:val="Heading2"/>
        <w:spacing w:after="150" w:before="300"/>
      </w:pPr>
      <w:r>
        <w:rPr>
          <w:b/>
          <w:bCs/>
          <w:color w:val="2E86AB"/>
        </w:rPr>
        <w:t xml:space="preserve">Module 12 — Présence</w:t>
      </w:r>
    </w:p>
    <w:p>
      <w:pPr>
        <w:pStyle w:val="Heading3"/>
        <w:spacing w:after="100" w:before="200"/>
      </w:pPr>
      <w:r>
        <w:rPr>
          <w:b/>
          <w:bCs/>
        </w:rPr>
        <w:t xml:space="preserve">Entités principales</w:t>
      </w:r>
    </w:p>
    <w:p>
      <w:pPr>
        <w:spacing w:after="150"/>
      </w:pPr>
      <w:r>
        <w:t xml:space="preserve">DispositifPointage · PresenceEleve · PresencePersonnel</w:t>
      </w:r>
    </w:p>
    <w:p>
      <w:pPr>
        <w:pStyle w:val="Heading3"/>
        <w:spacing w:after="100" w:before="200"/>
      </w:pPr>
      <w:r>
        <w:rPr>
          <w:b/>
          <w:bCs/>
        </w:rPr>
        <w:t xml:space="preserve">Dépendances inter-modules</w:t>
      </w:r>
    </w:p>
    <w:p>
      <w:pPr>
        <w:spacing w:after="150"/>
      </w:pPr>
      <w:r>
        <w:t xml:space="preserve">Module 2 (Élèves)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Ingestion des événements de pointage en quasi-temps réel (webhook ou file de messages) pour déclencher la notification parent sous quelques secondes</w:t>
      </w:r>
    </w:p>
    <w:p>
      <w:pPr>
        <w:pStyle w:val="ListParagraph"/>
        <w:numPr>
          <w:ilvl w:val="0"/>
          <w:numId w:val="2"/>
        </w:numPr>
        <w:spacing w:after="80"/>
      </w:pPr>
      <w:r>
        <w:t xml:space="preserve">Fonctionnement en mode déconnecté sur les terminaux de pointage avec synchronisation différée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/api/v1/presences/pointage</w:t>
      </w:r>
    </w:p>
    <w:p>
      <w:pPr>
        <w:pStyle w:val="ListParagraph"/>
        <w:numPr>
          <w:ilvl w:val="0"/>
          <w:numId w:val="2"/>
        </w:numPr>
        <w:spacing w:after="80"/>
      </w:pPr>
      <w:r>
        <w:rPr>
          <w:rFonts w:ascii="Consolas" w:cs="Consolas" w:eastAsia="Consolas" w:hAnsi="Consolas"/>
          <w:sz w:val="19"/>
          <w:szCs w:val="19"/>
        </w:rPr>
        <w:t xml:space="preserve">GET /api/v1/eleves/{id}/presences?date=</w:t>
      </w:r>
    </w:p>
    <w:p>
      <w:pPr>
        <w:pStyle w:val="ListParagraph"/>
        <w:numPr>
          <w:ilvl w:val="0"/>
          <w:numId w:val="2"/>
        </w:numPr>
        <w:spacing w:after="80"/>
      </w:pPr>
      <w:r>
        <w:rPr>
          <w:rFonts w:ascii="Consolas" w:cs="Consolas" w:eastAsia="Consolas" w:hAnsi="Consolas"/>
          <w:sz w:val="19"/>
          <w:szCs w:val="19"/>
        </w:rPr>
        <w:t xml:space="preserve">GET /api/v1/presences/taux?classe_id=</w:t>
      </w:r>
    </w:p>
    <w:p>
      <w:pPr>
        <w:spacing w:before="100"/>
      </w:pPr>
    </w:p>
    <w:p>
      <w:pPr>
        <w:pStyle w:val="Heading2"/>
        <w:spacing w:after="150" w:before="300"/>
      </w:pPr>
      <w:r>
        <w:rPr>
          <w:b/>
          <w:bCs/>
          <w:color w:val="2E86AB"/>
        </w:rPr>
        <w:t xml:space="preserve">Module 13 — Discipline</w:t>
      </w:r>
    </w:p>
    <w:p>
      <w:pPr>
        <w:pStyle w:val="Heading3"/>
        <w:spacing w:after="100" w:before="200"/>
      </w:pPr>
      <w:r>
        <w:rPr>
          <w:b/>
          <w:bCs/>
        </w:rPr>
        <w:t xml:space="preserve">Entités principales</w:t>
      </w:r>
    </w:p>
    <w:p>
      <w:pPr>
        <w:spacing w:after="150"/>
      </w:pPr>
      <w:r>
        <w:t xml:space="preserve">IncidentDisciplinaire · Sanction · ConseilDiscipline</w:t>
      </w:r>
    </w:p>
    <w:p>
      <w:pPr>
        <w:pStyle w:val="Heading3"/>
        <w:spacing w:after="100" w:before="200"/>
      </w:pPr>
      <w:r>
        <w:rPr>
          <w:b/>
          <w:bCs/>
        </w:rPr>
        <w:t xml:space="preserve">Dépendances inter-modules</w:t>
      </w:r>
    </w:p>
    <w:p>
      <w:pPr>
        <w:spacing w:after="150"/>
      </w:pPr>
      <w:r>
        <w:t xml:space="preserve">Module 2 (Élèves)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Toute création de sanction de type exclusion déclenche un workflow d'approbation à plusieurs niveaux</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/api/v1/incidents</w:t>
      </w:r>
    </w:p>
    <w:p>
      <w:pPr>
        <w:pStyle w:val="ListParagraph"/>
        <w:numPr>
          <w:ilvl w:val="0"/>
          <w:numId w:val="2"/>
        </w:numPr>
        <w:spacing w:after="80"/>
      </w:pPr>
      <w:r>
        <w:rPr>
          <w:rFonts w:ascii="Consolas" w:cs="Consolas" w:eastAsia="Consolas" w:hAnsi="Consolas"/>
          <w:sz w:val="19"/>
          <w:szCs w:val="19"/>
        </w:rPr>
        <w:t xml:space="preserve">POST /api/v1/sanctions</w:t>
      </w:r>
    </w:p>
    <w:p>
      <w:pPr>
        <w:pStyle w:val="ListParagraph"/>
        <w:numPr>
          <w:ilvl w:val="0"/>
          <w:numId w:val="2"/>
        </w:numPr>
        <w:spacing w:after="80"/>
      </w:pPr>
      <w:r>
        <w:rPr>
          <w:rFonts w:ascii="Consolas" w:cs="Consolas" w:eastAsia="Consolas" w:hAnsi="Consolas"/>
          <w:sz w:val="19"/>
          <w:szCs w:val="19"/>
        </w:rPr>
        <w:t xml:space="preserve">POST /api/v1/conseils-discipline</w:t>
      </w:r>
    </w:p>
    <w:p>
      <w:pPr>
        <w:spacing w:before="100"/>
      </w:pPr>
    </w:p>
    <w:p>
      <w:pPr>
        <w:pStyle w:val="Heading2"/>
        <w:spacing w:after="150" w:before="300"/>
      </w:pPr>
      <w:r>
        <w:rPr>
          <w:b/>
          <w:bCs/>
          <w:color w:val="2E86AB"/>
        </w:rPr>
        <w:t xml:space="preserve">Module 14 — Paiement</w:t>
      </w:r>
    </w:p>
    <w:p>
      <w:pPr>
        <w:pStyle w:val="Heading3"/>
        <w:spacing w:after="100" w:before="200"/>
      </w:pPr>
      <w:r>
        <w:rPr>
          <w:b/>
          <w:bCs/>
        </w:rPr>
        <w:t xml:space="preserve">Entités principales</w:t>
      </w:r>
    </w:p>
    <w:p>
      <w:pPr>
        <w:spacing w:after="150"/>
      </w:pPr>
      <w:r>
        <w:t xml:space="preserve">StructureFrais · Echeancier · TranchePaiement · Paiement · Recu · Facture</w:t>
      </w:r>
    </w:p>
    <w:p>
      <w:pPr>
        <w:pStyle w:val="Heading3"/>
        <w:spacing w:after="100" w:before="200"/>
      </w:pPr>
      <w:r>
        <w:rPr>
          <w:b/>
          <w:bCs/>
        </w:rPr>
        <w:t xml:space="preserve">Dépendances inter-modules</w:t>
      </w:r>
    </w:p>
    <w:p>
      <w:pPr>
        <w:spacing w:after="150"/>
      </w:pPr>
      <w:r>
        <w:t xml:space="preserve">Module 15 (Comptabilité) · Module 30 (API/Intégrations)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Intégration aux API Orange Money / MTN MoMo via webhooks de confirmation asynchrone, avec réconciliation automatique</w:t>
      </w:r>
    </w:p>
    <w:p>
      <w:pPr>
        <w:pStyle w:val="ListParagraph"/>
        <w:numPr>
          <w:ilvl w:val="0"/>
          <w:numId w:val="2"/>
        </w:numPr>
        <w:spacing w:after="80"/>
      </w:pPr>
      <w:r>
        <w:t xml:space="preserve">Idempotence stricte des transactions (clé d'idempotence sur chaque requête de paiement)</w:t>
      </w:r>
    </w:p>
    <w:p>
      <w:pPr>
        <w:pStyle w:val="ListParagraph"/>
        <w:numPr>
          <w:ilvl w:val="0"/>
          <w:numId w:val="2"/>
        </w:numPr>
        <w:spacing w:after="80"/>
      </w:pPr>
      <w:r>
        <w:t xml:space="preserve">Génération du reçu déclenchée uniquement après confirmation effective du paiement, jamais avant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/api/v1/paiements/initier</w:t>
      </w:r>
    </w:p>
    <w:p>
      <w:pPr>
        <w:pStyle w:val="ListParagraph"/>
        <w:numPr>
          <w:ilvl w:val="0"/>
          <w:numId w:val="2"/>
        </w:numPr>
        <w:spacing w:after="80"/>
      </w:pPr>
      <w:r>
        <w:rPr>
          <w:rFonts w:ascii="Consolas" w:cs="Consolas" w:eastAsia="Consolas" w:hAnsi="Consolas"/>
          <w:sz w:val="19"/>
          <w:szCs w:val="19"/>
        </w:rPr>
        <w:t xml:space="preserve">POST /api/v1/webhooks/orange-money</w:t>
      </w:r>
    </w:p>
    <w:p>
      <w:pPr>
        <w:pStyle w:val="ListParagraph"/>
        <w:numPr>
          <w:ilvl w:val="0"/>
          <w:numId w:val="2"/>
        </w:numPr>
        <w:spacing w:after="80"/>
      </w:pPr>
      <w:r>
        <w:rPr>
          <w:rFonts w:ascii="Consolas" w:cs="Consolas" w:eastAsia="Consolas" w:hAnsi="Consolas"/>
          <w:sz w:val="19"/>
          <w:szCs w:val="19"/>
        </w:rPr>
        <w:t xml:space="preserve">POST /api/v1/webhooks/mtn-momo</w:t>
      </w:r>
    </w:p>
    <w:p>
      <w:pPr>
        <w:pStyle w:val="ListParagraph"/>
        <w:numPr>
          <w:ilvl w:val="0"/>
          <w:numId w:val="2"/>
        </w:numPr>
        <w:spacing w:after="80"/>
      </w:pPr>
      <w:r>
        <w:rPr>
          <w:rFonts w:ascii="Consolas" w:cs="Consolas" w:eastAsia="Consolas" w:hAnsi="Consolas"/>
          <w:sz w:val="19"/>
          <w:szCs w:val="19"/>
        </w:rPr>
        <w:t xml:space="preserve">GET /api/v1/eleves/{id}/solde</w:t>
      </w:r>
    </w:p>
    <w:p>
      <w:pPr>
        <w:spacing w:before="100"/>
      </w:pPr>
    </w:p>
    <w:p>
      <w:pPr>
        <w:pStyle w:val="Heading2"/>
        <w:spacing w:after="150" w:before="300"/>
      </w:pPr>
      <w:r>
        <w:rPr>
          <w:b/>
          <w:bCs/>
          <w:color w:val="2E86AB"/>
        </w:rPr>
        <w:t xml:space="preserve">Module 15 — Comptabilité</w:t>
      </w:r>
    </w:p>
    <w:p>
      <w:pPr>
        <w:pStyle w:val="Heading3"/>
        <w:spacing w:after="100" w:before="200"/>
      </w:pPr>
      <w:r>
        <w:rPr>
          <w:b/>
          <w:bCs/>
        </w:rPr>
        <w:t xml:space="preserve">Entités principales</w:t>
      </w:r>
    </w:p>
    <w:p>
      <w:pPr>
        <w:spacing w:after="150"/>
      </w:pPr>
      <w:r>
        <w:t xml:space="preserve">CompteComptable · JournalComptable · Budget · Depense</w:t>
      </w:r>
    </w:p>
    <w:p>
      <w:pPr>
        <w:pStyle w:val="Heading3"/>
        <w:spacing w:after="100" w:before="200"/>
      </w:pPr>
      <w:r>
        <w:rPr>
          <w:b/>
          <w:bCs/>
        </w:rPr>
        <w:t xml:space="preserve">Dépendances inter-modules</w:t>
      </w:r>
    </w:p>
    <w:p>
      <w:pPr>
        <w:spacing w:after="150"/>
      </w:pPr>
      <w:r>
        <w:t xml:space="preserve">Module 14 (Paiement) · Module 4 (Salaires)</w:t>
      </w:r>
    </w:p>
    <w:p>
      <w:pPr>
        <w:pStyle w:val="Heading3"/>
        <w:spacing w:after="100" w:before="200"/>
      </w:pPr>
      <w:r>
        <w:rPr>
          <w:b/>
          <w:bCs/>
        </w:rPr>
        <w:t xml:space="preserve">Contraintes techniques spécifiques</w:t>
      </w:r>
    </w:p>
    <w:p>
      <w:pPr>
        <w:pStyle w:val="ListParagraph"/>
        <w:numPr>
          <w:ilvl w:val="0"/>
          <w:numId w:val="2"/>
        </w:numPr>
        <w:spacing w:after="80"/>
      </w:pPr>
      <w:r>
        <w:t xml:space="preserve">Chaque paiement confirmé génère automatiquement une écriture comptable via un job asynchrone (garantie d'exactitude par réconciliation périodique)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/api/v1/comptabilite/journal</w:t>
      </w:r>
    </w:p>
    <w:p>
      <w:pPr>
        <w:pStyle w:val="ListParagraph"/>
        <w:numPr>
          <w:ilvl w:val="0"/>
          <w:numId w:val="2"/>
        </w:numPr>
        <w:spacing w:after="80"/>
      </w:pPr>
      <w:r>
        <w:rPr>
          <w:rFonts w:ascii="Consolas" w:cs="Consolas" w:eastAsia="Consolas" w:hAnsi="Consolas"/>
          <w:sz w:val="19"/>
          <w:szCs w:val="19"/>
        </w:rPr>
        <w:t xml:space="preserve">POST /api/v1/depenses</w:t>
      </w:r>
    </w:p>
    <w:p>
      <w:pPr>
        <w:pStyle w:val="ListParagraph"/>
        <w:numPr>
          <w:ilvl w:val="0"/>
          <w:numId w:val="2"/>
        </w:numPr>
        <w:spacing w:after="80"/>
      </w:pPr>
      <w:r>
        <w:rPr>
          <w:rFonts w:ascii="Consolas" w:cs="Consolas" w:eastAsia="Consolas" w:hAnsi="Consolas"/>
          <w:sz w:val="19"/>
          <w:szCs w:val="19"/>
        </w:rPr>
        <w:t xml:space="preserve">GET /api/v1/comptabilite/rapports/mensuel</w:t>
      </w:r>
    </w:p>
    <w:p>
      <w:pPr>
        <w:spacing w:before="100"/>
      </w:pPr>
    </w:p>
    <w:p>
      <w:pPr>
        <w:pStyle w:val="Heading2"/>
        <w:spacing w:after="150" w:before="300"/>
      </w:pPr>
      <w:r>
        <w:rPr>
          <w:b/>
          <w:bCs/>
          <w:color w:val="2E86AB"/>
        </w:rPr>
        <w:t xml:space="preserve">Module 16 — Bibliothèque</w:t>
      </w:r>
    </w:p>
    <w:p>
      <w:pPr>
        <w:pStyle w:val="Heading3"/>
        <w:spacing w:after="100" w:before="200"/>
      </w:pPr>
      <w:r>
        <w:rPr>
          <w:b/>
          <w:bCs/>
        </w:rPr>
        <w:t xml:space="preserve">Entités principales</w:t>
      </w:r>
    </w:p>
    <w:p>
      <w:pPr>
        <w:spacing w:after="150"/>
      </w:pPr>
      <w:r>
        <w:t xml:space="preserve">Livre · Emprunt · AmendeBibliotheque</w:t>
      </w:r>
    </w:p>
    <w:p>
      <w:pPr>
        <w:pStyle w:val="Heading3"/>
        <w:spacing w:after="100" w:before="200"/>
      </w:pPr>
      <w:r>
        <w:rPr>
          <w:b/>
          <w:bCs/>
        </w:rPr>
        <w:t xml:space="preserve">Dépendances inter-modules</w:t>
      </w:r>
    </w:p>
    <w:p>
      <w:pPr>
        <w:spacing w:after="150"/>
      </w:pPr>
      <w:r>
        <w:t xml:space="preserve">Module 1 (Utilisateurs)</w:t>
      </w:r>
    </w:p>
    <w:p>
      <w:pPr>
        <w:pStyle w:val="Heading3"/>
        <w:spacing w:after="100" w:before="200"/>
      </w:pPr>
      <w:r>
        <w:rPr>
          <w:b/>
          <w:bCs/>
        </w:rPr>
        <w:t xml:space="preserve">Contraintes techniques spécifiques</w:t>
      </w:r>
    </w:p>
    <w:p>
      <w:pPr>
        <w:pStyle w:val="ListParagraph"/>
        <w:numPr>
          <w:ilvl w:val="0"/>
          <w:numId w:val="2"/>
        </w:numPr>
        <w:spacing w:after="80"/>
      </w:pPr>
      <w:r>
        <w:t xml:space="preserve">Décrément/incrément du stock d'exemplaires disponibles protégé par transaction atomique pour éviter les doubles emprunts concurrents</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/api/v1/emprunts</w:t>
      </w:r>
    </w:p>
    <w:p>
      <w:pPr>
        <w:pStyle w:val="ListParagraph"/>
        <w:numPr>
          <w:ilvl w:val="0"/>
          <w:numId w:val="2"/>
        </w:numPr>
        <w:spacing w:after="80"/>
      </w:pPr>
      <w:r>
        <w:rPr>
          <w:rFonts w:ascii="Consolas" w:cs="Consolas" w:eastAsia="Consolas" w:hAnsi="Consolas"/>
          <w:sz w:val="19"/>
          <w:szCs w:val="19"/>
        </w:rPr>
        <w:t xml:space="preserve">POST /api/v1/emprunts/{id}/retour</w:t>
      </w:r>
    </w:p>
    <w:p>
      <w:pPr>
        <w:pStyle w:val="ListParagraph"/>
        <w:numPr>
          <w:ilvl w:val="0"/>
          <w:numId w:val="2"/>
        </w:numPr>
        <w:spacing w:after="80"/>
      </w:pPr>
      <w:r>
        <w:rPr>
          <w:rFonts w:ascii="Consolas" w:cs="Consolas" w:eastAsia="Consolas" w:hAnsi="Consolas"/>
          <w:sz w:val="19"/>
          <w:szCs w:val="19"/>
        </w:rPr>
        <w:t xml:space="preserve">GET /api/v1/livres?q=</w:t>
      </w:r>
    </w:p>
    <w:p>
      <w:pPr>
        <w:spacing w:before="100"/>
      </w:pPr>
    </w:p>
    <w:p>
      <w:pPr>
        <w:pStyle w:val="Heading2"/>
        <w:spacing w:after="150" w:before="300"/>
      </w:pPr>
      <w:r>
        <w:rPr>
          <w:b/>
          <w:bCs/>
          <w:color w:val="2E86AB"/>
        </w:rPr>
        <w:t xml:space="preserve">Module 17 — Infirmerie</w:t>
      </w:r>
    </w:p>
    <w:p>
      <w:pPr>
        <w:pStyle w:val="Heading3"/>
        <w:spacing w:after="100" w:before="200"/>
      </w:pPr>
      <w:r>
        <w:rPr>
          <w:b/>
          <w:bCs/>
        </w:rPr>
        <w:t xml:space="preserve">Entités principales</w:t>
      </w:r>
    </w:p>
    <w:p>
      <w:pPr>
        <w:spacing w:after="150"/>
      </w:pPr>
      <w:r>
        <w:t xml:space="preserve">ConsultationMedicale · Vaccin · Ordonnance · UrgenceMedicale</w:t>
      </w:r>
    </w:p>
    <w:p>
      <w:pPr>
        <w:pStyle w:val="Heading3"/>
        <w:spacing w:after="100" w:before="200"/>
      </w:pPr>
      <w:r>
        <w:rPr>
          <w:b/>
          <w:bCs/>
        </w:rPr>
        <w:t xml:space="preserve">Dépendances inter-modules</w:t>
      </w:r>
    </w:p>
    <w:p>
      <w:pPr>
        <w:spacing w:after="150"/>
      </w:pPr>
      <w:r>
        <w:t xml:space="preserve">Module 2 (Élèves)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Accès aux données médicales restreint par une politique RBAC dédiée, distincte du RBAC général (donnée de santé = catégorie sensible)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/api/v1/consultations</w:t>
      </w:r>
    </w:p>
    <w:p>
      <w:pPr>
        <w:pStyle w:val="ListParagraph"/>
        <w:numPr>
          <w:ilvl w:val="0"/>
          <w:numId w:val="2"/>
        </w:numPr>
        <w:spacing w:after="80"/>
      </w:pPr>
      <w:r>
        <w:rPr>
          <w:rFonts w:ascii="Consolas" w:cs="Consolas" w:eastAsia="Consolas" w:hAnsi="Consolas"/>
          <w:sz w:val="19"/>
          <w:szCs w:val="19"/>
        </w:rPr>
        <w:t xml:space="preserve">POST /api/v1/urgences</w:t>
      </w:r>
    </w:p>
    <w:p>
      <w:pPr>
        <w:pStyle w:val="ListParagraph"/>
        <w:numPr>
          <w:ilvl w:val="0"/>
          <w:numId w:val="2"/>
        </w:numPr>
        <w:spacing w:after="80"/>
      </w:pPr>
      <w:r>
        <w:rPr>
          <w:rFonts w:ascii="Consolas" w:cs="Consolas" w:eastAsia="Consolas" w:hAnsi="Consolas"/>
          <w:sz w:val="19"/>
          <w:szCs w:val="19"/>
        </w:rPr>
        <w:t xml:space="preserve">GET /api/v1/eleves/{id}/dossier-medical</w:t>
      </w:r>
    </w:p>
    <w:p>
      <w:pPr>
        <w:spacing w:before="100"/>
      </w:pPr>
    </w:p>
    <w:p>
      <w:pPr>
        <w:pStyle w:val="Heading2"/>
        <w:spacing w:after="150" w:before="300"/>
      </w:pPr>
      <w:r>
        <w:rPr>
          <w:b/>
          <w:bCs/>
          <w:color w:val="2E86AB"/>
        </w:rPr>
        <w:t xml:space="preserve">Module 18 — Transport scolaire</w:t>
      </w:r>
    </w:p>
    <w:p>
      <w:pPr>
        <w:pStyle w:val="Heading3"/>
        <w:spacing w:after="100" w:before="200"/>
      </w:pPr>
      <w:r>
        <w:rPr>
          <w:b/>
          <w:bCs/>
        </w:rPr>
        <w:t xml:space="preserve">Entités principales</w:t>
      </w:r>
    </w:p>
    <w:p>
      <w:pPr>
        <w:spacing w:after="150"/>
      </w:pPr>
      <w:r>
        <w:t xml:space="preserve">Bus · Itineraire · ArretBus · PresenceBus · PositionGPS</w:t>
      </w:r>
    </w:p>
    <w:p>
      <w:pPr>
        <w:pStyle w:val="Heading3"/>
        <w:spacing w:after="100" w:before="200"/>
      </w:pPr>
      <w:r>
        <w:rPr>
          <w:b/>
          <w:bCs/>
        </w:rPr>
        <w:t xml:space="preserve">Dépendances inter-modules</w:t>
      </w:r>
    </w:p>
    <w:p>
      <w:pPr>
        <w:spacing w:after="150"/>
      </w:pPr>
      <w:r>
        <w:t xml:space="preserve">Module 2 (Élèves)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Ingestion des positions GPS via un flux à haute fréquence (MQTT ou WebSocket), stockage optimisé en série temporelle</w:t>
      </w:r>
    </w:p>
    <w:p>
      <w:pPr>
        <w:pStyle w:val="ListParagraph"/>
        <w:numPr>
          <w:ilvl w:val="0"/>
          <w:numId w:val="2"/>
        </w:numPr>
        <w:spacing w:after="80"/>
      </w:pPr>
      <w:r>
        <w:t xml:space="preserve">Rétention des positions GPS limitée dans le temps (purge automatique après période réglementaire)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/api/v1/bus/{id}/position</w:t>
      </w:r>
    </w:p>
    <w:p>
      <w:pPr>
        <w:pStyle w:val="ListParagraph"/>
        <w:numPr>
          <w:ilvl w:val="0"/>
          <w:numId w:val="2"/>
        </w:numPr>
        <w:spacing w:after="80"/>
      </w:pPr>
      <w:r>
        <w:rPr>
          <w:rFonts w:ascii="Consolas" w:cs="Consolas" w:eastAsia="Consolas" w:hAnsi="Consolas"/>
          <w:sz w:val="19"/>
          <w:szCs w:val="19"/>
        </w:rPr>
        <w:t xml:space="preserve">GET /api/v1/bus/{id}/position/courante</w:t>
      </w:r>
    </w:p>
    <w:p>
      <w:pPr>
        <w:pStyle w:val="ListParagraph"/>
        <w:numPr>
          <w:ilvl w:val="0"/>
          <w:numId w:val="2"/>
        </w:numPr>
        <w:spacing w:after="80"/>
      </w:pPr>
      <w:r>
        <w:rPr>
          <w:rFonts w:ascii="Consolas" w:cs="Consolas" w:eastAsia="Consolas" w:hAnsi="Consolas"/>
          <w:sz w:val="19"/>
          <w:szCs w:val="19"/>
        </w:rPr>
        <w:t xml:space="preserve">POST /api/v1/presences-bus</w:t>
      </w:r>
    </w:p>
    <w:p>
      <w:pPr>
        <w:spacing w:before="100"/>
      </w:pPr>
    </w:p>
    <w:p>
      <w:pPr>
        <w:pStyle w:val="Heading2"/>
        <w:spacing w:after="150" w:before="300"/>
      </w:pPr>
      <w:r>
        <w:rPr>
          <w:b/>
          <w:bCs/>
          <w:color w:val="2E86AB"/>
        </w:rPr>
        <w:t xml:space="preserve">Module 19 — Cantine</w:t>
      </w:r>
    </w:p>
    <w:p>
      <w:pPr>
        <w:pStyle w:val="Heading3"/>
        <w:spacing w:after="100" w:before="200"/>
      </w:pPr>
      <w:r>
        <w:rPr>
          <w:b/>
          <w:bCs/>
        </w:rPr>
        <w:t xml:space="preserve">Entités principales</w:t>
      </w:r>
    </w:p>
    <w:p>
      <w:pPr>
        <w:spacing w:after="150"/>
      </w:pPr>
      <w:r>
        <w:t xml:space="preserve">MenuCantine · AbonnementCantine · PresenceCantine · StockCantine</w:t>
      </w:r>
    </w:p>
    <w:p>
      <w:pPr>
        <w:pStyle w:val="Heading3"/>
        <w:spacing w:after="100" w:before="200"/>
      </w:pPr>
      <w:r>
        <w:rPr>
          <w:b/>
          <w:bCs/>
        </w:rPr>
        <w:t xml:space="preserve">Dépendances inter-modules</w:t>
      </w:r>
    </w:p>
    <w:p>
      <w:pPr>
        <w:spacing w:after="150"/>
      </w:pPr>
      <w:r>
        <w:t xml:space="preserve">Module 14 (Paiement)</w:t>
      </w:r>
    </w:p>
    <w:p>
      <w:pPr>
        <w:pStyle w:val="Heading3"/>
        <w:spacing w:after="100" w:before="200"/>
      </w:pPr>
      <w:r>
        <w:rPr>
          <w:b/>
          <w:bCs/>
        </w:rPr>
        <w:t xml:space="preserve">Contraintes techniques spécifiques</w:t>
      </w:r>
    </w:p>
    <w:p>
      <w:pPr>
        <w:pStyle w:val="ListParagraph"/>
        <w:numPr>
          <w:ilvl w:val="0"/>
          <w:numId w:val="2"/>
        </w:numPr>
        <w:spacing w:after="80"/>
      </w:pPr>
      <w:r>
        <w:t xml:space="preserve">Alerte automatique de réapprovisionnement lorsque le stock passe sous le seuil configuré</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/api/v1/cantine/menu</w:t>
      </w:r>
    </w:p>
    <w:p>
      <w:pPr>
        <w:pStyle w:val="ListParagraph"/>
        <w:numPr>
          <w:ilvl w:val="0"/>
          <w:numId w:val="2"/>
        </w:numPr>
        <w:spacing w:after="80"/>
      </w:pPr>
      <w:r>
        <w:rPr>
          <w:rFonts w:ascii="Consolas" w:cs="Consolas" w:eastAsia="Consolas" w:hAnsi="Consolas"/>
          <w:sz w:val="19"/>
          <w:szCs w:val="19"/>
        </w:rPr>
        <w:t xml:space="preserve">POST /api/v1/abonnements-cantine</w:t>
      </w:r>
    </w:p>
    <w:p>
      <w:pPr>
        <w:pStyle w:val="ListParagraph"/>
        <w:numPr>
          <w:ilvl w:val="0"/>
          <w:numId w:val="2"/>
        </w:numPr>
        <w:spacing w:after="80"/>
      </w:pPr>
      <w:r>
        <w:rPr>
          <w:rFonts w:ascii="Consolas" w:cs="Consolas" w:eastAsia="Consolas" w:hAnsi="Consolas"/>
          <w:sz w:val="19"/>
          <w:szCs w:val="19"/>
        </w:rPr>
        <w:t xml:space="preserve">GET /api/v1/cantine/stock</w:t>
      </w:r>
    </w:p>
    <w:p>
      <w:pPr>
        <w:spacing w:before="100"/>
      </w:pPr>
    </w:p>
    <w:p>
      <w:pPr>
        <w:pStyle w:val="Heading2"/>
        <w:spacing w:after="150" w:before="300"/>
      </w:pPr>
      <w:r>
        <w:rPr>
          <w:b/>
          <w:bCs/>
          <w:color w:val="2E86AB"/>
        </w:rPr>
        <w:t xml:space="preserve">Module 20 — Gestion du personnel (RH)</w:t>
      </w:r>
    </w:p>
    <w:p>
      <w:pPr>
        <w:pStyle w:val="Heading3"/>
        <w:spacing w:after="100" w:before="200"/>
      </w:pPr>
      <w:r>
        <w:rPr>
          <w:b/>
          <w:bCs/>
        </w:rPr>
        <w:t xml:space="preserve">Entités principales</w:t>
      </w:r>
    </w:p>
    <w:p>
      <w:pPr>
        <w:spacing w:after="150"/>
      </w:pPr>
      <w:r>
        <w:t xml:space="preserve">Contrat · HeuresTravail · Salaire</w:t>
      </w:r>
    </w:p>
    <w:p>
      <w:pPr>
        <w:pStyle w:val="Heading3"/>
        <w:spacing w:after="100" w:before="200"/>
      </w:pPr>
      <w:r>
        <w:rPr>
          <w:b/>
          <w:bCs/>
        </w:rPr>
        <w:t xml:space="preserve">Dépendances inter-modules</w:t>
      </w:r>
    </w:p>
    <w:p>
      <w:pPr>
        <w:spacing w:after="150"/>
      </w:pPr>
      <w:r>
        <w:t xml:space="preserve">Module 4 (Enseignants/Personnel) · Module 15 (Comptabilité)</w:t>
      </w:r>
    </w:p>
    <w:p>
      <w:pPr>
        <w:pStyle w:val="Heading3"/>
        <w:spacing w:after="100" w:before="200"/>
      </w:pPr>
      <w:r>
        <w:rPr>
          <w:b/>
          <w:bCs/>
        </w:rPr>
        <w:t xml:space="preserve">Contraintes techniques spécifiques</w:t>
      </w:r>
    </w:p>
    <w:p>
      <w:pPr>
        <w:pStyle w:val="ListParagraph"/>
        <w:numPr>
          <w:ilvl w:val="0"/>
          <w:numId w:val="2"/>
        </w:numPr>
        <w:spacing w:after="80"/>
      </w:pPr>
      <w:r>
        <w:t xml:space="preserve">Job planifié d'alerte 30 jours avant échéance de contrat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/api/v1/personnel/{id}/contrats</w:t>
      </w:r>
    </w:p>
    <w:p>
      <w:pPr>
        <w:pStyle w:val="ListParagraph"/>
        <w:numPr>
          <w:ilvl w:val="0"/>
          <w:numId w:val="2"/>
        </w:numPr>
        <w:spacing w:after="80"/>
      </w:pPr>
      <w:r>
        <w:rPr>
          <w:rFonts w:ascii="Consolas" w:cs="Consolas" w:eastAsia="Consolas" w:hAnsi="Consolas"/>
          <w:sz w:val="19"/>
          <w:szCs w:val="19"/>
        </w:rPr>
        <w:t xml:space="preserve">POST /api/v1/salaires/generer</w:t>
      </w:r>
    </w:p>
    <w:p>
      <w:pPr>
        <w:spacing w:before="100"/>
      </w:pPr>
    </w:p>
    <w:p>
      <w:pPr>
        <w:pStyle w:val="Heading2"/>
        <w:spacing w:after="150" w:before="300"/>
      </w:pPr>
      <w:r>
        <w:rPr>
          <w:b/>
          <w:bCs/>
          <w:color w:val="2E86AB"/>
        </w:rPr>
        <w:t xml:space="preserve">Module 21 — Gestion documentaire</w:t>
      </w:r>
    </w:p>
    <w:p>
      <w:pPr>
        <w:pStyle w:val="Heading3"/>
        <w:spacing w:after="100" w:before="200"/>
      </w:pPr>
      <w:r>
        <w:rPr>
          <w:b/>
          <w:bCs/>
        </w:rPr>
        <w:t xml:space="preserve">Entités principales</w:t>
      </w:r>
    </w:p>
    <w:p>
      <w:pPr>
        <w:spacing w:after="150"/>
      </w:pPr>
      <w:r>
        <w:t xml:space="preserve">Document</w:t>
      </w:r>
    </w:p>
    <w:p>
      <w:pPr>
        <w:pStyle w:val="Heading3"/>
        <w:spacing w:after="100" w:before="200"/>
      </w:pPr>
      <w:r>
        <w:rPr>
          <w:b/>
          <w:bCs/>
        </w:rPr>
        <w:t xml:space="preserve">Dépendances inter-modules</w:t>
      </w:r>
    </w:p>
    <w:p>
      <w:pPr>
        <w:spacing w:after="150"/>
      </w:pPr>
      <w:r>
        <w:t xml:space="preserve">Tous les modules produisant des fichiers (élèves, bulletins, RH...)</w:t>
      </w:r>
    </w:p>
    <w:p>
      <w:pPr>
        <w:pStyle w:val="Heading3"/>
        <w:spacing w:after="100" w:before="200"/>
      </w:pPr>
      <w:r>
        <w:rPr>
          <w:b/>
          <w:bCs/>
        </w:rPr>
        <w:t xml:space="preserve">Contraintes techniques spécifiques</w:t>
      </w:r>
    </w:p>
    <w:p>
      <w:pPr>
        <w:pStyle w:val="ListParagraph"/>
        <w:numPr>
          <w:ilvl w:val="0"/>
          <w:numId w:val="2"/>
        </w:numPr>
        <w:spacing w:after="80"/>
      </w:pPr>
      <w:r>
        <w:t xml:space="preserve">Stockage objet (S3-compatible) avec versionnement activé</w:t>
      </w:r>
    </w:p>
    <w:p>
      <w:pPr>
        <w:pStyle w:val="ListParagraph"/>
        <w:numPr>
          <w:ilvl w:val="0"/>
          <w:numId w:val="2"/>
        </w:numPr>
        <w:spacing w:after="80"/>
      </w:pPr>
      <w:r>
        <w:t xml:space="preserve">Aucune suppression physique : archivage logique uniquement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/api/v1/documents</w:t>
      </w:r>
    </w:p>
    <w:p>
      <w:pPr>
        <w:pStyle w:val="ListParagraph"/>
        <w:numPr>
          <w:ilvl w:val="0"/>
          <w:numId w:val="2"/>
        </w:numPr>
        <w:spacing w:after="80"/>
      </w:pPr>
      <w:r>
        <w:rPr>
          <w:rFonts w:ascii="Consolas" w:cs="Consolas" w:eastAsia="Consolas" w:hAnsi="Consolas"/>
          <w:sz w:val="19"/>
          <w:szCs w:val="19"/>
        </w:rPr>
        <w:t xml:space="preserve">GET /api/v1/documents?proprietaire_type=&amp;proprietaire_id=</w:t>
      </w:r>
    </w:p>
    <w:p>
      <w:pPr>
        <w:spacing w:before="100"/>
      </w:pPr>
    </w:p>
    <w:p>
      <w:pPr>
        <w:pStyle w:val="Heading2"/>
        <w:spacing w:after="150" w:before="300"/>
      </w:pPr>
      <w:r>
        <w:rPr>
          <w:b/>
          <w:bCs/>
          <w:color w:val="2E86AB"/>
        </w:rPr>
        <w:t xml:space="preserve">Module 22 — Chat</w:t>
      </w:r>
    </w:p>
    <w:p>
      <w:pPr>
        <w:pStyle w:val="Heading3"/>
        <w:spacing w:after="100" w:before="200"/>
      </w:pPr>
      <w:r>
        <w:rPr>
          <w:b/>
          <w:bCs/>
        </w:rPr>
        <w:t xml:space="preserve">Entités principales</w:t>
      </w:r>
    </w:p>
    <w:p>
      <w:pPr>
        <w:spacing w:after="150"/>
      </w:pPr>
      <w:r>
        <w:t xml:space="preserve">Conversation · ConversationParticipant · Message</w:t>
      </w:r>
    </w:p>
    <w:p>
      <w:pPr>
        <w:pStyle w:val="Heading3"/>
        <w:spacing w:after="100" w:before="200"/>
      </w:pPr>
      <w:r>
        <w:rPr>
          <w:b/>
          <w:bCs/>
        </w:rPr>
        <w:t xml:space="preserve">Dépendances inter-modules</w:t>
      </w:r>
    </w:p>
    <w:p>
      <w:pPr>
        <w:spacing w:after="150"/>
      </w:pPr>
      <w:r>
        <w:t xml:space="preserve">Module 1 (Utilisateurs)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Connexion temps réel via WebSocket (candidat prioritaire à l'extraction en microservice dédié pour le scaling horizontal)</w:t>
      </w:r>
    </w:p>
    <w:p>
      <w:pPr>
        <w:pStyle w:val="ListParagraph"/>
        <w:numPr>
          <w:ilvl w:val="0"/>
          <w:numId w:val="2"/>
        </w:numPr>
        <w:spacing w:after="80"/>
      </w:pPr>
      <w:r>
        <w:t xml:space="preserve">Modération : conversations élève-professeur consultables par la direction</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WS /ws/conversations/{id}</w:t>
      </w:r>
    </w:p>
    <w:p>
      <w:pPr>
        <w:pStyle w:val="ListParagraph"/>
        <w:numPr>
          <w:ilvl w:val="0"/>
          <w:numId w:val="2"/>
        </w:numPr>
        <w:spacing w:after="80"/>
      </w:pPr>
      <w:r>
        <w:rPr>
          <w:rFonts w:ascii="Consolas" w:cs="Consolas" w:eastAsia="Consolas" w:hAnsi="Consolas"/>
          <w:sz w:val="19"/>
          <w:szCs w:val="19"/>
        </w:rPr>
        <w:t xml:space="preserve">POST /api/v1/conversations</w:t>
      </w:r>
    </w:p>
    <w:p>
      <w:pPr>
        <w:pStyle w:val="ListParagraph"/>
        <w:numPr>
          <w:ilvl w:val="0"/>
          <w:numId w:val="2"/>
        </w:numPr>
        <w:spacing w:after="80"/>
      </w:pPr>
      <w:r>
        <w:rPr>
          <w:rFonts w:ascii="Consolas" w:cs="Consolas" w:eastAsia="Consolas" w:hAnsi="Consolas"/>
          <w:sz w:val="19"/>
          <w:szCs w:val="19"/>
        </w:rPr>
        <w:t xml:space="preserve">POST /api/v1/conversations/{id}/messages</w:t>
      </w:r>
    </w:p>
    <w:p>
      <w:pPr>
        <w:spacing w:before="100"/>
      </w:pPr>
    </w:p>
    <w:p>
      <w:pPr>
        <w:pStyle w:val="Heading2"/>
        <w:spacing w:after="150" w:before="300"/>
      </w:pPr>
      <w:r>
        <w:rPr>
          <w:b/>
          <w:bCs/>
          <w:color w:val="2E86AB"/>
        </w:rPr>
        <w:t xml:space="preserve">Module 23 — Réunions</w:t>
      </w:r>
    </w:p>
    <w:p>
      <w:pPr>
        <w:pStyle w:val="Heading3"/>
        <w:spacing w:after="100" w:before="200"/>
      </w:pPr>
      <w:r>
        <w:rPr>
          <w:b/>
          <w:bCs/>
        </w:rPr>
        <w:t xml:space="preserve">Entités principales</w:t>
      </w:r>
    </w:p>
    <w:p>
      <w:pPr>
        <w:spacing w:after="150"/>
      </w:pPr>
      <w:r>
        <w:t xml:space="preserve">Reunion · ReunionInvite · CompteRendu</w:t>
      </w:r>
    </w:p>
    <w:p>
      <w:pPr>
        <w:pStyle w:val="Heading3"/>
        <w:spacing w:after="100" w:before="200"/>
      </w:pPr>
      <w:r>
        <w:rPr>
          <w:b/>
          <w:bCs/>
        </w:rPr>
        <w:t xml:space="preserve">Dépendances inter-modules</w:t>
      </w:r>
    </w:p>
    <w:p>
      <w:pPr>
        <w:spacing w:after="150"/>
      </w:pPr>
      <w:r>
        <w:t xml:space="preserve">Module 22 (Chat/visio) · Module 24 (Notifications)</w:t>
      </w:r>
    </w:p>
    <w:p>
      <w:pPr>
        <w:pStyle w:val="Heading3"/>
        <w:spacing w:after="100" w:before="200"/>
      </w:pPr>
      <w:r>
        <w:rPr>
          <w:b/>
          <w:bCs/>
        </w:rPr>
        <w:t xml:space="preserve">Contraintes techniques spécifiques</w:t>
      </w:r>
    </w:p>
    <w:p>
      <w:pPr>
        <w:pStyle w:val="ListParagraph"/>
        <w:numPr>
          <w:ilvl w:val="0"/>
          <w:numId w:val="2"/>
        </w:numPr>
        <w:spacing w:after="80"/>
      </w:pPr>
      <w:r>
        <w:t xml:space="preserve">Intégration à un fournisseur de visioconférence tiers via API (lien généré à la création de la réunion)</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/api/v1/reunions</w:t>
      </w:r>
    </w:p>
    <w:p>
      <w:pPr>
        <w:pStyle w:val="ListParagraph"/>
        <w:numPr>
          <w:ilvl w:val="0"/>
          <w:numId w:val="2"/>
        </w:numPr>
        <w:spacing w:after="80"/>
      </w:pPr>
      <w:r>
        <w:rPr>
          <w:rFonts w:ascii="Consolas" w:cs="Consolas" w:eastAsia="Consolas" w:hAnsi="Consolas"/>
          <w:sz w:val="19"/>
          <w:szCs w:val="19"/>
        </w:rPr>
        <w:t xml:space="preserve">POST /api/v1/reunions/{id}/invites</w:t>
      </w:r>
    </w:p>
    <w:p>
      <w:pPr>
        <w:pStyle w:val="ListParagraph"/>
        <w:numPr>
          <w:ilvl w:val="0"/>
          <w:numId w:val="2"/>
        </w:numPr>
        <w:spacing w:after="80"/>
      </w:pPr>
      <w:r>
        <w:rPr>
          <w:rFonts w:ascii="Consolas" w:cs="Consolas" w:eastAsia="Consolas" w:hAnsi="Consolas"/>
          <w:sz w:val="19"/>
          <w:szCs w:val="19"/>
        </w:rPr>
        <w:t xml:space="preserve">POST /api/v1/reunions/{id}/compte-rendu</w:t>
      </w:r>
    </w:p>
    <w:p>
      <w:pPr>
        <w:spacing w:before="100"/>
      </w:pPr>
    </w:p>
    <w:p>
      <w:pPr>
        <w:pStyle w:val="Heading2"/>
        <w:spacing w:after="150" w:before="300"/>
      </w:pPr>
      <w:r>
        <w:rPr>
          <w:b/>
          <w:bCs/>
          <w:color w:val="2E86AB"/>
        </w:rPr>
        <w:t xml:space="preserve">Module 24 — Notifications</w:t>
      </w:r>
    </w:p>
    <w:p>
      <w:pPr>
        <w:pStyle w:val="Heading3"/>
        <w:spacing w:after="100" w:before="200"/>
      </w:pPr>
      <w:r>
        <w:rPr>
          <w:b/>
          <w:bCs/>
        </w:rPr>
        <w:t xml:space="preserve">Entités principales</w:t>
      </w:r>
    </w:p>
    <w:p>
      <w:pPr>
        <w:spacing w:after="150"/>
      </w:pPr>
      <w:r>
        <w:t xml:space="preserve">Notification · AppareilMobile</w:t>
      </w:r>
    </w:p>
    <w:p>
      <w:pPr>
        <w:pStyle w:val="Heading3"/>
        <w:spacing w:after="100" w:before="200"/>
      </w:pPr>
      <w:r>
        <w:rPr>
          <w:b/>
          <w:bCs/>
        </w:rPr>
        <w:t xml:space="preserve">Dépendances inter-modules</w:t>
      </w:r>
    </w:p>
    <w:p>
      <w:pPr>
        <w:spacing w:after="150"/>
      </w:pPr>
      <w:r>
        <w:t xml:space="preserve">Tous les modules déclencheurs d'événements</w:t>
      </w:r>
    </w:p>
    <w:p>
      <w:pPr>
        <w:pStyle w:val="Heading3"/>
        <w:spacing w:after="100" w:before="200"/>
      </w:pPr>
      <w:r>
        <w:rPr>
          <w:b/>
          <w:bCs/>
        </w:rPr>
        <w:t xml:space="preserve">Contraintes techniques spécifiques</w:t>
      </w:r>
    </w:p>
    <w:p>
      <w:pPr>
        <w:pStyle w:val="ListParagraph"/>
        <w:numPr>
          <w:ilvl w:val="0"/>
          <w:numId w:val="2"/>
        </w:numPr>
        <w:spacing w:after="80"/>
      </w:pPr>
      <w:r>
        <w:t xml:space="preserve">Architecture événementielle : chaque module publie un événement sur une file de messages, un service transverse dédié consomme et route vers le bon canal (SMS/email/WhatsApp/push)</w:t>
      </w:r>
    </w:p>
    <w:p>
      <w:pPr>
        <w:pStyle w:val="ListParagraph"/>
        <w:numPr>
          <w:ilvl w:val="0"/>
          <w:numId w:val="2"/>
        </w:numPr>
        <w:spacing w:after="80"/>
      </w:pPr>
      <w:r>
        <w:t xml:space="preserve">Mécanisme de repli automatique vers un canal secondaire en cas d'échec du canal principal</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/api/v1/notifications/envoyer</w:t>
      </w:r>
    </w:p>
    <w:p>
      <w:pPr>
        <w:pStyle w:val="ListParagraph"/>
        <w:numPr>
          <w:ilvl w:val="0"/>
          <w:numId w:val="2"/>
        </w:numPr>
        <w:spacing w:after="80"/>
      </w:pPr>
      <w:r>
        <w:rPr>
          <w:rFonts w:ascii="Consolas" w:cs="Consolas" w:eastAsia="Consolas" w:hAnsi="Consolas"/>
          <w:sz w:val="19"/>
          <w:szCs w:val="19"/>
        </w:rPr>
        <w:t xml:space="preserve">POST /api/v1/appareils/enregistrer-token</w:t>
      </w:r>
    </w:p>
    <w:p>
      <w:pPr>
        <w:spacing w:before="100"/>
      </w:pPr>
    </w:p>
    <w:p>
      <w:pPr>
        <w:pStyle w:val="Heading2"/>
        <w:spacing w:after="150" w:before="300"/>
      </w:pPr>
      <w:r>
        <w:rPr>
          <w:b/>
          <w:bCs/>
          <w:color w:val="2E86AB"/>
        </w:rPr>
        <w:t xml:space="preserve">Module 25 — Intelligence artificielle</w:t>
      </w:r>
    </w:p>
    <w:p>
      <w:pPr>
        <w:pStyle w:val="Heading3"/>
        <w:spacing w:after="100" w:before="200"/>
      </w:pPr>
      <w:r>
        <w:rPr>
          <w:b/>
          <w:bCs/>
        </w:rPr>
        <w:t xml:space="preserve">Entités principales</w:t>
      </w:r>
    </w:p>
    <w:p>
      <w:pPr>
        <w:spacing w:after="150"/>
      </w:pPr>
      <w:r>
        <w:t xml:space="preserve">RecommandationOrientation · AlerteRisqueEchec · ExercicePersonnalise · CommentaireBulletinIA · PredictionExamen</w:t>
      </w:r>
    </w:p>
    <w:p>
      <w:pPr>
        <w:pStyle w:val="Heading3"/>
        <w:spacing w:after="100" w:before="200"/>
      </w:pPr>
      <w:r>
        <w:rPr>
          <w:b/>
          <w:bCs/>
        </w:rPr>
        <w:t xml:space="preserve">Dépendances inter-modules</w:t>
      </w:r>
    </w:p>
    <w:p>
      <w:pPr>
        <w:spacing w:after="150"/>
      </w:pPr>
      <w:r>
        <w:t xml:space="preserve">Module 8 (Notes) · Module 9 (Bulletins) · Module 12 (Présence)</w:t>
      </w:r>
    </w:p>
    <w:p>
      <w:pPr>
        <w:pStyle w:val="Heading3"/>
        <w:spacing w:after="100" w:before="200"/>
      </w:pPr>
      <w:r>
        <w:rPr>
          <w:b/>
          <w:bCs/>
        </w:rPr>
        <w:t xml:space="preserve">Contraintes techniques spécifiques</w:t>
      </w:r>
    </w:p>
    <w:p>
      <w:pPr>
        <w:pStyle w:val="ListParagraph"/>
        <w:numPr>
          <w:ilvl w:val="0"/>
          <w:numId w:val="2"/>
        </w:numPr>
        <w:spacing w:after="80"/>
      </w:pPr>
      <w:r>
        <w:t xml:space="preserve">Les modèles s'exécutent dans un service Python isolé (FastAPI) consommé par le backend principal via API interne</w:t>
      </w:r>
    </w:p>
    <w:p>
      <w:pPr>
        <w:pStyle w:val="ListParagraph"/>
        <w:numPr>
          <w:ilvl w:val="0"/>
          <w:numId w:val="2"/>
        </w:numPr>
        <w:spacing w:after="80"/>
      </w:pPr>
      <w:r>
        <w:t xml:space="preserve">Toute sortie générée reste à l'état de brouillon tant qu'un humain ne l'a pas validée</w:t>
      </w:r>
    </w:p>
    <w:p>
      <w:pPr>
        <w:pStyle w:val="ListParagraph"/>
        <w:numPr>
          <w:ilvl w:val="0"/>
          <w:numId w:val="2"/>
        </w:numPr>
        <w:spacing w:after="80"/>
      </w:pPr>
      <w:r>
        <w:t xml:space="preserve">Réentraînement périodique des modèles de détection de risque sur données anonymisées</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/api/v1/ia/orientation/{eleve_id}</w:t>
      </w:r>
    </w:p>
    <w:p>
      <w:pPr>
        <w:pStyle w:val="ListParagraph"/>
        <w:numPr>
          <w:ilvl w:val="0"/>
          <w:numId w:val="2"/>
        </w:numPr>
        <w:spacing w:after="80"/>
      </w:pPr>
      <w:r>
        <w:rPr>
          <w:rFonts w:ascii="Consolas" w:cs="Consolas" w:eastAsia="Consolas" w:hAnsi="Consolas"/>
          <w:sz w:val="19"/>
          <w:szCs w:val="19"/>
        </w:rPr>
        <w:t xml:space="preserve">GET /api/v1/ia/alertes-risque</w:t>
      </w:r>
    </w:p>
    <w:p>
      <w:pPr>
        <w:pStyle w:val="ListParagraph"/>
        <w:numPr>
          <w:ilvl w:val="0"/>
          <w:numId w:val="2"/>
        </w:numPr>
        <w:spacing w:after="80"/>
      </w:pPr>
      <w:r>
        <w:rPr>
          <w:rFonts w:ascii="Consolas" w:cs="Consolas" w:eastAsia="Consolas" w:hAnsi="Consolas"/>
          <w:sz w:val="19"/>
          <w:szCs w:val="19"/>
        </w:rPr>
        <w:t xml:space="preserve">POST /api/v1/ia/commentaire-bulletin/{bulletin_id}</w:t>
      </w:r>
    </w:p>
    <w:p>
      <w:pPr>
        <w:spacing w:before="100"/>
      </w:pPr>
    </w:p>
    <w:p>
      <w:pPr>
        <w:pStyle w:val="Heading2"/>
        <w:spacing w:after="150" w:before="300"/>
      </w:pPr>
      <w:r>
        <w:rPr>
          <w:b/>
          <w:bCs/>
          <w:color w:val="2E86AB"/>
        </w:rPr>
        <w:t xml:space="preserve">Module 26 — Dashboard</w:t>
      </w:r>
    </w:p>
    <w:p>
      <w:pPr>
        <w:pStyle w:val="Heading3"/>
        <w:spacing w:after="100" w:before="200"/>
      </w:pPr>
      <w:r>
        <w:rPr>
          <w:b/>
          <w:bCs/>
        </w:rPr>
        <w:t xml:space="preserve">Entités principales</w:t>
      </w:r>
    </w:p>
    <w:p>
      <w:pPr>
        <w:spacing w:after="150"/>
      </w:pPr>
      <w:r>
        <w:t xml:space="preserve">(vues agrégées, pas d'entité persistante propre)</w:t>
      </w:r>
    </w:p>
    <w:p>
      <w:pPr>
        <w:pStyle w:val="Heading3"/>
        <w:spacing w:after="100" w:before="200"/>
      </w:pPr>
      <w:r>
        <w:rPr>
          <w:b/>
          <w:bCs/>
        </w:rPr>
        <w:t xml:space="preserve">Dépendances inter-modules</w:t>
      </w:r>
    </w:p>
    <w:p>
      <w:pPr>
        <w:spacing w:after="150"/>
      </w:pPr>
      <w:r>
        <w:t xml:space="preserve">Tous les modules (lecture agrégée)</w:t>
      </w:r>
    </w:p>
    <w:p>
      <w:pPr>
        <w:pStyle w:val="Heading3"/>
        <w:spacing w:after="100" w:before="200"/>
      </w:pPr>
      <w:r>
        <w:rPr>
          <w:b/>
          <w:bCs/>
        </w:rPr>
        <w:t xml:space="preserve">Contraintes techniques spécifiques</w:t>
      </w:r>
    </w:p>
    <w:p>
      <w:pPr>
        <w:pStyle w:val="ListParagraph"/>
        <w:numPr>
          <w:ilvl w:val="0"/>
          <w:numId w:val="2"/>
        </w:numPr>
        <w:spacing w:after="80"/>
      </w:pPr>
      <w:r>
        <w:t xml:space="preserve">Les indicateurs lourds sont pré-calculés par job planifié plutôt que recalculés à chaque affichage (vues matérialisées rafraîchies périodiquement)</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/api/v1/dashboard/direction</w:t>
      </w:r>
    </w:p>
    <w:p>
      <w:pPr>
        <w:pStyle w:val="ListParagraph"/>
        <w:numPr>
          <w:ilvl w:val="0"/>
          <w:numId w:val="2"/>
        </w:numPr>
        <w:spacing w:after="80"/>
      </w:pPr>
      <w:r>
        <w:rPr>
          <w:rFonts w:ascii="Consolas" w:cs="Consolas" w:eastAsia="Consolas" w:hAnsi="Consolas"/>
          <w:sz w:val="19"/>
          <w:szCs w:val="19"/>
        </w:rPr>
        <w:t xml:space="preserve">GET /api/v1/dashboard/professeur/{id}</w:t>
      </w:r>
    </w:p>
    <w:p>
      <w:pPr>
        <w:pStyle w:val="ListParagraph"/>
        <w:numPr>
          <w:ilvl w:val="0"/>
          <w:numId w:val="2"/>
        </w:numPr>
        <w:spacing w:after="80"/>
      </w:pPr>
      <w:r>
        <w:rPr>
          <w:rFonts w:ascii="Consolas" w:cs="Consolas" w:eastAsia="Consolas" w:hAnsi="Consolas"/>
          <w:sz w:val="19"/>
          <w:szCs w:val="19"/>
        </w:rPr>
        <w:t xml:space="preserve">GET /api/v1/dashboard/parent/{id}</w:t>
      </w:r>
    </w:p>
    <w:p>
      <w:pPr>
        <w:spacing w:before="100"/>
      </w:pPr>
    </w:p>
    <w:p>
      <w:pPr>
        <w:pStyle w:val="Heading2"/>
        <w:spacing w:after="150" w:before="300"/>
      </w:pPr>
      <w:r>
        <w:rPr>
          <w:b/>
          <w:bCs/>
          <w:color w:val="2E86AB"/>
        </w:rPr>
        <w:t xml:space="preserve">Module 27 — Rapports</w:t>
      </w:r>
    </w:p>
    <w:p>
      <w:pPr>
        <w:pStyle w:val="Heading3"/>
        <w:spacing w:after="100" w:before="200"/>
      </w:pPr>
      <w:r>
        <w:rPr>
          <w:b/>
          <w:bCs/>
        </w:rPr>
        <w:t xml:space="preserve">Entités principales</w:t>
      </w:r>
    </w:p>
    <w:p>
      <w:pPr>
        <w:spacing w:after="150"/>
      </w:pPr>
      <w:r>
        <w:t xml:space="preserve">(génération à la demande, pas d'entité propre)</w:t>
      </w:r>
    </w:p>
    <w:p>
      <w:pPr>
        <w:pStyle w:val="Heading3"/>
        <w:spacing w:after="100" w:before="200"/>
      </w:pPr>
      <w:r>
        <w:rPr>
          <w:b/>
          <w:bCs/>
        </w:rPr>
        <w:t xml:space="preserve">Dépendances inter-modules</w:t>
      </w:r>
    </w:p>
    <w:p>
      <w:pPr>
        <w:spacing w:after="150"/>
      </w:pPr>
      <w:r>
        <w:t xml:space="preserve">Tous les modules</w:t>
      </w:r>
    </w:p>
    <w:p>
      <w:pPr>
        <w:pStyle w:val="Heading3"/>
        <w:spacing w:after="100" w:before="200"/>
      </w:pPr>
      <w:r>
        <w:rPr>
          <w:b/>
          <w:bCs/>
        </w:rPr>
        <w:t xml:space="preserve">Contraintes techniques spécifiques</w:t>
      </w:r>
    </w:p>
    <w:p>
      <w:pPr>
        <w:pStyle w:val="ListParagraph"/>
        <w:numPr>
          <w:ilvl w:val="0"/>
          <w:numId w:val="2"/>
        </w:numPr>
        <w:spacing w:after="80"/>
      </w:pPr>
      <w:r>
        <w:t xml:space="preserve">Les exports volumineux sont traités de façon asynchrone (job en arrière-plan + notification de disponibilité) plutôt qu'en synchrone dans la requête HTTP</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/api/v1/rapports/generer</w:t>
      </w:r>
    </w:p>
    <w:p>
      <w:pPr>
        <w:pStyle w:val="ListParagraph"/>
        <w:numPr>
          <w:ilvl w:val="0"/>
          <w:numId w:val="2"/>
        </w:numPr>
        <w:spacing w:after="80"/>
      </w:pPr>
      <w:r>
        <w:rPr>
          <w:rFonts w:ascii="Consolas" w:cs="Consolas" w:eastAsia="Consolas" w:hAnsi="Consolas"/>
          <w:sz w:val="19"/>
          <w:szCs w:val="19"/>
        </w:rPr>
        <w:t xml:space="preserve">GET /api/v1/rapports/{id}/statut</w:t>
      </w:r>
    </w:p>
    <w:p>
      <w:pPr>
        <w:pStyle w:val="ListParagraph"/>
        <w:numPr>
          <w:ilvl w:val="0"/>
          <w:numId w:val="2"/>
        </w:numPr>
        <w:spacing w:after="80"/>
      </w:pPr>
      <w:r>
        <w:rPr>
          <w:rFonts w:ascii="Consolas" w:cs="Consolas" w:eastAsia="Consolas" w:hAnsi="Consolas"/>
          <w:sz w:val="19"/>
          <w:szCs w:val="19"/>
        </w:rPr>
        <w:t xml:space="preserve">GET /api/v1/rapports/{id}/telecharger</w:t>
      </w:r>
    </w:p>
    <w:p>
      <w:pPr>
        <w:spacing w:before="100"/>
      </w:pPr>
    </w:p>
    <w:p>
      <w:pPr>
        <w:pStyle w:val="Heading2"/>
        <w:spacing w:after="150" w:before="300"/>
      </w:pPr>
      <w:r>
        <w:rPr>
          <w:b/>
          <w:bCs/>
          <w:color w:val="2E86AB"/>
        </w:rPr>
        <w:t xml:space="preserve">Module 28 — Sécurité</w:t>
      </w:r>
    </w:p>
    <w:p>
      <w:pPr>
        <w:pStyle w:val="Heading3"/>
        <w:spacing w:after="100" w:before="200"/>
      </w:pPr>
      <w:r>
        <w:rPr>
          <w:b/>
          <w:bCs/>
        </w:rPr>
        <w:t xml:space="preserve">Entités principales</w:t>
      </w:r>
    </w:p>
    <w:p>
      <w:pPr>
        <w:spacing w:after="150"/>
      </w:pPr>
      <w:r>
        <w:t xml:space="preserve">JournalAudit · Sauvegarde · ConsentementRGPD</w:t>
      </w:r>
    </w:p>
    <w:p>
      <w:pPr>
        <w:pStyle w:val="Heading3"/>
        <w:spacing w:after="100" w:before="200"/>
      </w:pPr>
      <w:r>
        <w:rPr>
          <w:b/>
          <w:bCs/>
        </w:rPr>
        <w:t xml:space="preserve">Dépendances inter-modules</w:t>
      </w:r>
    </w:p>
    <w:p>
      <w:pPr>
        <w:spacing w:after="150"/>
      </w:pPr>
      <w:r>
        <w:t xml:space="preserve">Tous les modules (transverse)</w:t>
      </w:r>
    </w:p>
    <w:p>
      <w:pPr>
        <w:pStyle w:val="Heading3"/>
        <w:spacing w:after="100" w:before="200"/>
      </w:pPr>
      <w:r>
        <w:rPr>
          <w:b/>
          <w:bCs/>
        </w:rPr>
        <w:t xml:space="preserve">Contraintes techniques spécifiques</w:t>
      </w:r>
    </w:p>
    <w:p>
      <w:pPr>
        <w:pStyle w:val="ListParagraph"/>
        <w:numPr>
          <w:ilvl w:val="0"/>
          <w:numId w:val="2"/>
        </w:numPr>
        <w:spacing w:after="80"/>
      </w:pPr>
      <w:r>
        <w:t xml:space="preserve">Journal d'audit en écriture seule (append-only), répliqué séparément de la base applicative</w:t>
      </w:r>
    </w:p>
    <w:p>
      <w:pPr>
        <w:pStyle w:val="ListParagraph"/>
        <w:numPr>
          <w:ilvl w:val="0"/>
          <w:numId w:val="2"/>
        </w:numPr>
        <w:spacing w:after="80"/>
      </w:pPr>
      <w:r>
        <w:t xml:space="preserve">Sauvegardes chiffrées, testées par restauration périodique automatisée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GET /api/v1/audit?utilisateur_id=</w:t>
      </w:r>
    </w:p>
    <w:p>
      <w:pPr>
        <w:pStyle w:val="ListParagraph"/>
        <w:numPr>
          <w:ilvl w:val="0"/>
          <w:numId w:val="2"/>
        </w:numPr>
        <w:spacing w:after="80"/>
      </w:pPr>
      <w:r>
        <w:rPr>
          <w:rFonts w:ascii="Consolas" w:cs="Consolas" w:eastAsia="Consolas" w:hAnsi="Consolas"/>
          <w:sz w:val="19"/>
          <w:szCs w:val="19"/>
        </w:rPr>
        <w:t xml:space="preserve">POST /api/v1/consentements</w:t>
      </w:r>
    </w:p>
    <w:p>
      <w:pPr>
        <w:spacing w:before="100"/>
      </w:pPr>
    </w:p>
    <w:p>
      <w:pPr>
        <w:pStyle w:val="Heading2"/>
        <w:spacing w:after="150" w:before="300"/>
      </w:pPr>
      <w:r>
        <w:rPr>
          <w:b/>
          <w:bCs/>
          <w:color w:val="2E86AB"/>
        </w:rPr>
        <w:t xml:space="preserve">Module 29 — Application mobile</w:t>
      </w:r>
    </w:p>
    <w:p>
      <w:pPr>
        <w:pStyle w:val="Heading3"/>
        <w:spacing w:after="100" w:before="200"/>
      </w:pPr>
      <w:r>
        <w:rPr>
          <w:b/>
          <w:bCs/>
        </w:rPr>
        <w:t xml:space="preserve">Entités principales</w:t>
      </w:r>
    </w:p>
    <w:p>
      <w:pPr>
        <w:spacing w:after="150"/>
      </w:pPr>
      <w:r>
        <w:t xml:space="preserve">(consomme les API des autres modules)</w:t>
      </w:r>
    </w:p>
    <w:p>
      <w:pPr>
        <w:pStyle w:val="Heading3"/>
        <w:spacing w:after="100" w:before="200"/>
      </w:pPr>
      <w:r>
        <w:rPr>
          <w:b/>
          <w:bCs/>
        </w:rPr>
        <w:t xml:space="preserve">Dépendances inter-modules</w:t>
      </w:r>
    </w:p>
    <w:p>
      <w:pPr>
        <w:spacing w:after="150"/>
      </w:pPr>
      <w:r>
        <w:t xml:space="preserve">Module 24 (Notifications push) · Module 14 (Paiement)</w:t>
      </w:r>
    </w:p>
    <w:p>
      <w:pPr>
        <w:pStyle w:val="Heading3"/>
        <w:spacing w:after="100" w:before="200"/>
      </w:pPr>
      <w:r>
        <w:rPr>
          <w:b/>
          <w:bCs/>
        </w:rPr>
        <w:t xml:space="preserve">Contraintes techniques spécifiques</w:t>
      </w:r>
    </w:p>
    <w:p>
      <w:pPr>
        <w:pStyle w:val="ListParagraph"/>
        <w:numPr>
          <w:ilvl w:val="0"/>
          <w:numId w:val="2"/>
        </w:numPr>
        <w:spacing w:after="80"/>
      </w:pPr>
      <w:r>
        <w:t xml:space="preserve">Cache local chiffré pour la consultation hors-ligne des dernières données synchronisées</w:t>
      </w:r>
    </w:p>
    <w:p>
      <w:pPr>
        <w:pStyle w:val="ListParagraph"/>
        <w:numPr>
          <w:ilvl w:val="0"/>
          <w:numId w:val="2"/>
        </w:numPr>
        <w:spacing w:after="80"/>
      </w:pPr>
      <w:r>
        <w:t xml:space="preserve">Synchronisation différée des actions effectuées hors-ligne (file d'attente locale)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Consomme l'ensemble des endpoints REST exposés via l'API Gateway</w:t>
      </w:r>
    </w:p>
    <w:p>
      <w:pPr>
        <w:spacing w:before="100"/>
      </w:pPr>
    </w:p>
    <w:p>
      <w:pPr>
        <w:pStyle w:val="Heading2"/>
        <w:spacing w:after="150" w:before="300"/>
      </w:pPr>
      <w:r>
        <w:rPr>
          <w:b/>
          <w:bCs/>
          <w:color w:val="2E86AB"/>
        </w:rPr>
        <w:t xml:space="preserve">Module 30 — API et intégrations externes</w:t>
      </w:r>
    </w:p>
    <w:p>
      <w:pPr>
        <w:pStyle w:val="Heading3"/>
        <w:spacing w:after="100" w:before="200"/>
      </w:pPr>
      <w:r>
        <w:rPr>
          <w:b/>
          <w:bCs/>
        </w:rPr>
        <w:t xml:space="preserve">Entités principales</w:t>
      </w:r>
    </w:p>
    <w:p>
      <w:pPr>
        <w:spacing w:after="150"/>
      </w:pPr>
      <w:r>
        <w:t xml:space="preserve">ApiClient · IntegrationExterne · ApiLog</w:t>
      </w:r>
    </w:p>
    <w:p>
      <w:pPr>
        <w:pStyle w:val="Heading3"/>
        <w:spacing w:after="100" w:before="200"/>
      </w:pPr>
      <w:r>
        <w:rPr>
          <w:b/>
          <w:bCs/>
        </w:rPr>
        <w:t xml:space="preserve">Dépendances inter-modules</w:t>
      </w:r>
    </w:p>
    <w:p>
      <w:pPr>
        <w:spacing w:after="150"/>
      </w:pPr>
      <w:r>
        <w:t xml:space="preserve">Tous les modules exposés en API</w:t>
      </w:r>
    </w:p>
    <w:p>
      <w:pPr>
        <w:pStyle w:val="Heading3"/>
        <w:spacing w:after="100" w:before="200"/>
      </w:pPr>
      <w:r>
        <w:rPr>
          <w:b/>
          <w:bCs/>
        </w:rPr>
        <w:t xml:space="preserve">Contraintes techniques spécifiques</w:t>
      </w:r>
    </w:p>
    <w:p>
      <w:pPr>
        <w:pStyle w:val="ListParagraph"/>
        <w:numPr>
          <w:ilvl w:val="0"/>
          <w:numId w:val="2"/>
        </w:numPr>
        <w:spacing w:after="80"/>
      </w:pPr>
      <w:r>
        <w:t xml:space="preserve">Authentification des clients tiers par OAuth2 client credentials</w:t>
      </w:r>
    </w:p>
    <w:p>
      <w:pPr>
        <w:pStyle w:val="ListParagraph"/>
        <w:numPr>
          <w:ilvl w:val="0"/>
          <w:numId w:val="2"/>
        </w:numPr>
        <w:spacing w:after="80"/>
      </w:pPr>
      <w:r>
        <w:t xml:space="preserve">Quota et rate limiting par client au niveau de l'API Gateway</w:t>
      </w:r>
    </w:p>
    <w:p>
      <w:pPr>
        <w:pStyle w:val="ListParagraph"/>
        <w:numPr>
          <w:ilvl w:val="0"/>
          <w:numId w:val="2"/>
        </w:numPr>
        <w:spacing w:after="80"/>
      </w:pPr>
      <w:r>
        <w:t xml:space="preserve">Journalisation systématique de tous les appels API (endpoint, code retour, durée)</w:t>
      </w:r>
    </w:p>
    <w:p>
      <w:pPr>
        <w:pStyle w:val="Heading3"/>
        <w:spacing w:after="100" w:before="200"/>
      </w:pPr>
      <w:r>
        <w:rPr>
          <w:b/>
          <w:bCs/>
        </w:rPr>
        <w:t xml:space="preserve">Points d'API représentatifs</w:t>
      </w:r>
    </w:p>
    <w:p>
      <w:pPr>
        <w:pStyle w:val="ListParagraph"/>
        <w:numPr>
          <w:ilvl w:val="0"/>
          <w:numId w:val="2"/>
        </w:numPr>
        <w:spacing w:after="80"/>
      </w:pPr>
      <w:r>
        <w:rPr>
          <w:rFonts w:ascii="Consolas" w:cs="Consolas" w:eastAsia="Consolas" w:hAnsi="Consolas"/>
          <w:sz w:val="19"/>
          <w:szCs w:val="19"/>
        </w:rPr>
        <w:t xml:space="preserve">POST /api/v1/oauth/token</w:t>
      </w:r>
    </w:p>
    <w:p>
      <w:pPr>
        <w:pStyle w:val="ListParagraph"/>
        <w:numPr>
          <w:ilvl w:val="0"/>
          <w:numId w:val="2"/>
        </w:numPr>
        <w:spacing w:after="80"/>
      </w:pPr>
      <w:r>
        <w:rPr>
          <w:rFonts w:ascii="Consolas" w:cs="Consolas" w:eastAsia="Consolas" w:hAnsi="Consolas"/>
          <w:sz w:val="19"/>
          <w:szCs w:val="19"/>
        </w:rPr>
        <w:t xml:space="preserve">GET /api/v1/integrations</w:t>
      </w:r>
    </w:p>
    <w:p>
      <w:pPr>
        <w:pStyle w:val="ListParagraph"/>
        <w:numPr>
          <w:ilvl w:val="0"/>
          <w:numId w:val="2"/>
        </w:numPr>
        <w:spacing w:after="80"/>
      </w:pPr>
      <w:r>
        <w:rPr>
          <w:rFonts w:ascii="Consolas" w:cs="Consolas" w:eastAsia="Consolas" w:hAnsi="Consolas"/>
          <w:sz w:val="19"/>
          <w:szCs w:val="19"/>
        </w:rPr>
        <w:t xml:space="preserve">POST /api/v1/integrations/{fournisseur}/configurer</w:t>
      </w:r>
    </w:p>
    <w:p>
      <w:r>
        <w:br w:type="page"/>
      </w:r>
    </w:p>
    <w:p>
      <w:pPr>
        <w:pStyle w:val="Heading1"/>
        <w:spacing w:after="200" w:before="400"/>
      </w:pPr>
      <w:r>
        <w:rPr>
          <w:b/>
          <w:bCs/>
          <w:color w:val="1F4E5F"/>
        </w:rPr>
        <w:t xml:space="preserve">PARTIE VI — INTÉGRATIONS EXTERNES</w:t>
      </w:r>
    </w:p>
    <w:p>
      <w:pPr>
        <w:pStyle w:val="Heading2"/>
        <w:spacing w:after="150" w:before="300"/>
      </w:pPr>
      <w:r>
        <w:rPr>
          <w:b/>
          <w:bCs/>
          <w:color w:val="2E86AB"/>
        </w:rPr>
        <w:t xml:space="preserve">Orange Money / MTN MoMo</w:t>
      </w:r>
    </w:p>
    <w:p>
      <w:pPr>
        <w:pStyle w:val="ListParagraph"/>
        <w:numPr>
          <w:ilvl w:val="0"/>
          <w:numId w:val="2"/>
        </w:numPr>
        <w:spacing w:after="80"/>
      </w:pPr>
      <w:r>
        <w:t xml:space="preserve">Intégration via API REST des opérateurs, avec webhook de confirmation asynchrone</w:t>
      </w:r>
    </w:p>
    <w:p>
      <w:pPr>
        <w:pStyle w:val="ListParagraph"/>
        <w:numPr>
          <w:ilvl w:val="0"/>
          <w:numId w:val="2"/>
        </w:numPr>
        <w:spacing w:after="80"/>
      </w:pPr>
      <w:r>
        <w:t xml:space="preserve">Réconciliation automatique quotidienne entre les transactions locales et les relevés opérateur</w:t>
      </w:r>
    </w:p>
    <w:p>
      <w:pPr>
        <w:pStyle w:val="ListParagraph"/>
        <w:numPr>
          <w:ilvl w:val="0"/>
          <w:numId w:val="2"/>
        </w:numPr>
        <w:spacing w:after="80"/>
      </w:pPr>
      <w:r>
        <w:t xml:space="preserve">Gestion des délais de propagation réseau propres au continent (retry avec backoff exponentiel)</w:t>
      </w:r>
    </w:p>
    <w:p>
      <w:pPr>
        <w:pStyle w:val="Heading2"/>
        <w:spacing w:after="150" w:before="300"/>
      </w:pPr>
      <w:r>
        <w:rPr>
          <w:b/>
          <w:bCs/>
          <w:color w:val="2E86AB"/>
        </w:rPr>
        <w:t xml:space="preserve">Intégration bancaire</w:t>
      </w:r>
    </w:p>
    <w:p>
      <w:pPr>
        <w:pStyle w:val="ListParagraph"/>
        <w:numPr>
          <w:ilvl w:val="0"/>
          <w:numId w:val="2"/>
        </w:numPr>
        <w:spacing w:after="80"/>
      </w:pPr>
      <w:r>
        <w:t xml:space="preserve">Connexion aux API de virement et de prélèvement des banques partenaires selon les standards locaux disponibles</w:t>
      </w:r>
    </w:p>
    <w:p>
      <w:pPr>
        <w:pStyle w:val="ListParagraph"/>
        <w:numPr>
          <w:ilvl w:val="0"/>
          <w:numId w:val="2"/>
        </w:numPr>
        <w:spacing w:after="80"/>
      </w:pPr>
      <w:r>
        <w:t xml:space="preserve">Traitement par lot (batch) pour les rapprochements bancaires quotidiens</w:t>
      </w:r>
    </w:p>
    <w:p>
      <w:pPr>
        <w:pStyle w:val="Heading2"/>
        <w:spacing w:after="150" w:before="300"/>
      </w:pPr>
      <w:r>
        <w:rPr>
          <w:b/>
          <w:bCs/>
          <w:color w:val="2E86AB"/>
        </w:rPr>
        <w:t xml:space="preserve">SSO Microsoft 365 / Google Workspace</w:t>
      </w:r>
    </w:p>
    <w:p>
      <w:pPr>
        <w:pStyle w:val="ListParagraph"/>
        <w:numPr>
          <w:ilvl w:val="0"/>
          <w:numId w:val="2"/>
        </w:numPr>
        <w:spacing w:after="80"/>
      </w:pPr>
      <w:r>
        <w:t xml:space="preserve">Authentification déléguée via OAuth2 / OpenID Connect pour les établissements déjà équipés de ces suites</w:t>
      </w:r>
    </w:p>
    <w:p>
      <w:pPr>
        <w:pStyle w:val="ListParagraph"/>
        <w:numPr>
          <w:ilvl w:val="0"/>
          <w:numId w:val="2"/>
        </w:numPr>
        <w:spacing w:after="80"/>
      </w:pPr>
      <w:r>
        <w:t xml:space="preserve">Synchronisation optionnelle de l'annuaire (utilisateurs et groupes)</w:t>
      </w:r>
    </w:p>
    <w:p>
      <w:pPr>
        <w:pStyle w:val="Heading2"/>
        <w:spacing w:after="150" w:before="300"/>
      </w:pPr>
      <w:r>
        <w:rPr>
          <w:b/>
          <w:bCs/>
          <w:color w:val="2E86AB"/>
        </w:rPr>
        <w:t xml:space="preserve">Moodle</w:t>
      </w:r>
    </w:p>
    <w:p>
      <w:pPr>
        <w:pStyle w:val="ListParagraph"/>
        <w:numPr>
          <w:ilvl w:val="0"/>
          <w:numId w:val="2"/>
        </w:numPr>
        <w:spacing w:after="80"/>
      </w:pPr>
      <w:r>
        <w:t xml:space="preserve">Interopérabilité via LTI (Learning Tools Interoperability) pour permettre l'accès aux cours en ligne Moodle depuis EDUCORE sans double authentification</w:t>
      </w:r>
    </w:p>
    <w:p>
      <w:pPr>
        <w:pStyle w:val="Heading2"/>
        <w:spacing w:after="150" w:before="300"/>
      </w:pPr>
      <w:r>
        <w:rPr>
          <w:b/>
          <w:bCs/>
          <w:color w:val="2E86AB"/>
        </w:rPr>
        <w:t xml:space="preserve">SMS / WhatsApp Business API</w:t>
      </w:r>
    </w:p>
    <w:p>
      <w:pPr>
        <w:pStyle w:val="ListParagraph"/>
        <w:numPr>
          <w:ilvl w:val="0"/>
          <w:numId w:val="2"/>
        </w:numPr>
        <w:spacing w:after="80"/>
      </w:pPr>
      <w:r>
        <w:t xml:space="preserve">Envoi des notifications via un agrégateur SMS local et l'API officielle WhatsApp Business</w:t>
      </w:r>
    </w:p>
    <w:p>
      <w:pPr>
        <w:pStyle w:val="ListParagraph"/>
        <w:numPr>
          <w:ilvl w:val="0"/>
          <w:numId w:val="2"/>
        </w:numPr>
        <w:spacing w:after="80"/>
      </w:pPr>
      <w:r>
        <w:t xml:space="preserve">Gestion des accusés de réception et des échecs de livraison avec repli automatique vers un canal alternatif</w:t>
      </w:r>
    </w:p>
    <w:p>
      <w:r>
        <w:br w:type="page"/>
      </w:r>
    </w:p>
    <w:p>
      <w:pPr>
        <w:pStyle w:val="Heading1"/>
        <w:spacing w:after="200" w:before="400"/>
      </w:pPr>
      <w:r>
        <w:rPr>
          <w:b/>
          <w:bCs/>
          <w:color w:val="1F4E5F"/>
        </w:rPr>
        <w:t xml:space="preserve">PARTIE VII — ENVIRONNEMENTS ET DÉPLOIEMENT</w:t>
      </w:r>
    </w:p>
    <w:p>
      <w:pPr>
        <w:pStyle w:val="Heading2"/>
        <w:spacing w:after="150" w:before="300"/>
      </w:pPr>
      <w:r>
        <w:rPr>
          <w:b/>
          <w:bCs/>
          <w:color w:val="2E86AB"/>
        </w:rPr>
        <w:t xml:space="preserve">7.1 Environnements</w:t>
      </w:r>
    </w:p>
    <w:p>
      <w:pPr>
        <w:pStyle w:val="ListParagraph"/>
        <w:numPr>
          <w:ilvl w:val="0"/>
          <w:numId w:val="2"/>
        </w:numPr>
        <w:spacing w:after="80"/>
      </w:pPr>
      <w:r>
        <w:t xml:space="preserve">Développement : environnement local conteneurisé (Docker Compose), données fictives</w:t>
      </w:r>
    </w:p>
    <w:p>
      <w:pPr>
        <w:pStyle w:val="ListParagraph"/>
        <w:numPr>
          <w:ilvl w:val="0"/>
          <w:numId w:val="2"/>
        </w:numPr>
        <w:spacing w:after="80"/>
      </w:pPr>
      <w:r>
        <w:t xml:space="preserve">Recette / Staging : environnement miroir de la production, utilisé pour la validation fonctionnelle avant mise en service</w:t>
      </w:r>
    </w:p>
    <w:p>
      <w:pPr>
        <w:pStyle w:val="ListParagraph"/>
        <w:numPr>
          <w:ilvl w:val="0"/>
          <w:numId w:val="2"/>
        </w:numPr>
        <w:spacing w:after="80"/>
      </w:pPr>
      <w:r>
        <w:t xml:space="preserve">Production : environnement hébergé en cloud, répliqué pour la haute disponibilité</w:t>
      </w:r>
    </w:p>
    <w:p>
      <w:pPr>
        <w:pStyle w:val="Heading2"/>
        <w:spacing w:after="150" w:before="300"/>
      </w:pPr>
      <w:r>
        <w:rPr>
          <w:b/>
          <w:bCs/>
          <w:color w:val="2E86AB"/>
        </w:rPr>
        <w:t xml:space="preserve">7.2 Conteneurisation</w:t>
      </w:r>
    </w:p>
    <w:p>
      <w:pPr>
        <w:spacing w:after="150"/>
      </w:pPr>
      <w:r>
        <w:t xml:space="preserve">Chaque composant (backend, service IA, service de notifications, service de chat) est packagé sous forme d'image Docker versionnée, garantissant la reproductibilité entre les environnements. L'orchestration Kubernetes n'est activée qu'à partir du moment où le volume de tenants le justifie ; en dessous de ce seuil, un déploiement Docker Compose ou un service géré de conteneurs suffit.</w:t>
      </w:r>
    </w:p>
    <w:p>
      <w:pPr>
        <w:pStyle w:val="Heading2"/>
        <w:spacing w:after="150" w:before="300"/>
      </w:pPr>
      <w:r>
        <w:rPr>
          <w:b/>
          <w:bCs/>
          <w:color w:val="2E86AB"/>
        </w:rPr>
        <w:t xml:space="preserve">7.3 Intégration et déploiement continus (CI/CD)</w:t>
      </w:r>
    </w:p>
    <w:p>
      <w:pPr>
        <w:pStyle w:val="ListParagraph"/>
        <w:numPr>
          <w:ilvl w:val="0"/>
          <w:numId w:val="2"/>
        </w:numPr>
        <w:spacing w:after="80"/>
      </w:pPr>
      <w:r>
        <w:t xml:space="preserve">Exécution automatique des tests unitaires et d'intégration à chaque contribution</w:t>
      </w:r>
    </w:p>
    <w:p>
      <w:pPr>
        <w:pStyle w:val="ListParagraph"/>
        <w:numPr>
          <w:ilvl w:val="0"/>
          <w:numId w:val="2"/>
        </w:numPr>
        <w:spacing w:after="80"/>
      </w:pPr>
      <w:r>
        <w:t xml:space="preserve">Analyse statique de sécurité (SAST) et de qualité de code intégrée au pipeline</w:t>
      </w:r>
    </w:p>
    <w:p>
      <w:pPr>
        <w:pStyle w:val="ListParagraph"/>
        <w:numPr>
          <w:ilvl w:val="0"/>
          <w:numId w:val="2"/>
        </w:numPr>
        <w:spacing w:after="80"/>
      </w:pPr>
      <w:r>
        <w:t xml:space="preserve">Déploiement automatisé en recette après validation des tests, déploiement en production après validation manuelle</w:t>
      </w:r>
    </w:p>
    <w:p>
      <w:pPr>
        <w:pStyle w:val="Heading2"/>
        <w:spacing w:after="150" w:before="300"/>
      </w:pPr>
      <w:r>
        <w:rPr>
          <w:b/>
          <w:bCs/>
          <w:color w:val="2E86AB"/>
        </w:rPr>
        <w:t xml:space="preserve">7.4 Stratégie de déploiement multi-tenant</w:t>
      </w:r>
    </w:p>
    <w:p>
      <w:pPr>
        <w:spacing w:after="150"/>
      </w:pPr>
      <w:r>
        <w:t xml:space="preserve">L'onboarding d'un nouvel établissement se fait par provisionnement automatisé : création de son espace logique (etablissement_id), initialisation des données de référence, sans interruption de service pour les établissements déjà actifs.</w:t>
      </w:r>
    </w:p>
    <w:p>
      <w:r>
        <w:br w:type="page"/>
      </w:r>
    </w:p>
    <w:p>
      <w:pPr>
        <w:pStyle w:val="Heading1"/>
        <w:spacing w:after="200" w:before="400"/>
      </w:pPr>
      <w:r>
        <w:rPr>
          <w:b/>
          <w:bCs/>
          <w:color w:val="1F4E5F"/>
        </w:rPr>
        <w:t xml:space="preserve">PARTIE VIII — DIMENSIONNEMENT TECHNIQUE ESTIMÉ</w:t>
      </w:r>
    </w:p>
    <w:p>
      <w:pPr>
        <w:spacing w:after="150"/>
      </w:pPr>
      <w:r>
        <w:t xml:space="preserve">Les estimations ci-dessous sont fournies à titre indicatif pour le dimensionnement de l'infrastructure cible, sur la base d'une hypothèse de 50 établissements actifs, moyenne 800 élèves par établissement.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color="auto" w:val="clear"/>
            <w:tcMar>
              <w:top w:type="dxa" w:w="80"/>
              <w:left w:type="dxa" w:w="100"/>
              <w:bottom w:type="dxa" w:w="80"/>
              <w:right w:type="dxa" w:w="100"/>
            </w:tcMar>
            <w:vAlign w:val="center"/>
          </w:tcPr>
          <w:p>
            <w:r>
              <w:rPr>
                <w:b/>
                <w:bCs/>
                <w:color w:val="FFFFFF"/>
                <w:sz w:val="20"/>
                <w:szCs w:val="20"/>
              </w:rPr>
              <w:t xml:space="preserve">Indicateur</w:t>
            </w:r>
          </w:p>
        </w:tc>
        <w:tc>
          <w:tcPr>
            <w:tcW w:type="dxa" w:w="4675"/>
            <w:shd w:fill="1F4E5F" w:color="auto" w:val="clear"/>
            <w:tcMar>
              <w:top w:type="dxa" w:w="80"/>
              <w:left w:type="dxa" w:w="100"/>
              <w:bottom w:type="dxa" w:w="80"/>
              <w:right w:type="dxa" w:w="100"/>
            </w:tcMar>
            <w:vAlign w:val="center"/>
          </w:tcPr>
          <w:p>
            <w:r>
              <w:rPr>
                <w:b/>
                <w:bCs/>
                <w:color w:val="FFFFFF"/>
                <w:sz w:val="20"/>
                <w:szCs w:val="20"/>
              </w:rPr>
              <w:t xml:space="preserve">Estimation</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Élèves actifs (total plateforme)</w:t>
            </w:r>
          </w:p>
        </w:tc>
        <w:tc>
          <w:tcPr>
            <w:tcW w:type="dxa" w:w="4675"/>
            <w:tcMar>
              <w:top w:type="dxa" w:w="80"/>
              <w:left w:type="dxa" w:w="100"/>
              <w:bottom w:type="dxa" w:w="80"/>
              <w:right w:type="dxa" w:w="100"/>
            </w:tcMar>
            <w:vAlign w:val="center"/>
          </w:tcPr>
          <w:p>
            <w:r>
              <w:rPr>
                <w:b w:val="false"/>
                <w:bCs w:val="false"/>
                <w:color w:val="000000"/>
                <w:sz w:val="20"/>
                <w:szCs w:val="20"/>
              </w:rPr>
              <w:t xml:space="preserve">≈ 40 000</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Utilisateurs actifs (élèves + parents + personnel)</w:t>
            </w:r>
          </w:p>
        </w:tc>
        <w:tc>
          <w:tcPr>
            <w:tcW w:type="dxa" w:w="4675"/>
            <w:tcMar>
              <w:top w:type="dxa" w:w="80"/>
              <w:left w:type="dxa" w:w="100"/>
              <w:bottom w:type="dxa" w:w="80"/>
              <w:right w:type="dxa" w:w="100"/>
            </w:tcMar>
            <w:vAlign w:val="center"/>
          </w:tcPr>
          <w:p>
            <w:r>
              <w:rPr>
                <w:b w:val="false"/>
                <w:bCs w:val="false"/>
                <w:color w:val="000000"/>
                <w:sz w:val="20"/>
                <w:szCs w:val="20"/>
              </w:rPr>
              <w:t xml:space="preserve">≈ 150 000</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Requêtes API estimées en heure de pointe</w:t>
            </w:r>
          </w:p>
        </w:tc>
        <w:tc>
          <w:tcPr>
            <w:tcW w:type="dxa" w:w="4675"/>
            <w:tcMar>
              <w:top w:type="dxa" w:w="80"/>
              <w:left w:type="dxa" w:w="100"/>
              <w:bottom w:type="dxa" w:w="80"/>
              <w:right w:type="dxa" w:w="100"/>
            </w:tcMar>
            <w:vAlign w:val="center"/>
          </w:tcPr>
          <w:p>
            <w:r>
              <w:rPr>
                <w:b w:val="false"/>
                <w:bCs w:val="false"/>
                <w:color w:val="000000"/>
                <w:sz w:val="20"/>
                <w:szCs w:val="20"/>
              </w:rPr>
              <w:t xml:space="preserve">≈ 2 000 req/s</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Volume de stockage documentaire estimé (an 1)</w:t>
            </w:r>
          </w:p>
        </w:tc>
        <w:tc>
          <w:tcPr>
            <w:tcW w:type="dxa" w:w="4675"/>
            <w:tcMar>
              <w:top w:type="dxa" w:w="80"/>
              <w:left w:type="dxa" w:w="100"/>
              <w:bottom w:type="dxa" w:w="80"/>
              <w:right w:type="dxa" w:w="100"/>
            </w:tcMar>
            <w:vAlign w:val="center"/>
          </w:tcPr>
          <w:p>
            <w:r>
              <w:rPr>
                <w:b w:val="false"/>
                <w:bCs w:val="false"/>
                <w:color w:val="000000"/>
                <w:sz w:val="20"/>
                <w:szCs w:val="20"/>
              </w:rPr>
              <w:t xml:space="preserve">≈ 2 To</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Volume de la base de données estimé (an 1)</w:t>
            </w:r>
          </w:p>
        </w:tc>
        <w:tc>
          <w:tcPr>
            <w:tcW w:type="dxa" w:w="4675"/>
            <w:tcMar>
              <w:top w:type="dxa" w:w="80"/>
              <w:left w:type="dxa" w:w="100"/>
              <w:bottom w:type="dxa" w:w="80"/>
              <w:right w:type="dxa" w:w="100"/>
            </w:tcMar>
            <w:vAlign w:val="center"/>
          </w:tcPr>
          <w:p>
            <w:r>
              <w:rPr>
                <w:b w:val="false"/>
                <w:bCs w:val="false"/>
                <w:color w:val="000000"/>
                <w:sz w:val="20"/>
                <w:szCs w:val="20"/>
              </w:rPr>
              <w:t xml:space="preserve">≈ 150 Go</w:t>
            </w:r>
          </w:p>
        </w:tc>
      </w:tr>
      <w:tr>
        <w:trPr>
          <w:tblHeader w:val="false"/>
        </w:trPr>
        <w:tc>
          <w:tcPr>
            <w:tcW w:type="dxa" w:w="4675"/>
            <w:tcMar>
              <w:top w:type="dxa" w:w="80"/>
              <w:left w:type="dxa" w:w="100"/>
              <w:bottom w:type="dxa" w:w="80"/>
              <w:right w:type="dxa" w:w="100"/>
            </w:tcMar>
            <w:vAlign w:val="center"/>
          </w:tcPr>
          <w:p>
            <w:r>
              <w:rPr>
                <w:b w:val="false"/>
                <w:bCs w:val="false"/>
                <w:color w:val="000000"/>
                <w:sz w:val="20"/>
                <w:szCs w:val="20"/>
              </w:rPr>
              <w:t xml:space="preserve">Notifications envoyées par jour (SMS/push/email)</w:t>
            </w:r>
          </w:p>
        </w:tc>
        <w:tc>
          <w:tcPr>
            <w:tcW w:type="dxa" w:w="4675"/>
            <w:tcMar>
              <w:top w:type="dxa" w:w="80"/>
              <w:left w:type="dxa" w:w="100"/>
              <w:bottom w:type="dxa" w:w="80"/>
              <w:right w:type="dxa" w:w="100"/>
            </w:tcMar>
            <w:vAlign w:val="center"/>
          </w:tcPr>
          <w:p>
            <w:r>
              <w:rPr>
                <w:b w:val="false"/>
                <w:bCs w:val="false"/>
                <w:color w:val="000000"/>
                <w:sz w:val="20"/>
                <w:szCs w:val="20"/>
              </w:rPr>
              <w:t xml:space="preserve">≈ 80 000</w:t>
            </w:r>
          </w:p>
        </w:tc>
      </w:tr>
    </w:tbl>
    <w:p>
      <w:pPr>
        <w:spacing w:before="300"/>
      </w:pPr>
    </w:p>
    <w:p>
      <w:pPr>
        <w:spacing w:after="150"/>
      </w:pPr>
      <w:r>
        <w:rPr>
          <w:i/>
          <w:iCs/>
        </w:rPr>
        <w:t xml:space="preserve">Ce dimensionnement sera affiné dans le Volume 3 (Architecture logicielle) sur la base de tests de charge réels menés en environnement de recette.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Cahier des spécifications techniques — Volume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2026-07-26T05:15:12.784Z</dcterms:created>
  <dcterms:modified xsi:type="dcterms:W3CDTF">2026-07-26T05:15:12.784Z</dcterms:modified>
</cp:coreProperties>
</file>

<file path=docProps/custom.xml><?xml version="1.0" encoding="utf-8"?>
<Properties xmlns="http://schemas.openxmlformats.org/officeDocument/2006/custom-properties" xmlns:vt="http://schemas.openxmlformats.org/officeDocument/2006/docPropsVTypes"/>
</file>