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5F"/>
          <w:sz w:val="52"/>
          <w:szCs w:val="52"/>
        </w:rPr>
        <w:t xml:space="preserve">DOCUMENTATION API</w:t>
      </w:r>
    </w:p>
    <w:p>
      <w:pPr>
        <w:spacing w:before="300"/>
        <w:jc w:val="center"/>
      </w:pPr>
      <w:r>
        <w:rPr>
          <w:b/>
          <w:bCs/>
          <w:color w:val="2E86AB"/>
          <w:sz w:val="36"/>
          <w:szCs w:val="36"/>
        </w:rPr>
        <w:t xml:space="preserve">VOLUME 6</w:t>
      </w:r>
    </w:p>
    <w:p>
      <w:pPr>
        <w:spacing w:before="600"/>
        <w:jc w:val="center"/>
      </w:pPr>
      <w:r>
        <w:rPr>
          <w:sz w:val="28"/>
          <w:szCs w:val="28"/>
        </w:rPr>
        <w:t xml:space="preserve">Système ERP Intelligent de Gestion d'Établissements Scolaires</w:t>
      </w:r>
    </w:p>
    <w:p>
      <w:pPr>
        <w:spacing w:before="100"/>
        <w:jc w:val="center"/>
      </w:pPr>
      <w:r>
        <w:rPr>
          <w:i/>
          <w:iCs/>
          <w:color w:val="2E86AB"/>
          <w:sz w:val="28"/>
          <w:szCs w:val="28"/>
        </w:rPr>
        <w:t xml:space="preserve">EDUCORE — School ERP Africa</w:t>
      </w:r>
    </w:p>
    <w:p>
      <w:pPr>
        <w:spacing w:before="1200"/>
        <w:jc w:val="center"/>
      </w:pPr>
      <w:r>
        <w:rPr>
          <w:sz w:val="24"/>
          <w:szCs w:val="24"/>
        </w:rPr>
        <w:t xml:space="preserve">Version 1.0</w:t>
      </w:r>
    </w:p>
    <w:p>
      <w:pPr>
        <w:spacing w:before="100"/>
        <w:jc w:val="center"/>
      </w:pPr>
      <w:r>
        <w:rPr>
          <w:sz w:val="24"/>
          <w:szCs w:val="24"/>
        </w:rPr>
        <w:t xml:space="preserve">Juillet 2026</w:t>
      </w:r>
    </w:p>
    <w:p>
      <w:pPr>
        <w:spacing w:before="1600"/>
        <w:jc w:val="center"/>
      </w:pPr>
      <w:r>
        <w:rPr>
          <w:i/>
          <w:iCs/>
          <w:color w:val="888888"/>
          <w:sz w:val="18"/>
          <w:szCs w:val="18"/>
        </w:rPr>
        <w:t xml:space="preserve">Document confidentiel — usage interne au projet</w:t>
      </w:r>
    </w:p>
    <w:p>
      <w:r>
        <w:br w:type="page"/>
      </w:r>
    </w:p>
    <w:p>
      <w:pPr>
        <w:pStyle w:val="Heading1"/>
        <w:spacing w:after="300" w:before="400"/>
      </w:pPr>
      <w:r>
        <w:rPr>
          <w:b/>
          <w:bCs/>
          <w:color w:val="1F4E5F"/>
        </w:rPr>
        <w:t xml:space="preserve">TABLE DES MATIÈRES</w:t>
      </w:r>
    </w:p>
    <w:p>
      <w:pPr>
        <w:spacing w:after="160"/>
        <w:ind w:left="0"/>
      </w:pPr>
      <w:r>
        <w:rPr>
          <w:b/>
          <w:bCs/>
          <w:color w:val="1F4E5F"/>
          <w:sz w:val="22"/>
          <w:szCs w:val="22"/>
        </w:rPr>
        <w:t xml:space="preserve">PARTIE I — INTRODUCTION</w:t>
      </w:r>
      <w:r>
        <w:ptab w:alignment="right" w:relativeTo="margin" w:leader="dot"/>
      </w:r>
      <w:r>
        <w:rPr>
          <w:sz w:val="22"/>
          <w:szCs w:val="22"/>
        </w:rPr>
        <w:t xml:space="preserve">4</w:t>
      </w:r>
    </w:p>
    <w:p>
      <w:pPr>
        <w:spacing w:after="80"/>
        <w:ind w:left="360"/>
      </w:pPr>
      <w:r>
        <w:rPr>
          <w:b w:val="false"/>
          <w:bCs w:val="false"/>
          <w:color w:val="000000"/>
          <w:sz w:val="20"/>
          <w:szCs w:val="20"/>
        </w:rPr>
        <w:t xml:space="preserve">1.1 Objet du document</w:t>
      </w:r>
      <w:r>
        <w:ptab w:alignment="right" w:relativeTo="margin" w:leader="dot"/>
      </w:r>
      <w:r>
        <w:rPr>
          <w:sz w:val="20"/>
          <w:szCs w:val="20"/>
        </w:rPr>
        <w:t xml:space="preserve">4</w:t>
      </w:r>
    </w:p>
    <w:p>
      <w:pPr>
        <w:spacing w:after="80"/>
        <w:ind w:left="360"/>
      </w:pPr>
      <w:r>
        <w:rPr>
          <w:b w:val="false"/>
          <w:bCs w:val="false"/>
          <w:color w:val="000000"/>
          <w:sz w:val="20"/>
          <w:szCs w:val="20"/>
        </w:rPr>
        <w:t xml:space="preserve">1.2 URL de base et versionnement</w:t>
      </w:r>
      <w:r>
        <w:ptab w:alignment="right" w:relativeTo="margin" w:leader="dot"/>
      </w:r>
      <w:r>
        <w:rPr>
          <w:sz w:val="20"/>
          <w:szCs w:val="20"/>
        </w:rPr>
        <w:t xml:space="preserve">4</w:t>
      </w:r>
    </w:p>
    <w:p>
      <w:pPr>
        <w:spacing w:after="80"/>
        <w:ind w:left="360"/>
      </w:pPr>
      <w:r>
        <w:rPr>
          <w:b w:val="false"/>
          <w:bCs w:val="false"/>
          <w:color w:val="000000"/>
          <w:sz w:val="20"/>
          <w:szCs w:val="20"/>
        </w:rPr>
        <w:t xml:space="preserve">1.3 Format des échanges</w:t>
      </w:r>
      <w:r>
        <w:ptab w:alignment="right" w:relativeTo="margin" w:leader="dot"/>
      </w:r>
      <w:r>
        <w:rPr>
          <w:sz w:val="20"/>
          <w:szCs w:val="20"/>
        </w:rPr>
        <w:t xml:space="preserve">4</w:t>
      </w:r>
    </w:p>
    <w:p>
      <w:pPr>
        <w:spacing w:after="160"/>
        <w:ind w:left="0"/>
      </w:pPr>
      <w:r>
        <w:rPr>
          <w:b/>
          <w:bCs/>
          <w:color w:val="1F4E5F"/>
          <w:sz w:val="22"/>
          <w:szCs w:val="22"/>
        </w:rPr>
        <w:t xml:space="preserve">PARTIE II — CONVENTIONS GÉNÉRALES</w:t>
      </w:r>
      <w:r>
        <w:ptab w:alignment="right" w:relativeTo="margin" w:leader="dot"/>
      </w:r>
      <w:r>
        <w:rPr>
          <w:sz w:val="22"/>
          <w:szCs w:val="22"/>
        </w:rPr>
        <w:t xml:space="preserve">5</w:t>
      </w:r>
    </w:p>
    <w:p>
      <w:pPr>
        <w:spacing w:after="80"/>
        <w:ind w:left="360"/>
      </w:pPr>
      <w:r>
        <w:rPr>
          <w:b w:val="false"/>
          <w:bCs w:val="false"/>
          <w:color w:val="000000"/>
          <w:sz w:val="20"/>
          <w:szCs w:val="20"/>
        </w:rPr>
        <w:t xml:space="preserve">2.1 Authentification</w:t>
      </w:r>
      <w:r>
        <w:ptab w:alignment="right" w:relativeTo="margin" w:leader="dot"/>
      </w:r>
      <w:r>
        <w:rPr>
          <w:sz w:val="20"/>
          <w:szCs w:val="20"/>
        </w:rPr>
        <w:t xml:space="preserve">5</w:t>
      </w:r>
    </w:p>
    <w:p>
      <w:pPr>
        <w:spacing w:after="80"/>
        <w:ind w:left="360"/>
      </w:pPr>
      <w:r>
        <w:rPr>
          <w:b w:val="false"/>
          <w:bCs w:val="false"/>
          <w:color w:val="000000"/>
          <w:sz w:val="20"/>
          <w:szCs w:val="20"/>
        </w:rPr>
        <w:t xml:space="preserve">2.2 Pagination</w:t>
      </w:r>
      <w:r>
        <w:ptab w:alignment="right" w:relativeTo="margin" w:leader="dot"/>
      </w:r>
      <w:r>
        <w:rPr>
          <w:sz w:val="20"/>
          <w:szCs w:val="20"/>
        </w:rPr>
        <w:t xml:space="preserve">5</w:t>
      </w:r>
    </w:p>
    <w:p>
      <w:pPr>
        <w:spacing w:after="80"/>
        <w:ind w:left="360"/>
      </w:pPr>
      <w:r>
        <w:rPr>
          <w:b w:val="false"/>
          <w:bCs w:val="false"/>
          <w:color w:val="000000"/>
          <w:sz w:val="20"/>
          <w:szCs w:val="20"/>
        </w:rPr>
        <w:t xml:space="preserve">2.3 Format des erreurs</w:t>
      </w:r>
      <w:r>
        <w:ptab w:alignment="right" w:relativeTo="margin" w:leader="dot"/>
      </w:r>
      <w:r>
        <w:rPr>
          <w:sz w:val="20"/>
          <w:szCs w:val="20"/>
        </w:rPr>
        <w:t xml:space="preserve">5</w:t>
      </w:r>
    </w:p>
    <w:p>
      <w:pPr>
        <w:spacing w:after="80"/>
        <w:ind w:left="360"/>
      </w:pPr>
      <w:r>
        <w:rPr>
          <w:b w:val="false"/>
          <w:bCs w:val="false"/>
          <w:color w:val="000000"/>
          <w:sz w:val="20"/>
          <w:szCs w:val="20"/>
        </w:rPr>
        <w:t xml:space="preserve">2.4 Codes HTTP standards utilisés</w:t>
      </w:r>
      <w:r>
        <w:ptab w:alignment="right" w:relativeTo="margin" w:leader="dot"/>
      </w:r>
      <w:r>
        <w:rPr>
          <w:sz w:val="20"/>
          <w:szCs w:val="20"/>
        </w:rPr>
        <w:t xml:space="preserve">5</w:t>
      </w:r>
    </w:p>
    <w:p>
      <w:pPr>
        <w:spacing w:after="80"/>
        <w:ind w:left="360"/>
      </w:pPr>
      <w:r>
        <w:rPr>
          <w:b w:val="false"/>
          <w:bCs w:val="false"/>
          <w:color w:val="000000"/>
          <w:sz w:val="20"/>
          <w:szCs w:val="20"/>
        </w:rPr>
        <w:t xml:space="preserve">2.5 Idempotence</w:t>
      </w:r>
      <w:r>
        <w:ptab w:alignment="right" w:relativeTo="margin" w:leader="dot"/>
      </w:r>
      <w:r>
        <w:rPr>
          <w:sz w:val="20"/>
          <w:szCs w:val="20"/>
        </w:rPr>
        <w:t xml:space="preserve">6</w:t>
      </w:r>
    </w:p>
    <w:p>
      <w:pPr>
        <w:spacing w:after="80"/>
        <w:ind w:left="360"/>
      </w:pPr>
      <w:r>
        <w:rPr>
          <w:b w:val="false"/>
          <w:bCs w:val="false"/>
          <w:color w:val="000000"/>
          <w:sz w:val="20"/>
          <w:szCs w:val="20"/>
        </w:rPr>
        <w:t xml:space="preserve">2.6 Limitation de débit (rate limiting)</w:t>
      </w:r>
      <w:r>
        <w:ptab w:alignment="right" w:relativeTo="margin" w:leader="dot"/>
      </w:r>
      <w:r>
        <w:rPr>
          <w:sz w:val="20"/>
          <w:szCs w:val="20"/>
        </w:rPr>
        <w:t xml:space="preserve">6</w:t>
      </w:r>
    </w:p>
    <w:p>
      <w:pPr>
        <w:spacing w:after="160"/>
        <w:ind w:left="0"/>
      </w:pPr>
      <w:r>
        <w:rPr>
          <w:b/>
          <w:bCs/>
          <w:color w:val="1F4E5F"/>
          <w:sz w:val="22"/>
          <w:szCs w:val="22"/>
        </w:rPr>
        <w:t xml:space="preserve">PARTIE III — ENDPOINTS PAR MODULE</w:t>
      </w:r>
      <w:r>
        <w:ptab w:alignment="right" w:relativeTo="margin" w:leader="dot"/>
      </w:r>
      <w:r>
        <w:rPr>
          <w:sz w:val="22"/>
          <w:szCs w:val="22"/>
        </w:rPr>
        <w:t xml:space="preserve">7</w:t>
      </w:r>
    </w:p>
    <w:p>
      <w:pPr>
        <w:spacing w:after="80"/>
        <w:ind w:left="360"/>
      </w:pPr>
      <w:r>
        <w:rPr>
          <w:b w:val="false"/>
          <w:bCs w:val="false"/>
          <w:color w:val="000000"/>
          <w:sz w:val="20"/>
          <w:szCs w:val="20"/>
        </w:rPr>
        <w:t xml:space="preserve">Module 1 — Utilisateurs et rôles</w:t>
      </w:r>
      <w:r>
        <w:ptab w:alignment="right" w:relativeTo="margin" w:leader="dot"/>
      </w:r>
      <w:r>
        <w:rPr>
          <w:sz w:val="20"/>
          <w:szCs w:val="20"/>
        </w:rPr>
        <w:t xml:space="preserve">7</w:t>
      </w:r>
    </w:p>
    <w:p>
      <w:pPr>
        <w:spacing w:after="80"/>
        <w:ind w:left="360"/>
      </w:pPr>
      <w:r>
        <w:rPr>
          <w:b w:val="false"/>
          <w:bCs w:val="false"/>
          <w:color w:val="000000"/>
          <w:sz w:val="20"/>
          <w:szCs w:val="20"/>
        </w:rPr>
        <w:t xml:space="preserve">Module 2 — Élèves</w:t>
      </w:r>
      <w:r>
        <w:ptab w:alignment="right" w:relativeTo="margin" w:leader="dot"/>
      </w:r>
      <w:r>
        <w:rPr>
          <w:sz w:val="20"/>
          <w:szCs w:val="20"/>
        </w:rPr>
        <w:t xml:space="preserve">7</w:t>
      </w:r>
    </w:p>
    <w:p>
      <w:pPr>
        <w:spacing w:after="80"/>
        <w:ind w:left="360"/>
      </w:pPr>
      <w:r>
        <w:rPr>
          <w:b w:val="false"/>
          <w:bCs w:val="false"/>
          <w:color w:val="000000"/>
          <w:sz w:val="20"/>
          <w:szCs w:val="20"/>
        </w:rPr>
        <w:t xml:space="preserve">Module 3 — Parents</w:t>
      </w:r>
      <w:r>
        <w:ptab w:alignment="right" w:relativeTo="margin" w:leader="dot"/>
      </w:r>
      <w:r>
        <w:rPr>
          <w:sz w:val="20"/>
          <w:szCs w:val="20"/>
        </w:rPr>
        <w:t xml:space="preserve">7</w:t>
      </w:r>
    </w:p>
    <w:p>
      <w:pPr>
        <w:spacing w:after="80"/>
        <w:ind w:left="360"/>
      </w:pPr>
      <w:r>
        <w:rPr>
          <w:b w:val="false"/>
          <w:bCs w:val="false"/>
          <w:color w:val="000000"/>
          <w:sz w:val="20"/>
          <w:szCs w:val="20"/>
        </w:rPr>
        <w:t xml:space="preserve">Module 4 — Enseignants et personnel</w:t>
      </w:r>
      <w:r>
        <w:ptab w:alignment="right" w:relativeTo="margin" w:leader="dot"/>
      </w:r>
      <w:r>
        <w:rPr>
          <w:sz w:val="20"/>
          <w:szCs w:val="20"/>
        </w:rPr>
        <w:t xml:space="preserve">7</w:t>
      </w:r>
    </w:p>
    <w:p>
      <w:pPr>
        <w:spacing w:after="80"/>
        <w:ind w:left="360"/>
      </w:pPr>
      <w:r>
        <w:rPr>
          <w:b w:val="false"/>
          <w:bCs w:val="false"/>
          <w:color w:val="000000"/>
          <w:sz w:val="20"/>
          <w:szCs w:val="20"/>
        </w:rPr>
        <w:t xml:space="preserve">Module 5 — Classes</w:t>
      </w:r>
      <w:r>
        <w:ptab w:alignment="right" w:relativeTo="margin" w:leader="dot"/>
      </w:r>
      <w:r>
        <w:rPr>
          <w:sz w:val="20"/>
          <w:szCs w:val="20"/>
        </w:rPr>
        <w:t xml:space="preserve">8</w:t>
      </w:r>
    </w:p>
    <w:p>
      <w:pPr>
        <w:spacing w:after="80"/>
        <w:ind w:left="360"/>
      </w:pPr>
      <w:r>
        <w:rPr>
          <w:b w:val="false"/>
          <w:bCs w:val="false"/>
          <w:color w:val="000000"/>
          <w:sz w:val="20"/>
          <w:szCs w:val="20"/>
        </w:rPr>
        <w:t xml:space="preserve">Module 6 — Matières</w:t>
      </w:r>
      <w:r>
        <w:ptab w:alignment="right" w:relativeTo="margin" w:leader="dot"/>
      </w:r>
      <w:r>
        <w:rPr>
          <w:sz w:val="20"/>
          <w:szCs w:val="20"/>
        </w:rPr>
        <w:t xml:space="preserve">8</w:t>
      </w:r>
    </w:p>
    <w:p>
      <w:pPr>
        <w:spacing w:after="80"/>
        <w:ind w:left="360"/>
      </w:pPr>
      <w:r>
        <w:rPr>
          <w:b w:val="false"/>
          <w:bCs w:val="false"/>
          <w:color w:val="000000"/>
          <w:sz w:val="20"/>
          <w:szCs w:val="20"/>
        </w:rPr>
        <w:t xml:space="preserve">Module 7 — Emploi du temps</w:t>
      </w:r>
      <w:r>
        <w:ptab w:alignment="right" w:relativeTo="margin" w:leader="dot"/>
      </w:r>
      <w:r>
        <w:rPr>
          <w:sz w:val="20"/>
          <w:szCs w:val="20"/>
        </w:rPr>
        <w:t xml:space="preserve">8</w:t>
      </w:r>
    </w:p>
    <w:p>
      <w:pPr>
        <w:spacing w:after="80"/>
        <w:ind w:left="360"/>
      </w:pPr>
      <w:r>
        <w:rPr>
          <w:b w:val="false"/>
          <w:bCs w:val="false"/>
          <w:color w:val="000000"/>
          <w:sz w:val="20"/>
          <w:szCs w:val="20"/>
        </w:rPr>
        <w:t xml:space="preserve">Module 8 — Notes et évaluations</w:t>
      </w:r>
      <w:r>
        <w:ptab w:alignment="right" w:relativeTo="margin" w:leader="dot"/>
      </w:r>
      <w:r>
        <w:rPr>
          <w:sz w:val="20"/>
          <w:szCs w:val="20"/>
        </w:rPr>
        <w:t xml:space="preserve">8</w:t>
      </w:r>
    </w:p>
    <w:p>
      <w:pPr>
        <w:spacing w:after="80"/>
        <w:ind w:left="360"/>
      </w:pPr>
      <w:r>
        <w:rPr>
          <w:b w:val="false"/>
          <w:bCs w:val="false"/>
          <w:color w:val="000000"/>
          <w:sz w:val="20"/>
          <w:szCs w:val="20"/>
        </w:rPr>
        <w:t xml:space="preserve">Module 9 — Bulletins</w:t>
      </w:r>
      <w:r>
        <w:ptab w:alignment="right" w:relativeTo="margin" w:leader="dot"/>
      </w:r>
      <w:r>
        <w:rPr>
          <w:sz w:val="20"/>
          <w:szCs w:val="20"/>
        </w:rPr>
        <w:t xml:space="preserve">9</w:t>
      </w:r>
    </w:p>
    <w:p>
      <w:pPr>
        <w:spacing w:after="80"/>
        <w:ind w:left="360"/>
      </w:pPr>
      <w:r>
        <w:rPr>
          <w:b w:val="false"/>
          <w:bCs w:val="false"/>
          <w:color w:val="000000"/>
          <w:sz w:val="20"/>
          <w:szCs w:val="20"/>
        </w:rPr>
        <w:t xml:space="preserve">Module 10 — Cahier de texte et devoirs</w:t>
      </w:r>
      <w:r>
        <w:ptab w:alignment="right" w:relativeTo="margin" w:leader="dot"/>
      </w:r>
      <w:r>
        <w:rPr>
          <w:sz w:val="20"/>
          <w:szCs w:val="20"/>
        </w:rPr>
        <w:t xml:space="preserve">9</w:t>
      </w:r>
    </w:p>
    <w:p>
      <w:pPr>
        <w:spacing w:after="80"/>
        <w:ind w:left="360"/>
      </w:pPr>
      <w:r>
        <w:rPr>
          <w:b w:val="false"/>
          <w:bCs w:val="false"/>
          <w:color w:val="000000"/>
          <w:sz w:val="20"/>
          <w:szCs w:val="20"/>
        </w:rPr>
        <w:t xml:space="preserve">Module 12 — Présence</w:t>
      </w:r>
      <w:r>
        <w:ptab w:alignment="right" w:relativeTo="margin" w:leader="dot"/>
      </w:r>
      <w:r>
        <w:rPr>
          <w:sz w:val="20"/>
          <w:szCs w:val="20"/>
        </w:rPr>
        <w:t xml:space="preserve">9</w:t>
      </w:r>
    </w:p>
    <w:p>
      <w:pPr>
        <w:spacing w:after="80"/>
        <w:ind w:left="360"/>
      </w:pPr>
      <w:r>
        <w:rPr>
          <w:b w:val="false"/>
          <w:bCs w:val="false"/>
          <w:color w:val="000000"/>
          <w:sz w:val="20"/>
          <w:szCs w:val="20"/>
        </w:rPr>
        <w:t xml:space="preserve">Module 13 — Discipline</w:t>
      </w:r>
      <w:r>
        <w:ptab w:alignment="right" w:relativeTo="margin" w:leader="dot"/>
      </w:r>
      <w:r>
        <w:rPr>
          <w:sz w:val="20"/>
          <w:szCs w:val="20"/>
        </w:rPr>
        <w:t xml:space="preserve">9</w:t>
      </w:r>
    </w:p>
    <w:p>
      <w:pPr>
        <w:spacing w:after="80"/>
        <w:ind w:left="360"/>
      </w:pPr>
      <w:r>
        <w:rPr>
          <w:b w:val="false"/>
          <w:bCs w:val="false"/>
          <w:color w:val="000000"/>
          <w:sz w:val="20"/>
          <w:szCs w:val="20"/>
        </w:rPr>
        <w:t xml:space="preserve">Module 14 — Paiement</w:t>
      </w:r>
      <w:r>
        <w:ptab w:alignment="right" w:relativeTo="margin" w:leader="dot"/>
      </w:r>
      <w:r>
        <w:rPr>
          <w:sz w:val="20"/>
          <w:szCs w:val="20"/>
        </w:rPr>
        <w:t xml:space="preserve">9</w:t>
      </w:r>
    </w:p>
    <w:p>
      <w:pPr>
        <w:spacing w:after="80"/>
        <w:ind w:left="360"/>
      </w:pPr>
      <w:r>
        <w:rPr>
          <w:b w:val="false"/>
          <w:bCs w:val="false"/>
          <w:color w:val="000000"/>
          <w:sz w:val="20"/>
          <w:szCs w:val="20"/>
        </w:rPr>
        <w:t xml:space="preserve">Module 15 — Comptabilité</w:t>
      </w:r>
      <w:r>
        <w:ptab w:alignment="right" w:relativeTo="margin" w:leader="dot"/>
      </w:r>
      <w:r>
        <w:rPr>
          <w:sz w:val="20"/>
          <w:szCs w:val="20"/>
        </w:rPr>
        <w:t xml:space="preserve">10</w:t>
      </w:r>
    </w:p>
    <w:p>
      <w:pPr>
        <w:spacing w:after="80"/>
        <w:ind w:left="360"/>
      </w:pPr>
      <w:r>
        <w:rPr>
          <w:b w:val="false"/>
          <w:bCs w:val="false"/>
          <w:color w:val="000000"/>
          <w:sz w:val="20"/>
          <w:szCs w:val="20"/>
        </w:rPr>
        <w:t xml:space="preserve">Module 16 — Bibliothèque</w:t>
      </w:r>
      <w:r>
        <w:ptab w:alignment="right" w:relativeTo="margin" w:leader="dot"/>
      </w:r>
      <w:r>
        <w:rPr>
          <w:sz w:val="20"/>
          <w:szCs w:val="20"/>
        </w:rPr>
        <w:t xml:space="preserve">10</w:t>
      </w:r>
    </w:p>
    <w:p>
      <w:pPr>
        <w:spacing w:after="80"/>
        <w:ind w:left="360"/>
      </w:pPr>
      <w:r>
        <w:rPr>
          <w:b w:val="false"/>
          <w:bCs w:val="false"/>
          <w:color w:val="000000"/>
          <w:sz w:val="20"/>
          <w:szCs w:val="20"/>
        </w:rPr>
        <w:t xml:space="preserve">Module 17 — Infirmerie</w:t>
      </w:r>
      <w:r>
        <w:ptab w:alignment="right" w:relativeTo="margin" w:leader="dot"/>
      </w:r>
      <w:r>
        <w:rPr>
          <w:sz w:val="20"/>
          <w:szCs w:val="20"/>
        </w:rPr>
        <w:t xml:space="preserve">10</w:t>
      </w:r>
    </w:p>
    <w:p>
      <w:pPr>
        <w:spacing w:after="80"/>
        <w:ind w:left="360"/>
      </w:pPr>
      <w:r>
        <w:rPr>
          <w:b w:val="false"/>
          <w:bCs w:val="false"/>
          <w:color w:val="000000"/>
          <w:sz w:val="20"/>
          <w:szCs w:val="20"/>
        </w:rPr>
        <w:t xml:space="preserve">Module 18 — Transport scolaire</w:t>
      </w:r>
      <w:r>
        <w:ptab w:alignment="right" w:relativeTo="margin" w:leader="dot"/>
      </w:r>
      <w:r>
        <w:rPr>
          <w:sz w:val="20"/>
          <w:szCs w:val="20"/>
        </w:rPr>
        <w:t xml:space="preserve">10</w:t>
      </w:r>
    </w:p>
    <w:p>
      <w:pPr>
        <w:spacing w:after="80"/>
        <w:ind w:left="360"/>
      </w:pPr>
      <w:r>
        <w:rPr>
          <w:b w:val="false"/>
          <w:bCs w:val="false"/>
          <w:color w:val="000000"/>
          <w:sz w:val="20"/>
          <w:szCs w:val="20"/>
        </w:rPr>
        <w:t xml:space="preserve">Module 19 — Cantine</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21 — Gestion documentaire</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22 — Chat</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23 — Réunions</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24 — Notifications</w:t>
      </w:r>
      <w:r>
        <w:ptab w:alignment="right" w:relativeTo="margin" w:leader="dot"/>
      </w:r>
      <w:r>
        <w:rPr>
          <w:sz w:val="20"/>
          <w:szCs w:val="20"/>
        </w:rPr>
        <w:t xml:space="preserve">11</w:t>
      </w:r>
    </w:p>
    <w:p>
      <w:pPr>
        <w:spacing w:after="80"/>
        <w:ind w:left="360"/>
      </w:pPr>
      <w:r>
        <w:rPr>
          <w:b w:val="false"/>
          <w:bCs w:val="false"/>
          <w:color w:val="000000"/>
          <w:sz w:val="20"/>
          <w:szCs w:val="20"/>
        </w:rPr>
        <w:t xml:space="preserve">Module 25 — Intelligence artificielle</w:t>
      </w:r>
      <w:r>
        <w:ptab w:alignment="right" w:relativeTo="margin" w:leader="dot"/>
      </w:r>
      <w:r>
        <w:rPr>
          <w:sz w:val="20"/>
          <w:szCs w:val="20"/>
        </w:rPr>
        <w:t xml:space="preserve">12</w:t>
      </w:r>
    </w:p>
    <w:p>
      <w:pPr>
        <w:spacing w:after="80"/>
        <w:ind w:left="360"/>
      </w:pPr>
      <w:r>
        <w:rPr>
          <w:b w:val="false"/>
          <w:bCs w:val="false"/>
          <w:color w:val="000000"/>
          <w:sz w:val="20"/>
          <w:szCs w:val="20"/>
        </w:rPr>
        <w:t xml:space="preserve">Module 28 — Sécurité</w:t>
      </w:r>
      <w:r>
        <w:ptab w:alignment="right" w:relativeTo="margin" w:leader="dot"/>
      </w:r>
      <w:r>
        <w:rPr>
          <w:sz w:val="20"/>
          <w:szCs w:val="20"/>
        </w:rPr>
        <w:t xml:space="preserve">12</w:t>
      </w:r>
    </w:p>
    <w:p>
      <w:pPr>
        <w:spacing w:after="80"/>
        <w:ind w:left="360"/>
      </w:pPr>
      <w:r>
        <w:rPr>
          <w:b w:val="false"/>
          <w:bCs w:val="false"/>
          <w:color w:val="000000"/>
          <w:sz w:val="20"/>
          <w:szCs w:val="20"/>
        </w:rPr>
        <w:t xml:space="preserve">Module 30 — API et intégrations externes</w:t>
      </w:r>
      <w:r>
        <w:ptab w:alignment="right" w:relativeTo="margin" w:leader="dot"/>
      </w:r>
      <w:r>
        <w:rPr>
          <w:sz w:val="20"/>
          <w:szCs w:val="20"/>
        </w:rPr>
        <w:t xml:space="preserve">12</w:t>
      </w:r>
    </w:p>
    <w:p>
      <w:pPr>
        <w:spacing w:after="160"/>
        <w:ind w:left="0"/>
      </w:pPr>
      <w:r>
        <w:rPr>
          <w:b/>
          <w:bCs/>
          <w:color w:val="1F4E5F"/>
          <w:sz w:val="22"/>
          <w:szCs w:val="22"/>
        </w:rPr>
        <w:t xml:space="preserve">PARTIE IV — EXEMPLES DE REQUÊTES ET RÉPONSES</w:t>
      </w:r>
      <w:r>
        <w:ptab w:alignment="right" w:relativeTo="margin" w:leader="dot"/>
      </w:r>
      <w:r>
        <w:rPr>
          <w:sz w:val="22"/>
          <w:szCs w:val="22"/>
        </w:rPr>
        <w:t xml:space="preserve">13</w:t>
      </w:r>
    </w:p>
    <w:p>
      <w:pPr>
        <w:spacing w:after="80"/>
        <w:ind w:left="360"/>
      </w:pPr>
      <w:r>
        <w:rPr>
          <w:b w:val="false"/>
          <w:bCs w:val="false"/>
          <w:color w:val="000000"/>
          <w:sz w:val="20"/>
          <w:szCs w:val="20"/>
        </w:rPr>
        <w:t xml:space="preserve">4.1 Authentification</w:t>
      </w:r>
      <w:r>
        <w:ptab w:alignment="right" w:relativeTo="margin" w:leader="dot"/>
      </w:r>
      <w:r>
        <w:rPr>
          <w:sz w:val="20"/>
          <w:szCs w:val="20"/>
        </w:rPr>
        <w:t xml:space="preserve">13</w:t>
      </w:r>
    </w:p>
    <w:p>
      <w:pPr>
        <w:spacing w:after="80"/>
        <w:ind w:left="360"/>
      </w:pPr>
      <w:r>
        <w:rPr>
          <w:b w:val="false"/>
          <w:bCs w:val="false"/>
          <w:color w:val="000000"/>
          <w:sz w:val="20"/>
          <w:szCs w:val="20"/>
        </w:rPr>
        <w:t xml:space="preserve">4.2 Saisie de notes</w:t>
      </w:r>
      <w:r>
        <w:ptab w:alignment="right" w:relativeTo="margin" w:leader="dot"/>
      </w:r>
      <w:r>
        <w:rPr>
          <w:sz w:val="20"/>
          <w:szCs w:val="20"/>
        </w:rPr>
        <w:t xml:space="preserve">13</w:t>
      </w:r>
    </w:p>
    <w:p>
      <w:pPr>
        <w:spacing w:after="80"/>
        <w:ind w:left="360"/>
      </w:pPr>
      <w:r>
        <w:rPr>
          <w:b w:val="false"/>
          <w:bCs w:val="false"/>
          <w:color w:val="000000"/>
          <w:sz w:val="20"/>
          <w:szCs w:val="20"/>
        </w:rPr>
        <w:t xml:space="preserve">4.3 Initiation d'un paiement mobile</w:t>
      </w:r>
      <w:r>
        <w:ptab w:alignment="right" w:relativeTo="margin" w:leader="dot"/>
      </w:r>
      <w:r>
        <w:rPr>
          <w:sz w:val="20"/>
          <w:szCs w:val="20"/>
        </w:rPr>
        <w:t xml:space="preserve">13</w:t>
      </w:r>
    </w:p>
    <w:p>
      <w:pPr>
        <w:spacing w:after="80"/>
        <w:ind w:left="360"/>
      </w:pPr>
      <w:r>
        <w:rPr>
          <w:b w:val="false"/>
          <w:bCs w:val="false"/>
          <w:color w:val="000000"/>
          <w:sz w:val="20"/>
          <w:szCs w:val="20"/>
        </w:rPr>
        <w:t xml:space="preserve">4.4 Erreur métier typée</w:t>
      </w:r>
      <w:r>
        <w:ptab w:alignment="right" w:relativeTo="margin" w:leader="dot"/>
      </w:r>
      <w:r>
        <w:rPr>
          <w:sz w:val="20"/>
          <w:szCs w:val="20"/>
        </w:rPr>
        <w:t xml:space="preserve">14</w:t>
      </w:r>
    </w:p>
    <w:p>
      <w:pPr>
        <w:spacing w:after="160"/>
        <w:ind w:left="0"/>
      </w:pPr>
      <w:r>
        <w:rPr>
          <w:b/>
          <w:bCs/>
          <w:color w:val="1F4E5F"/>
          <w:sz w:val="22"/>
          <w:szCs w:val="22"/>
        </w:rPr>
        <w:t xml:space="preserve">PARTIE V — WEBHOOKS ENTRANTS</w:t>
      </w:r>
      <w:r>
        <w:ptab w:alignment="right" w:relativeTo="margin" w:leader="dot"/>
      </w:r>
      <w:r>
        <w:rPr>
          <w:sz w:val="22"/>
          <w:szCs w:val="22"/>
        </w:rPr>
        <w:t xml:space="preserve">15</w:t>
      </w:r>
    </w:p>
    <w:p>
      <w:pPr>
        <w:spacing w:after="80"/>
        <w:ind w:left="360"/>
      </w:pPr>
      <w:r>
        <w:rPr>
          <w:b w:val="false"/>
          <w:bCs w:val="false"/>
          <w:color w:val="000000"/>
          <w:sz w:val="20"/>
          <w:szCs w:val="20"/>
        </w:rPr>
        <w:t xml:space="preserve">5.1 Confirmation de paiement Orange Money</w:t>
      </w:r>
      <w:r>
        <w:ptab w:alignment="right" w:relativeTo="margin" w:leader="dot"/>
      </w:r>
      <w:r>
        <w:rPr>
          <w:sz w:val="20"/>
          <w:szCs w:val="20"/>
        </w:rPr>
        <w:t xml:space="preserve">15</w:t>
      </w:r>
    </w:p>
    <w:p>
      <w:pPr>
        <w:spacing w:after="80"/>
        <w:ind w:left="360"/>
      </w:pPr>
      <w:r>
        <w:rPr>
          <w:b w:val="false"/>
          <w:bCs w:val="false"/>
          <w:color w:val="000000"/>
          <w:sz w:val="20"/>
          <w:szCs w:val="20"/>
        </w:rPr>
        <w:t xml:space="preserve">5.2 Confirmation de paiement MTN MoMo</w:t>
      </w:r>
      <w:r>
        <w:ptab w:alignment="right" w:relativeTo="margin" w:leader="dot"/>
      </w:r>
      <w:r>
        <w:rPr>
          <w:sz w:val="20"/>
          <w:szCs w:val="20"/>
        </w:rPr>
        <w:t xml:space="preserve">15</w:t>
      </w:r>
    </w:p>
    <w:p>
      <w:r>
        <w:br w:type="page"/>
      </w:r>
    </w:p>
    <w:p>
      <w:pPr>
        <w:pStyle w:val="Heading1"/>
        <w:spacing w:after="200" w:before="400"/>
      </w:pPr>
      <w:r>
        <w:rPr>
          <w:b/>
          <w:bCs/>
          <w:color w:val="1F4E5F"/>
        </w:rPr>
        <w:t xml:space="preserve">PARTIE I — INTRODUCTION</w:t>
      </w:r>
    </w:p>
    <w:p>
      <w:pPr>
        <w:pStyle w:val="Heading2"/>
        <w:spacing w:after="150" w:before="300"/>
      </w:pPr>
      <w:r>
        <w:rPr>
          <w:b/>
          <w:bCs/>
          <w:color w:val="2E86AB"/>
        </w:rPr>
        <w:t xml:space="preserve">1.1 Objet du document</w:t>
      </w:r>
    </w:p>
    <w:p>
      <w:pPr>
        <w:spacing w:after="150"/>
      </w:pPr>
      <w:r>
        <w:t xml:space="preserve">Ce Volume 6 documente l'API REST exposée par la plateforme EDUCORE, conformément à l'architecture définie au Volume 2 (Cahier des spécifications techniques) et au Volume 3 (Architecture logicielle). Il constitue la référence pour toute équipe développant un client (application web, mobile) ou une intégration tierce.</w:t>
      </w:r>
    </w:p>
    <w:p>
      <w:pPr>
        <w:pStyle w:val="Heading2"/>
        <w:spacing w:after="150" w:before="300"/>
      </w:pPr>
      <w:r>
        <w:rPr>
          <w:b/>
          <w:bCs/>
          <w:color w:val="2E86AB"/>
        </w:rPr>
        <w:t xml:space="preserve">1.2 URL de base et versionnement</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https://api.educore.africa/api/v1</w:t>
      </w:r>
    </w:p>
    <w:p>
      <w:pPr>
        <w:spacing w:after="150"/>
      </w:pPr>
      <w:r>
        <w:t xml:space="preserve">L'API est versionnée dans le chemin (/api/v1/...). Une nouvelle version majeure (/api/v2/...) ne sera introduite qu'en cas de rupture de compatibilité ; les versions antérieures restent supportées pendant une période de transition annoncée à l'avance.</w:t>
      </w:r>
    </w:p>
    <w:p>
      <w:pPr>
        <w:pStyle w:val="Heading2"/>
        <w:spacing w:after="150" w:before="300"/>
      </w:pPr>
      <w:r>
        <w:rPr>
          <w:b/>
          <w:bCs/>
          <w:color w:val="2E86AB"/>
        </w:rPr>
        <w:t xml:space="preserve">1.3 Format des échanges</w:t>
      </w:r>
    </w:p>
    <w:p>
      <w:pPr>
        <w:pStyle w:val="ListParagraph"/>
        <w:numPr>
          <w:ilvl w:val="0"/>
          <w:numId w:val="2"/>
        </w:numPr>
        <w:spacing w:after="80"/>
      </w:pPr>
      <w:r>
        <w:t xml:space="preserve">Toutes les requêtes et réponses utilisent le format JSON (Content-Type: application/json), à l'exception des téléversements de fichiers (multipart/form-data)</w:t>
      </w:r>
    </w:p>
    <w:p>
      <w:pPr>
        <w:pStyle w:val="ListParagraph"/>
        <w:numPr>
          <w:ilvl w:val="0"/>
          <w:numId w:val="2"/>
        </w:numPr>
        <w:spacing w:after="80"/>
      </w:pPr>
      <w:r>
        <w:t xml:space="preserve">Les dates sont exprimées au format ISO 8601 (ex. 2026-07-26T14:30:00Z)</w:t>
      </w:r>
    </w:p>
    <w:p>
      <w:pPr>
        <w:pStyle w:val="ListParagraph"/>
        <w:numPr>
          <w:ilvl w:val="0"/>
          <w:numId w:val="2"/>
        </w:numPr>
        <w:spacing w:after="80"/>
      </w:pPr>
      <w:r>
        <w:t xml:space="preserve">Les montants financiers sont exprimés en unité entière de la devise locale (ex. franc CFA), sans décimales flottantes, pour éviter les erreurs d'arrondi</w:t>
      </w:r>
    </w:p>
    <w:p>
      <w:r>
        <w:br w:type="page"/>
      </w:r>
    </w:p>
    <w:p>
      <w:pPr>
        <w:pStyle w:val="Heading1"/>
        <w:spacing w:after="200" w:before="400"/>
      </w:pPr>
      <w:r>
        <w:rPr>
          <w:b/>
          <w:bCs/>
          <w:color w:val="1F4E5F"/>
        </w:rPr>
        <w:t xml:space="preserve">PARTIE II — CONVENTIONS GÉNÉRALES</w:t>
      </w:r>
    </w:p>
    <w:p>
      <w:pPr>
        <w:pStyle w:val="Heading2"/>
        <w:spacing w:after="150" w:before="300"/>
      </w:pPr>
      <w:r>
        <w:rPr>
          <w:b/>
          <w:bCs/>
          <w:color w:val="2E86AB"/>
        </w:rPr>
        <w:t xml:space="preserve">2.1 Authentification</w:t>
      </w:r>
    </w:p>
    <w:p>
      <w:pPr>
        <w:spacing w:after="150"/>
      </w:pPr>
      <w:r>
        <w:t xml:space="preserve">L'API utilise un jeton JWT transmis dans l'en-tête HTTP Authorization, obtenu via l'endpoint de connexion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Authorization: Bearer &lt;jeton_jwt&gt;</w:t>
      </w:r>
    </w:p>
    <w:p>
      <w:pPr>
        <w:spacing w:after="150"/>
      </w:pPr>
      <w:r>
        <w:t xml:space="preserve">Les intégrations partenaires (Volume 2, Partie VI) s'authentifient via OAuth2 client credentials sur l'endpoint /api/v1/oauth/token.</w:t>
      </w:r>
    </w:p>
    <w:p>
      <w:pPr>
        <w:pStyle w:val="Heading2"/>
        <w:spacing w:after="150" w:before="300"/>
      </w:pPr>
      <w:r>
        <w:rPr>
          <w:b/>
          <w:bCs/>
          <w:color w:val="2E86AB"/>
        </w:rPr>
        <w:t xml:space="preserve">2.2 Pagination</w:t>
      </w:r>
    </w:p>
    <w:p>
      <w:pPr>
        <w:spacing w:after="150"/>
      </w:pPr>
      <w:r>
        <w:t xml:space="preserve">Tous les endpoints retournant une liste acceptent les paramètres de requête page (défaut 1) et taille (défaut 20, maximum 100), et renvoient une enveloppe standardisée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w:t>
      </w:r>
      <w:r>
        <w:rPr>
          <w:rFonts w:ascii="Consolas" w:cs="Consolas" w:eastAsia="Consolas" w:hAnsi="Consolas"/>
          <w:sz w:val="18"/>
          <w:szCs w:val="18"/>
        </w:rPr>
        <w:br/>
        <w:t xml:space="preserve">  "donnees": [ ... ],</w:t>
      </w:r>
      <w:r>
        <w:rPr>
          <w:rFonts w:ascii="Consolas" w:cs="Consolas" w:eastAsia="Consolas" w:hAnsi="Consolas"/>
          <w:sz w:val="18"/>
          <w:szCs w:val="18"/>
        </w:rPr>
        <w:br/>
        <w:t xml:space="preserve">  "pagination": {</w:t>
      </w:r>
      <w:r>
        <w:rPr>
          <w:rFonts w:ascii="Consolas" w:cs="Consolas" w:eastAsia="Consolas" w:hAnsi="Consolas"/>
          <w:sz w:val="18"/>
          <w:szCs w:val="18"/>
        </w:rPr>
        <w:br/>
        <w:t xml:space="preserve">    "page": 1,</w:t>
      </w:r>
      <w:r>
        <w:rPr>
          <w:rFonts w:ascii="Consolas" w:cs="Consolas" w:eastAsia="Consolas" w:hAnsi="Consolas"/>
          <w:sz w:val="18"/>
          <w:szCs w:val="18"/>
        </w:rPr>
        <w:br/>
        <w:t xml:space="preserve">    "taille": 20,</w:t>
      </w:r>
      <w:r>
        <w:rPr>
          <w:rFonts w:ascii="Consolas" w:cs="Consolas" w:eastAsia="Consolas" w:hAnsi="Consolas"/>
          <w:sz w:val="18"/>
          <w:szCs w:val="18"/>
        </w:rPr>
        <w:br/>
        <w:t xml:space="preserve">    "total": 437,</w:t>
      </w:r>
      <w:r>
        <w:rPr>
          <w:rFonts w:ascii="Consolas" w:cs="Consolas" w:eastAsia="Consolas" w:hAnsi="Consolas"/>
          <w:sz w:val="18"/>
          <w:szCs w:val="18"/>
        </w:rPr>
        <w:br/>
        <w:t xml:space="preserve">    "pages_totales": 22</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50" w:before="300"/>
      </w:pPr>
      <w:r>
        <w:rPr>
          <w:b/>
          <w:bCs/>
          <w:color w:val="2E86AB"/>
        </w:rPr>
        <w:t xml:space="preserve">2.3 Format des erreurs</w:t>
      </w:r>
    </w:p>
    <w:p>
      <w:pPr>
        <w:spacing w:after="150"/>
      </w:pPr>
      <w:r>
        <w:t xml:space="preserve">Toute erreur retourne un code HTTP approprié accompagné d'un corps JSON structuré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w:t>
      </w:r>
      <w:r>
        <w:rPr>
          <w:rFonts w:ascii="Consolas" w:cs="Consolas" w:eastAsia="Consolas" w:hAnsi="Consolas"/>
          <w:sz w:val="18"/>
          <w:szCs w:val="18"/>
        </w:rPr>
        <w:br/>
        <w:t xml:space="preserve">  "erreur": {</w:t>
      </w:r>
      <w:r>
        <w:rPr>
          <w:rFonts w:ascii="Consolas" w:cs="Consolas" w:eastAsia="Consolas" w:hAnsi="Consolas"/>
          <w:sz w:val="18"/>
          <w:szCs w:val="18"/>
        </w:rPr>
        <w:br/>
        <w:t xml:space="preserve">    "code": "SOLDE_INSUFFISANT",</w:t>
      </w:r>
      <w:r>
        <w:rPr>
          <w:rFonts w:ascii="Consolas" w:cs="Consolas" w:eastAsia="Consolas" w:hAnsi="Consolas"/>
          <w:sz w:val="18"/>
          <w:szCs w:val="18"/>
        </w:rPr>
        <w:br/>
        <w:t xml:space="preserve">    "message": "Le montant dépasse le solde restant dû.",</w:t>
      </w:r>
      <w:r>
        <w:rPr>
          <w:rFonts w:ascii="Consolas" w:cs="Consolas" w:eastAsia="Consolas" w:hAnsi="Consolas"/>
          <w:sz w:val="18"/>
          <w:szCs w:val="18"/>
        </w:rPr>
        <w:br/>
        <w:t xml:space="preserve">    "champ": "montant"</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50" w:before="300"/>
      </w:pPr>
      <w:r>
        <w:rPr>
          <w:b/>
          <w:bCs/>
          <w:color w:val="2E86AB"/>
        </w:rPr>
        <w:t xml:space="preserve">2.4 Codes HTTP standards utilisés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600"/>
        <w:gridCol w:w="7350"/>
      </w:tblGrid>
      <w:tr>
        <w:trPr>
          <w:tblHeader/>
        </w:trPr>
        <w:tc>
          <w:tcPr>
            <w:tcW w:type="dxa" w:w="1600"/>
            <w:shd w:fill="1F4E5F" w:color="auto" w:val="clear"/>
            <w:tcMar>
              <w:top w:type="dxa" w:w="60"/>
              <w:left w:type="dxa" w:w="90"/>
              <w:bottom w:type="dxa" w:w="60"/>
              <w:right w:type="dxa" w:w="90"/>
            </w:tcMar>
            <w:vAlign w:val="center"/>
          </w:tcPr>
          <w:p>
            <w:r>
              <w:rPr>
                <w:b/>
                <w:bCs/>
                <w:color w:val="FFFFFF"/>
                <w:sz w:val="19"/>
                <w:szCs w:val="19"/>
              </w:rPr>
              <w:t xml:space="preserve">Code</w:t>
            </w:r>
          </w:p>
        </w:tc>
        <w:tc>
          <w:tcPr>
            <w:tcW w:type="dxa" w:w="7350"/>
            <w:shd w:fill="1F4E5F" w:color="auto" w:val="clear"/>
            <w:tcMar>
              <w:top w:type="dxa" w:w="60"/>
              <w:left w:type="dxa" w:w="90"/>
              <w:bottom w:type="dxa" w:w="60"/>
              <w:right w:type="dxa" w:w="90"/>
            </w:tcMar>
            <w:vAlign w:val="center"/>
          </w:tcPr>
          <w:p>
            <w:r>
              <w:rPr>
                <w:b/>
                <w:bCs/>
                <w:color w:val="FFFFFF"/>
                <w:sz w:val="19"/>
                <w:szCs w:val="19"/>
              </w:rPr>
              <w:t xml:space="preserve">Signification</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200</w:t>
            </w:r>
          </w:p>
        </w:tc>
        <w:tc>
          <w:tcPr>
            <w:tcW w:type="dxa" w:w="7350"/>
            <w:tcMar>
              <w:top w:type="dxa" w:w="60"/>
              <w:left w:type="dxa" w:w="90"/>
              <w:bottom w:type="dxa" w:w="60"/>
              <w:right w:type="dxa" w:w="90"/>
            </w:tcMar>
            <w:vAlign w:val="center"/>
          </w:tcPr>
          <w:p>
            <w:r>
              <w:rPr>
                <w:b w:val="false"/>
                <w:bCs w:val="false"/>
                <w:color w:val="000000"/>
                <w:sz w:val="19"/>
                <w:szCs w:val="19"/>
              </w:rPr>
              <w:t xml:space="preserve">Succès (lecture ou mise à jour)</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201</w:t>
            </w:r>
          </w:p>
        </w:tc>
        <w:tc>
          <w:tcPr>
            <w:tcW w:type="dxa" w:w="7350"/>
            <w:tcMar>
              <w:top w:type="dxa" w:w="60"/>
              <w:left w:type="dxa" w:w="90"/>
              <w:bottom w:type="dxa" w:w="60"/>
              <w:right w:type="dxa" w:w="90"/>
            </w:tcMar>
            <w:vAlign w:val="center"/>
          </w:tcPr>
          <w:p>
            <w:r>
              <w:rPr>
                <w:b w:val="false"/>
                <w:bCs w:val="false"/>
                <w:color w:val="000000"/>
                <w:sz w:val="19"/>
                <w:szCs w:val="19"/>
              </w:rPr>
              <w:t xml:space="preserve">Ressource créée avec succès</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400</w:t>
            </w:r>
          </w:p>
        </w:tc>
        <w:tc>
          <w:tcPr>
            <w:tcW w:type="dxa" w:w="7350"/>
            <w:tcMar>
              <w:top w:type="dxa" w:w="60"/>
              <w:left w:type="dxa" w:w="90"/>
              <w:bottom w:type="dxa" w:w="60"/>
              <w:right w:type="dxa" w:w="90"/>
            </w:tcMar>
            <w:vAlign w:val="center"/>
          </w:tcPr>
          <w:p>
            <w:r>
              <w:rPr>
                <w:b w:val="false"/>
                <w:bCs w:val="false"/>
                <w:color w:val="000000"/>
                <w:sz w:val="19"/>
                <w:szCs w:val="19"/>
              </w:rPr>
              <w:t xml:space="preserve">Requête invalide (validation échouée)</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401</w:t>
            </w:r>
          </w:p>
        </w:tc>
        <w:tc>
          <w:tcPr>
            <w:tcW w:type="dxa" w:w="7350"/>
            <w:tcMar>
              <w:top w:type="dxa" w:w="60"/>
              <w:left w:type="dxa" w:w="90"/>
              <w:bottom w:type="dxa" w:w="60"/>
              <w:right w:type="dxa" w:w="90"/>
            </w:tcMar>
            <w:vAlign w:val="center"/>
          </w:tcPr>
          <w:p>
            <w:r>
              <w:rPr>
                <w:b w:val="false"/>
                <w:bCs w:val="false"/>
                <w:color w:val="000000"/>
                <w:sz w:val="19"/>
                <w:szCs w:val="19"/>
              </w:rPr>
              <w:t xml:space="preserve">Authentification manquante ou invalide</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403</w:t>
            </w:r>
          </w:p>
        </w:tc>
        <w:tc>
          <w:tcPr>
            <w:tcW w:type="dxa" w:w="7350"/>
            <w:tcMar>
              <w:top w:type="dxa" w:w="60"/>
              <w:left w:type="dxa" w:w="90"/>
              <w:bottom w:type="dxa" w:w="60"/>
              <w:right w:type="dxa" w:w="90"/>
            </w:tcMar>
            <w:vAlign w:val="center"/>
          </w:tcPr>
          <w:p>
            <w:r>
              <w:rPr>
                <w:b w:val="false"/>
                <w:bCs w:val="false"/>
                <w:color w:val="000000"/>
                <w:sz w:val="19"/>
                <w:szCs w:val="19"/>
              </w:rPr>
              <w:t xml:space="preserve">Accès refusé (permission insuffisante pour ce rôle)</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404</w:t>
            </w:r>
          </w:p>
        </w:tc>
        <w:tc>
          <w:tcPr>
            <w:tcW w:type="dxa" w:w="7350"/>
            <w:tcMar>
              <w:top w:type="dxa" w:w="60"/>
              <w:left w:type="dxa" w:w="90"/>
              <w:bottom w:type="dxa" w:w="60"/>
              <w:right w:type="dxa" w:w="90"/>
            </w:tcMar>
            <w:vAlign w:val="center"/>
          </w:tcPr>
          <w:p>
            <w:r>
              <w:rPr>
                <w:b w:val="false"/>
                <w:bCs w:val="false"/>
                <w:color w:val="000000"/>
                <w:sz w:val="19"/>
                <w:szCs w:val="19"/>
              </w:rPr>
              <w:t xml:space="preserve">Ressource introuvable</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409</w:t>
            </w:r>
          </w:p>
        </w:tc>
        <w:tc>
          <w:tcPr>
            <w:tcW w:type="dxa" w:w="7350"/>
            <w:tcMar>
              <w:top w:type="dxa" w:w="60"/>
              <w:left w:type="dxa" w:w="90"/>
              <w:bottom w:type="dxa" w:w="60"/>
              <w:right w:type="dxa" w:w="90"/>
            </w:tcMar>
            <w:vAlign w:val="center"/>
          </w:tcPr>
          <w:p>
            <w:r>
              <w:rPr>
                <w:b w:val="false"/>
                <w:bCs w:val="false"/>
                <w:color w:val="000000"/>
                <w:sz w:val="19"/>
                <w:szCs w:val="19"/>
              </w:rPr>
              <w:t xml:space="preserve">Conflit (ex. double affectation d'un créneau)</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422</w:t>
            </w:r>
          </w:p>
        </w:tc>
        <w:tc>
          <w:tcPr>
            <w:tcW w:type="dxa" w:w="7350"/>
            <w:tcMar>
              <w:top w:type="dxa" w:w="60"/>
              <w:left w:type="dxa" w:w="90"/>
              <w:bottom w:type="dxa" w:w="60"/>
              <w:right w:type="dxa" w:w="90"/>
            </w:tcMar>
            <w:vAlign w:val="center"/>
          </w:tcPr>
          <w:p>
            <w:r>
              <w:rPr>
                <w:b w:val="false"/>
                <w:bCs w:val="false"/>
                <w:color w:val="000000"/>
                <w:sz w:val="19"/>
                <w:szCs w:val="19"/>
              </w:rPr>
              <w:t xml:space="preserve">Règle de gestion métier violée</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429</w:t>
            </w:r>
          </w:p>
        </w:tc>
        <w:tc>
          <w:tcPr>
            <w:tcW w:type="dxa" w:w="7350"/>
            <w:tcMar>
              <w:top w:type="dxa" w:w="60"/>
              <w:left w:type="dxa" w:w="90"/>
              <w:bottom w:type="dxa" w:w="60"/>
              <w:right w:type="dxa" w:w="90"/>
            </w:tcMar>
            <w:vAlign w:val="center"/>
          </w:tcPr>
          <w:p>
            <w:r>
              <w:rPr>
                <w:b w:val="false"/>
                <w:bCs w:val="false"/>
                <w:color w:val="000000"/>
                <w:sz w:val="19"/>
                <w:szCs w:val="19"/>
              </w:rPr>
              <w:t xml:space="preserve">Trop de requêtes (rate limiting)</w:t>
            </w:r>
          </w:p>
        </w:tc>
      </w:tr>
      <w:tr>
        <w:trPr>
          <w:tblHeader w:val="false"/>
        </w:trPr>
        <w:tc>
          <w:tcPr>
            <w:tcW w:type="dxa" w:w="1600"/>
            <w:tcMar>
              <w:top w:type="dxa" w:w="60"/>
              <w:left w:type="dxa" w:w="90"/>
              <w:bottom w:type="dxa" w:w="60"/>
              <w:right w:type="dxa" w:w="90"/>
            </w:tcMar>
            <w:vAlign w:val="center"/>
          </w:tcPr>
          <w:p>
            <w:r>
              <w:rPr>
                <w:b w:val="false"/>
                <w:bCs w:val="false"/>
                <w:color w:val="000000"/>
                <w:sz w:val="19"/>
                <w:szCs w:val="19"/>
              </w:rPr>
              <w:t xml:space="preserve">500</w:t>
            </w:r>
          </w:p>
        </w:tc>
        <w:tc>
          <w:tcPr>
            <w:tcW w:type="dxa" w:w="7350"/>
            <w:tcMar>
              <w:top w:type="dxa" w:w="60"/>
              <w:left w:type="dxa" w:w="90"/>
              <w:bottom w:type="dxa" w:w="60"/>
              <w:right w:type="dxa" w:w="90"/>
            </w:tcMar>
            <w:vAlign w:val="center"/>
          </w:tcPr>
          <w:p>
            <w:r>
              <w:rPr>
                <w:b w:val="false"/>
                <w:bCs w:val="false"/>
                <w:color w:val="000000"/>
                <w:sz w:val="19"/>
                <w:szCs w:val="19"/>
              </w:rPr>
              <w:t xml:space="preserve">Erreur interne du serveur</w:t>
            </w:r>
          </w:p>
        </w:tc>
      </w:tr>
    </w:tbl>
    <w:p>
      <w:pPr>
        <w:pStyle w:val="Heading2"/>
        <w:spacing w:after="150" w:before="300"/>
      </w:pPr>
      <w:r>
        <w:rPr>
          <w:b/>
          <w:bCs/>
          <w:color w:val="2E86AB"/>
        </w:rPr>
        <w:t xml:space="preserve">2.5 Idempotence</w:t>
      </w:r>
    </w:p>
    <w:p>
      <w:pPr>
        <w:spacing w:after="150"/>
      </w:pPr>
      <w:r>
        <w:t xml:space="preserve">Les opérations sensibles (notamment /api/v1/paiements/initier) exigent un en-tête Idempotency-Key généré côté client. Toute requête répétée avec la même clé retourne la réponse de la première exécution sans dupliquer l'opération.</w:t>
      </w:r>
    </w:p>
    <w:p>
      <w:pPr>
        <w:pStyle w:val="Heading2"/>
        <w:spacing w:after="150" w:before="300"/>
      </w:pPr>
      <w:r>
        <w:rPr>
          <w:b/>
          <w:bCs/>
          <w:color w:val="2E86AB"/>
        </w:rPr>
        <w:t xml:space="preserve">2.6 Limitation de débit (rate limiting)</w:t>
      </w:r>
    </w:p>
    <w:p>
      <w:pPr>
        <w:spacing w:after="150"/>
      </w:pPr>
      <w:r>
        <w:t xml:space="preserve">Chaque client authentifié est soumis à une limite de requêtes par minute, configurable par profil (utilisateur final, application mobile, partenaire intégrateur). Le dépassement retourne un code 429 accompagné d'un en-tête Retry-After.</w:t>
      </w:r>
    </w:p>
    <w:p>
      <w:r>
        <w:br w:type="page"/>
      </w:r>
    </w:p>
    <w:p>
      <w:pPr>
        <w:pStyle w:val="Heading1"/>
        <w:spacing w:after="200" w:before="400"/>
      </w:pPr>
      <w:r>
        <w:rPr>
          <w:b/>
          <w:bCs/>
          <w:color w:val="1F4E5F"/>
        </w:rPr>
        <w:t xml:space="preserve">PARTIE III — ENDPOINTS PAR MODULE</w:t>
      </w:r>
    </w:p>
    <w:p>
      <w:pPr>
        <w:spacing w:after="150"/>
      </w:pPr>
      <w:r>
        <w:t xml:space="preserve">Cette partie liste, module par module, les endpoints représentatifs de l'API. Elle ne prétend pas à l'exhaustivité de la spécification OpenAPI complète (qui fera l'objet d'un fichier openapi.yaml versionné séparément dans le dépôt de code) mais couvre l'ensemble des opérations métier majeures décrites dans les volumes précédents.</w:t>
      </w:r>
    </w:p>
    <w:p>
      <w:pPr>
        <w:pStyle w:val="Heading2"/>
        <w:spacing w:after="150" w:before="300"/>
      </w:pPr>
      <w:r>
        <w:rPr>
          <w:b/>
          <w:bCs/>
          <w:color w:val="2E86AB"/>
        </w:rPr>
        <w:t xml:space="preserve">Module 1 — Utilisateurs et rôles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/api/v1/auth/login</w:t>
            </w:r>
          </w:p>
        </w:tc>
        <w:tc>
          <w:tcPr>
            <w:tcW w:type="dxa" w:w="3450"/>
            <w:tcMar>
              <w:top w:type="dxa" w:w="60"/>
              <w:left w:type="dxa" w:w="90"/>
              <w:bottom w:type="dxa" w:w="60"/>
              <w:right w:type="dxa" w:w="90"/>
            </w:tcMar>
            <w:vAlign w:val="center"/>
          </w:tcPr>
          <w:p>
            <w:r>
              <w:rPr>
                <w:sz w:val="18"/>
                <w:szCs w:val="18"/>
              </w:rPr>
              <w:t xml:space="preserve">Authentification par identifiant/mot de passe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/api/v1/auth/refresh</w:t>
            </w:r>
          </w:p>
        </w:tc>
        <w:tc>
          <w:tcPr>
            <w:tcW w:type="dxa" w:w="3450"/>
            <w:tcMar>
              <w:top w:type="dxa" w:w="60"/>
              <w:left w:type="dxa" w:w="90"/>
              <w:bottom w:type="dxa" w:w="60"/>
              <w:right w:type="dxa" w:w="90"/>
            </w:tcMar>
            <w:vAlign w:val="center"/>
          </w:tcPr>
          <w:p>
            <w:r>
              <w:rPr>
                <w:sz w:val="18"/>
                <w:szCs w:val="18"/>
              </w:rPr>
              <w:t xml:space="preserve">Renouvellement du jeton d'accès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/api/v1/auth/2fa/verifier</w:t>
            </w:r>
          </w:p>
        </w:tc>
        <w:tc>
          <w:tcPr>
            <w:tcW w:type="dxa" w:w="3450"/>
            <w:tcMar>
              <w:top w:type="dxa" w:w="60"/>
              <w:left w:type="dxa" w:w="90"/>
              <w:bottom w:type="dxa" w:w="60"/>
              <w:right w:type="dxa" w:w="90"/>
            </w:tcMar>
            <w:vAlign w:val="center"/>
          </w:tcPr>
          <w:p>
            <w:r>
              <w:rPr>
                <w:sz w:val="18"/>
                <w:szCs w:val="18"/>
              </w:rPr>
              <w:t xml:space="preserve">Vérification du code à deux facteurs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/api/v1/utilisateurs/{id}</w:t>
            </w:r>
          </w:p>
        </w:tc>
        <w:tc>
          <w:tcPr>
            <w:tcW w:type="dxa" w:w="3450"/>
            <w:tcMar>
              <w:top w:type="dxa" w:w="60"/>
              <w:left w:type="dxa" w:w="90"/>
              <w:bottom w:type="dxa" w:w="60"/>
              <w:right w:type="dxa" w:w="90"/>
            </w:tcMar>
            <w:vAlign w:val="center"/>
          </w:tcPr>
          <w:p>
            <w:r>
              <w:rPr>
                <w:sz w:val="18"/>
                <w:szCs w:val="18"/>
              </w:rPr>
              <w:t xml:space="preserve">Détail d'un utilisateur</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/api/v1/utilisateurs</w:t>
            </w:r>
          </w:p>
        </w:tc>
        <w:tc>
          <w:tcPr>
            <w:tcW w:type="dxa" w:w="3450"/>
            <w:tcMar>
              <w:top w:type="dxa" w:w="60"/>
              <w:left w:type="dxa" w:w="90"/>
              <w:bottom w:type="dxa" w:w="60"/>
              <w:right w:type="dxa" w:w="90"/>
            </w:tcMar>
            <w:vAlign w:val="center"/>
          </w:tcPr>
          <w:p>
            <w:r>
              <w:rPr>
                <w:sz w:val="18"/>
                <w:szCs w:val="18"/>
              </w:rPr>
              <w:t xml:space="preserve">Création d'un utilisateur</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E65100"/>
                <w:sz w:val="18"/>
                <w:szCs w:val="18"/>
              </w:rPr>
              <w:t xml:space="preserve">PATCH</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/api/v1/utilisateurs/{id}/role</w:t>
            </w:r>
          </w:p>
        </w:tc>
        <w:tc>
          <w:tcPr>
            <w:tcW w:type="dxa" w:w="3450"/>
            <w:tcMar>
              <w:top w:type="dxa" w:w="60"/>
              <w:left w:type="dxa" w:w="90"/>
              <w:bottom w:type="dxa" w:w="60"/>
              <w:right w:type="dxa" w:w="90"/>
            </w:tcMar>
            <w:vAlign w:val="center"/>
          </w:tcPr>
          <w:p>
            <w:r>
              <w:rPr>
                <w:sz w:val="18"/>
                <w:szCs w:val="18"/>
              </w:rPr>
              <w:t xml:space="preserve">Modification du rôle d'un utilisateur</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/api/v1/utilisateurs/{id}/audit</w:t>
            </w:r>
          </w:p>
        </w:tc>
        <w:tc>
          <w:tcPr>
            <w:tcW w:type="dxa" w:w="3450"/>
            <w:tcMar>
              <w:top w:type="dxa" w:w="60"/>
              <w:left w:type="dxa" w:w="90"/>
              <w:bottom w:type="dxa" w:w="60"/>
              <w:right w:type="dxa" w:w="90"/>
            </w:tcMar>
            <w:vAlign w:val="center"/>
          </w:tcPr>
          <w:p>
            <w:r>
              <w:rPr>
                <w:sz w:val="18"/>
                <w:szCs w:val="18"/>
              </w:rPr>
              <w:t xml:space="preserve">Historique des connexions</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2 — Élèves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w:t>
            </w:r>
          </w:p>
        </w:tc>
        <w:tc>
          <w:tcPr>
            <w:tcW w:type="dxa" w:w="3450"/>
            <w:tcMar>
              <w:top w:type="dxa" w:w="60"/>
              <w:left w:type="dxa" w:w="90"/>
              <w:bottom w:type="dxa" w:w="60"/>
              <w:right w:type="dxa" w:w="90"/>
            </w:tcMar>
            <w:vAlign w:val="center"/>
          </w:tcPr>
          <w:p>
            <w:r>
              <w:rPr>
                <w:sz w:val="18"/>
                <w:szCs w:val="18"/>
              </w:rPr>
              <w:t xml:space="preserve">Détail d'un élève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w:t>
            </w:r>
          </w:p>
        </w:tc>
        <w:tc>
          <w:tcPr>
            <w:tcW w:type="dxa" w:w="3450"/>
            <w:tcMar>
              <w:top w:type="dxa" w:w="60"/>
              <w:left w:type="dxa" w:w="90"/>
              <w:bottom w:type="dxa" w:w="60"/>
              <w:right w:type="dxa" w:w="90"/>
            </w:tcMar>
            <w:vAlign w:val="center"/>
          </w:tcPr>
          <w:p>
            <w:r>
              <w:rPr>
                <w:sz w:val="18"/>
                <w:szCs w:val="18"/>
              </w:rPr>
              <w:t xml:space="preserve">Liste paginée des élèves (filtres : classe, statut)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w:t>
            </w:r>
          </w:p>
        </w:tc>
        <w:tc>
          <w:tcPr>
            <w:tcW w:type="dxa" w:w="3450"/>
            <w:tcMar>
              <w:top w:type="dxa" w:w="60"/>
              <w:left w:type="dxa" w:w="90"/>
              <w:bottom w:type="dxa" w:w="60"/>
              <w:right w:type="dxa" w:w="90"/>
            </w:tcMar>
            <w:vAlign w:val="center"/>
          </w:tcPr>
          <w:p>
            <w:r>
              <w:rPr>
                <w:sz w:val="18"/>
                <w:szCs w:val="18"/>
              </w:rPr>
              <w:t xml:space="preserve">Création d'un élève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/api/v1/eleves/{id}/inscriptions</w:t>
            </w:r>
          </w:p>
        </w:tc>
        <w:tc>
          <w:tcPr>
            <w:tcW w:type="dxa" w:w="3450"/>
            <w:tcMar>
              <w:top w:type="dxa" w:w="60"/>
              <w:left w:type="dxa" w:w="90"/>
              <w:bottom w:type="dxa" w:w="60"/>
              <w:right w:type="dxa" w:w="90"/>
            </w:tcMar>
            <w:vAlign w:val="center"/>
          </w:tcPr>
          <w:p>
            <w:r>
              <w:rPr>
                <w:sz w:val="18"/>
                <w:szCs w:val="18"/>
              </w:rPr>
              <w:t xml:space="preserve">Inscription à une classe pour une année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/api/v1/eleves/{id}/transfert</w:t>
            </w:r>
          </w:p>
        </w:tc>
        <w:tc>
          <w:tcPr>
            <w:tcW w:type="dxa" w:w="3450"/>
            <w:tcMar>
              <w:top w:type="dxa" w:w="60"/>
              <w:left w:type="dxa" w:w="90"/>
              <w:bottom w:type="dxa" w:w="60"/>
              <w:right w:type="dxa" w:w="90"/>
            </w:tcMar>
            <w:vAlign w:val="center"/>
          </w:tcPr>
          <w:p>
            <w:r>
              <w:rPr>
                <w:sz w:val="18"/>
                <w:szCs w:val="18"/>
              </w:rPr>
              <w:t xml:space="preserve">Transfert vers un autre établissement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/api/v1/eleves/{id}/dossier</w:t>
            </w:r>
          </w:p>
        </w:tc>
        <w:tc>
          <w:tcPr>
            <w:tcW w:type="dxa" w:w="3450"/>
            <w:tcMar>
              <w:top w:type="dxa" w:w="60"/>
              <w:left w:type="dxa" w:w="90"/>
              <w:bottom w:type="dxa" w:w="60"/>
              <w:right w:type="dxa" w:w="90"/>
            </w:tcMar>
            <w:vAlign w:val="center"/>
          </w:tcPr>
          <w:p>
            <w:r>
              <w:rPr>
                <w:sz w:val="18"/>
                <w:szCs w:val="18"/>
              </w:rPr>
              <w:t xml:space="preserve">Dossier numérique complet de l'élève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3 — Parents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/api/v1/parents/{id}/enfants</w:t>
            </w:r>
          </w:p>
        </w:tc>
        <w:tc>
          <w:tcPr>
            <w:tcW w:type="dxa" w:w="3450"/>
            <w:tcMar>
              <w:top w:type="dxa" w:w="60"/>
              <w:left w:type="dxa" w:w="90"/>
              <w:bottom w:type="dxa" w:w="60"/>
              <w:right w:type="dxa" w:w="90"/>
            </w:tcMar>
            <w:vAlign w:val="center"/>
          </w:tcPr>
          <w:p>
            <w:r>
              <w:rPr>
                <w:sz w:val="18"/>
                <w:szCs w:val="18"/>
              </w:rPr>
              <w:t xml:space="preserve">Liste des enfants rattachés au parent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/api/v1/convocations</w:t>
            </w:r>
          </w:p>
        </w:tc>
        <w:tc>
          <w:tcPr>
            <w:tcW w:type="dxa" w:w="3450"/>
            <w:tcMar>
              <w:top w:type="dxa" w:w="60"/>
              <w:left w:type="dxa" w:w="90"/>
              <w:bottom w:type="dxa" w:w="60"/>
              <w:right w:type="dxa" w:w="90"/>
            </w:tcMar>
            <w:vAlign w:val="center"/>
          </w:tcPr>
          <w:p>
            <w:r>
              <w:rPr>
                <w:sz w:val="18"/>
                <w:szCs w:val="18"/>
              </w:rPr>
              <w:t xml:space="preserve">Création d'une convocation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E65100"/>
                <w:sz w:val="18"/>
                <w:szCs w:val="18"/>
              </w:rPr>
              <w:t xml:space="preserve">PATCH</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/api/v1/convocations/{id}/confirmer</w:t>
            </w:r>
          </w:p>
        </w:tc>
        <w:tc>
          <w:tcPr>
            <w:tcW w:type="dxa" w:w="3450"/>
            <w:tcMar>
              <w:top w:type="dxa" w:w="60"/>
              <w:left w:type="dxa" w:w="90"/>
              <w:bottom w:type="dxa" w:w="60"/>
              <w:right w:type="dxa" w:w="90"/>
            </w:tcMar>
            <w:vAlign w:val="center"/>
          </w:tcPr>
          <w:p>
            <w:r>
              <w:rPr>
                <w:sz w:val="18"/>
                <w:szCs w:val="18"/>
              </w:rPr>
              <w:t xml:space="preserve">Confirmation de présence à une convocation</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4 — Enseignants et personnel</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/api/v1/enseignants/{id}/emploi-du-temps</w:t>
            </w:r>
          </w:p>
        </w:tc>
        <w:tc>
          <w:tcPr>
            <w:tcW w:type="dxa" w:w="3450"/>
            <w:tcMar>
              <w:top w:type="dxa" w:w="60"/>
              <w:left w:type="dxa" w:w="90"/>
              <w:bottom w:type="dxa" w:w="60"/>
              <w:right w:type="dxa" w:w="90"/>
            </w:tcMar>
            <w:vAlign w:val="center"/>
          </w:tcPr>
          <w:p>
            <w:r>
              <w:rPr>
                <w:sz w:val="18"/>
                <w:szCs w:val="18"/>
              </w:rPr>
              <w:t xml:space="preserve">Emploi du temps d'un enseignant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/api/v1/conges</w:t>
            </w:r>
          </w:p>
        </w:tc>
        <w:tc>
          <w:tcPr>
            <w:tcW w:type="dxa" w:w="3450"/>
            <w:tcMar>
              <w:top w:type="dxa" w:w="60"/>
              <w:left w:type="dxa" w:w="90"/>
              <w:bottom w:type="dxa" w:w="60"/>
              <w:right w:type="dxa" w:w="90"/>
            </w:tcMar>
            <w:vAlign w:val="center"/>
          </w:tcPr>
          <w:p>
            <w:r>
              <w:rPr>
                <w:sz w:val="18"/>
                <w:szCs w:val="18"/>
              </w:rPr>
              <w:t xml:space="preserve">Soumission d'une demande de congé</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E65100"/>
                <w:sz w:val="18"/>
                <w:szCs w:val="18"/>
              </w:rPr>
              <w:t xml:space="preserve">PATCH</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/api/v1/conges/{id}/valider</w:t>
            </w:r>
          </w:p>
        </w:tc>
        <w:tc>
          <w:tcPr>
            <w:tcW w:type="dxa" w:w="3450"/>
            <w:tcMar>
              <w:top w:type="dxa" w:w="60"/>
              <w:left w:type="dxa" w:w="90"/>
              <w:bottom w:type="dxa" w:w="60"/>
              <w:right w:type="dxa" w:w="90"/>
            </w:tcMar>
            <w:vAlign w:val="center"/>
          </w:tcPr>
          <w:p>
            <w:r>
              <w:rPr>
                <w:sz w:val="18"/>
                <w:szCs w:val="18"/>
              </w:rPr>
              <w:t xml:space="preserve">Validation ou refus d'une demande de congé</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/api/v1/personnel/{id}/contrats</w:t>
            </w:r>
          </w:p>
        </w:tc>
        <w:tc>
          <w:tcPr>
            <w:tcW w:type="dxa" w:w="3450"/>
            <w:tcMar>
              <w:top w:type="dxa" w:w="60"/>
              <w:left w:type="dxa" w:w="90"/>
              <w:bottom w:type="dxa" w:w="60"/>
              <w:right w:type="dxa" w:w="90"/>
            </w:tcMar>
            <w:vAlign w:val="center"/>
          </w:tcPr>
          <w:p>
            <w:r>
              <w:rPr>
                <w:sz w:val="18"/>
                <w:szCs w:val="18"/>
              </w:rPr>
              <w:t xml:space="preserve">Contrats d'un membre du personnel</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/api/v1/salaires/generer</w:t>
            </w:r>
          </w:p>
        </w:tc>
        <w:tc>
          <w:tcPr>
            <w:tcW w:type="dxa" w:w="3450"/>
            <w:tcMar>
              <w:top w:type="dxa" w:w="60"/>
              <w:left w:type="dxa" w:w="90"/>
              <w:bottom w:type="dxa" w:w="60"/>
              <w:right w:type="dxa" w:w="90"/>
            </w:tcMar>
            <w:vAlign w:val="center"/>
          </w:tcPr>
          <w:p>
            <w:r>
              <w:rPr>
                <w:sz w:val="18"/>
                <w:szCs w:val="18"/>
              </w:rPr>
              <w:t xml:space="preserve">Génération des salaires du mois</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5 — Classes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/api/v1/classes</w:t>
            </w:r>
          </w:p>
        </w:tc>
        <w:tc>
          <w:tcPr>
            <w:tcW w:type="dxa" w:w="3450"/>
            <w:tcMar>
              <w:top w:type="dxa" w:w="60"/>
              <w:left w:type="dxa" w:w="90"/>
              <w:bottom w:type="dxa" w:w="60"/>
              <w:right w:type="dxa" w:w="90"/>
            </w:tcMar>
            <w:vAlign w:val="center"/>
          </w:tcPr>
          <w:p>
            <w:r>
              <w:rPr>
                <w:sz w:val="18"/>
                <w:szCs w:val="18"/>
              </w:rPr>
              <w:t xml:space="preserve">Liste des classes (filtre : année scolaire)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/api/v1/classes</w:t>
            </w:r>
          </w:p>
        </w:tc>
        <w:tc>
          <w:tcPr>
            <w:tcW w:type="dxa" w:w="3450"/>
            <w:tcMar>
              <w:top w:type="dxa" w:w="60"/>
              <w:left w:type="dxa" w:w="90"/>
              <w:bottom w:type="dxa" w:w="60"/>
              <w:right w:type="dxa" w:w="90"/>
            </w:tcMar>
            <w:vAlign w:val="center"/>
          </w:tcPr>
          <w:p>
            <w:r>
              <w:rPr>
                <w:sz w:val="18"/>
                <w:szCs w:val="18"/>
              </w:rPr>
              <w:t xml:space="preserve">Création d'une classe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/api/v1/classes/{id}/effectif</w:t>
            </w:r>
          </w:p>
        </w:tc>
        <w:tc>
          <w:tcPr>
            <w:tcW w:type="dxa" w:w="3450"/>
            <w:tcMar>
              <w:top w:type="dxa" w:w="60"/>
              <w:left w:type="dxa" w:w="90"/>
              <w:bottom w:type="dxa" w:w="60"/>
              <w:right w:type="dxa" w:w="90"/>
            </w:tcMar>
            <w:vAlign w:val="center"/>
          </w:tcPr>
          <w:p>
            <w:r>
              <w:rPr>
                <w:sz w:val="18"/>
                <w:szCs w:val="18"/>
              </w:rPr>
              <w:t xml:space="preserve">Effectif courant d'une classe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6 — Matières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/api/v1/matieres</w:t>
            </w:r>
          </w:p>
        </w:tc>
        <w:tc>
          <w:tcPr>
            <w:tcW w:type="dxa" w:w="3450"/>
            <w:tcMar>
              <w:top w:type="dxa" w:w="60"/>
              <w:left w:type="dxa" w:w="90"/>
              <w:bottom w:type="dxa" w:w="60"/>
              <w:right w:type="dxa" w:w="90"/>
            </w:tcMar>
            <w:vAlign w:val="center"/>
          </w:tcPr>
          <w:p>
            <w:r>
              <w:rPr>
                <w:sz w:val="18"/>
                <w:szCs w:val="18"/>
              </w:rPr>
              <w:t xml:space="preserve">Liste des matières de l'établissement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/api/v1/classes/{id}/matieres</w:t>
            </w:r>
          </w:p>
        </w:tc>
        <w:tc>
          <w:tcPr>
            <w:tcW w:type="dxa" w:w="3450"/>
            <w:tcMar>
              <w:top w:type="dxa" w:w="60"/>
              <w:left w:type="dxa" w:w="90"/>
              <w:bottom w:type="dxa" w:w="60"/>
              <w:right w:type="dxa" w:w="90"/>
            </w:tcMar>
            <w:vAlign w:val="center"/>
          </w:tcPr>
          <w:p>
            <w:r>
              <w:rPr>
                <w:sz w:val="18"/>
                <w:szCs w:val="18"/>
              </w:rPr>
              <w:t xml:space="preserve">Association d'une matière à une classe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E65100"/>
                <w:sz w:val="18"/>
                <w:szCs w:val="18"/>
              </w:rPr>
              <w:t xml:space="preserve">PATCH</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/api/v1/classe-matiere/{id}/coefficient</w:t>
            </w:r>
          </w:p>
        </w:tc>
        <w:tc>
          <w:tcPr>
            <w:tcW w:type="dxa" w:w="3450"/>
            <w:tcMar>
              <w:top w:type="dxa" w:w="60"/>
              <w:left w:type="dxa" w:w="90"/>
              <w:bottom w:type="dxa" w:w="60"/>
              <w:right w:type="dxa" w:w="90"/>
            </w:tcMar>
            <w:vAlign w:val="center"/>
          </w:tcPr>
          <w:p>
            <w:r>
              <w:rPr>
                <w:sz w:val="18"/>
                <w:szCs w:val="18"/>
              </w:rPr>
              <w:t xml:space="preserve">Modification du coefficient</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7 — Emploi du temps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/api/v1/emploi-du-temps</w:t>
            </w:r>
          </w:p>
        </w:tc>
        <w:tc>
          <w:tcPr>
            <w:tcW w:type="dxa" w:w="3450"/>
            <w:tcMar>
              <w:top w:type="dxa" w:w="60"/>
              <w:left w:type="dxa" w:w="90"/>
              <w:bottom w:type="dxa" w:w="60"/>
              <w:right w:type="dxa" w:w="90"/>
            </w:tcMar>
            <w:vAlign w:val="center"/>
          </w:tcPr>
          <w:p>
            <w:r>
              <w:rPr>
                <w:sz w:val="18"/>
                <w:szCs w:val="18"/>
              </w:rPr>
              <w:t xml:space="preserve">Création d'une séance de cours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/api/v1/emploi-du-temps/classe/{id}</w:t>
            </w:r>
          </w:p>
        </w:tc>
        <w:tc>
          <w:tcPr>
            <w:tcW w:type="dxa" w:w="3450"/>
            <w:tcMar>
              <w:top w:type="dxa" w:w="60"/>
              <w:left w:type="dxa" w:w="90"/>
              <w:bottom w:type="dxa" w:w="60"/>
              <w:right w:type="dxa" w:w="90"/>
            </w:tcMar>
            <w:vAlign w:val="center"/>
          </w:tcPr>
          <w:p>
            <w:r>
              <w:rPr>
                <w:sz w:val="18"/>
                <w:szCs w:val="18"/>
              </w:rPr>
              <w:t xml:space="preserve">Emploi du temps d'une classe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/api/v1/emploi-du-temps/conflits</w:t>
            </w:r>
          </w:p>
        </w:tc>
        <w:tc>
          <w:tcPr>
            <w:tcW w:type="dxa" w:w="3450"/>
            <w:tcMar>
              <w:top w:type="dxa" w:w="60"/>
              <w:left w:type="dxa" w:w="90"/>
              <w:bottom w:type="dxa" w:w="60"/>
              <w:right w:type="dxa" w:w="90"/>
            </w:tcMar>
            <w:vAlign w:val="center"/>
          </w:tcPr>
          <w:p>
            <w:r>
              <w:rPr>
                <w:sz w:val="18"/>
                <w:szCs w:val="18"/>
              </w:rPr>
              <w:t xml:space="preserve">Détection des conflits de planning</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8 — Notes et évaluations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/api/v1/evaluations</w:t>
            </w:r>
          </w:p>
        </w:tc>
        <w:tc>
          <w:tcPr>
            <w:tcW w:type="dxa" w:w="3450"/>
            <w:tcMar>
              <w:top w:type="dxa" w:w="60"/>
              <w:left w:type="dxa" w:w="90"/>
              <w:bottom w:type="dxa" w:w="60"/>
              <w:right w:type="dxa" w:w="90"/>
            </w:tcMar>
            <w:vAlign w:val="center"/>
          </w:tcPr>
          <w:p>
            <w:r>
              <w:rPr>
                <w:sz w:val="18"/>
                <w:szCs w:val="18"/>
              </w:rPr>
              <w:t xml:space="preserve">Création d'une évaluation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/api/v1/evaluations/{id}/notes</w:t>
            </w:r>
          </w:p>
        </w:tc>
        <w:tc>
          <w:tcPr>
            <w:tcW w:type="dxa" w:w="3450"/>
            <w:tcMar>
              <w:top w:type="dxa" w:w="60"/>
              <w:left w:type="dxa" w:w="90"/>
              <w:bottom w:type="dxa" w:w="60"/>
              <w:right w:type="dxa" w:w="90"/>
            </w:tcMar>
            <w:vAlign w:val="center"/>
          </w:tcPr>
          <w:p>
            <w:r>
              <w:rPr>
                <w:sz w:val="18"/>
                <w:szCs w:val="18"/>
              </w:rPr>
              <w:t xml:space="preserve">Saisie groupée des notes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/api/v1/evaluations/{id}/valider</w:t>
            </w:r>
          </w:p>
        </w:tc>
        <w:tc>
          <w:tcPr>
            <w:tcW w:type="dxa" w:w="3450"/>
            <w:tcMar>
              <w:top w:type="dxa" w:w="60"/>
              <w:left w:type="dxa" w:w="90"/>
              <w:bottom w:type="dxa" w:w="60"/>
              <w:right w:type="dxa" w:w="90"/>
            </w:tcMar>
            <w:vAlign w:val="center"/>
          </w:tcPr>
          <w:p>
            <w:r>
              <w:rPr>
                <w:sz w:val="18"/>
                <w:szCs w:val="18"/>
              </w:rPr>
              <w:t xml:space="preserve">Validation d'une évaluation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/api/v1/eleves/{id}/moyennes</w:t>
            </w:r>
          </w:p>
        </w:tc>
        <w:tc>
          <w:tcPr>
            <w:tcW w:type="dxa" w:w="3450"/>
            <w:tcMar>
              <w:top w:type="dxa" w:w="60"/>
              <w:left w:type="dxa" w:w="90"/>
              <w:bottom w:type="dxa" w:w="60"/>
              <w:right w:type="dxa" w:w="90"/>
            </w:tcMar>
            <w:vAlign w:val="center"/>
          </w:tcPr>
          <w:p>
            <w:r>
              <w:rPr>
                <w:sz w:val="18"/>
                <w:szCs w:val="18"/>
              </w:rPr>
              <w:t xml:space="preserve">Moyennes d'un élève par période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9 — Bulletins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/api/v1/bulletins/generer</w:t>
            </w:r>
          </w:p>
        </w:tc>
        <w:tc>
          <w:tcPr>
            <w:tcW w:type="dxa" w:w="3450"/>
            <w:tcMar>
              <w:top w:type="dxa" w:w="60"/>
              <w:left w:type="dxa" w:w="90"/>
              <w:bottom w:type="dxa" w:w="60"/>
              <w:right w:type="dxa" w:w="90"/>
            </w:tcMar>
            <w:vAlign w:val="center"/>
          </w:tcPr>
          <w:p>
            <w:r>
              <w:rPr>
                <w:sz w:val="18"/>
                <w:szCs w:val="18"/>
              </w:rPr>
              <w:t xml:space="preserve">Génération en lot des bulletins d'une classe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/api/v1/bulletins/{id}/pdf</w:t>
            </w:r>
          </w:p>
        </w:tc>
        <w:tc>
          <w:tcPr>
            <w:tcW w:type="dxa" w:w="3450"/>
            <w:tcMar>
              <w:top w:type="dxa" w:w="60"/>
              <w:left w:type="dxa" w:w="90"/>
              <w:bottom w:type="dxa" w:w="60"/>
              <w:right w:type="dxa" w:w="90"/>
            </w:tcMar>
            <w:vAlign w:val="center"/>
          </w:tcPr>
          <w:p>
            <w:r>
              <w:rPr>
                <w:sz w:val="18"/>
                <w:szCs w:val="18"/>
              </w:rPr>
              <w:t xml:space="preserve">Téléchargement du bulletin au format PDF</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/api/v1/bulletins/{id}/publier</w:t>
            </w:r>
          </w:p>
        </w:tc>
        <w:tc>
          <w:tcPr>
            <w:tcW w:type="dxa" w:w="3450"/>
            <w:tcMar>
              <w:top w:type="dxa" w:w="60"/>
              <w:left w:type="dxa" w:w="90"/>
              <w:bottom w:type="dxa" w:w="60"/>
              <w:right w:type="dxa" w:w="90"/>
            </w:tcMar>
            <w:vAlign w:val="center"/>
          </w:tcPr>
          <w:p>
            <w:r>
              <w:rPr>
                <w:sz w:val="18"/>
                <w:szCs w:val="18"/>
              </w:rPr>
              <w:t xml:space="preserve">Publication du bulletin aux familles</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10 — Cahier de texte et devoirs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/api/v1/cahier-de-texte</w:t>
            </w:r>
          </w:p>
        </w:tc>
        <w:tc>
          <w:tcPr>
            <w:tcW w:type="dxa" w:w="3450"/>
            <w:tcMar>
              <w:top w:type="dxa" w:w="60"/>
              <w:left w:type="dxa" w:w="90"/>
              <w:bottom w:type="dxa" w:w="60"/>
              <w:right w:type="dxa" w:w="90"/>
            </w:tcMar>
            <w:vAlign w:val="center"/>
          </w:tcPr>
          <w:p>
            <w:r>
              <w:rPr>
                <w:sz w:val="18"/>
                <w:szCs w:val="18"/>
              </w:rPr>
              <w:t xml:space="preserve">Ajout d'une entrée au cahier de texte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/api/v1/classes/{id}/cahier-de-texte</w:t>
            </w:r>
          </w:p>
        </w:tc>
        <w:tc>
          <w:tcPr>
            <w:tcW w:type="dxa" w:w="3450"/>
            <w:tcMar>
              <w:top w:type="dxa" w:w="60"/>
              <w:left w:type="dxa" w:w="90"/>
              <w:bottom w:type="dxa" w:w="60"/>
              <w:right w:type="dxa" w:w="90"/>
            </w:tcMar>
            <w:vAlign w:val="center"/>
          </w:tcPr>
          <w:p>
            <w:r>
              <w:rPr>
                <w:sz w:val="18"/>
                <w:szCs w:val="18"/>
              </w:rPr>
              <w:t xml:space="preserve">Cahier de texte d'une classe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/api/v1/devoirs</w:t>
            </w:r>
          </w:p>
        </w:tc>
        <w:tc>
          <w:tcPr>
            <w:tcW w:type="dxa" w:w="3450"/>
            <w:tcMar>
              <w:top w:type="dxa" w:w="60"/>
              <w:left w:type="dxa" w:w="90"/>
              <w:bottom w:type="dxa" w:w="60"/>
              <w:right w:type="dxa" w:w="90"/>
            </w:tcMar>
            <w:vAlign w:val="center"/>
          </w:tcPr>
          <w:p>
            <w:r>
              <w:rPr>
                <w:sz w:val="18"/>
                <w:szCs w:val="18"/>
              </w:rPr>
              <w:t xml:space="preserve">Publication d'un devoir</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/api/v1/devoirs/{id}/rendre</w:t>
            </w:r>
          </w:p>
        </w:tc>
        <w:tc>
          <w:tcPr>
            <w:tcW w:type="dxa" w:w="3450"/>
            <w:tcMar>
              <w:top w:type="dxa" w:w="60"/>
              <w:left w:type="dxa" w:w="90"/>
              <w:bottom w:type="dxa" w:w="60"/>
              <w:right w:type="dxa" w:w="90"/>
            </w:tcMar>
            <w:vAlign w:val="center"/>
          </w:tcPr>
          <w:p>
            <w:r>
              <w:rPr>
                <w:sz w:val="18"/>
                <w:szCs w:val="18"/>
              </w:rPr>
              <w:t xml:space="preserve">Dépôt d'une copie par l'élève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E65100"/>
                <w:sz w:val="18"/>
                <w:szCs w:val="18"/>
              </w:rPr>
              <w:t xml:space="preserve">PATCH</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/api/v1/devoirs-rendus/{id}/corriger</w:t>
            </w:r>
          </w:p>
        </w:tc>
        <w:tc>
          <w:tcPr>
            <w:tcW w:type="dxa" w:w="3450"/>
            <w:tcMar>
              <w:top w:type="dxa" w:w="60"/>
              <w:left w:type="dxa" w:w="90"/>
              <w:bottom w:type="dxa" w:w="60"/>
              <w:right w:type="dxa" w:w="90"/>
            </w:tcMar>
            <w:vAlign w:val="center"/>
          </w:tcPr>
          <w:p>
            <w:r>
              <w:rPr>
                <w:sz w:val="18"/>
                <w:szCs w:val="18"/>
              </w:rPr>
              <w:t xml:space="preserve">Correction et notation d'un devoir</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12 — Présence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/api/v1/presences/pointage</w:t>
            </w:r>
          </w:p>
        </w:tc>
        <w:tc>
          <w:tcPr>
            <w:tcW w:type="dxa" w:w="3450"/>
            <w:tcMar>
              <w:top w:type="dxa" w:w="60"/>
              <w:left w:type="dxa" w:w="90"/>
              <w:bottom w:type="dxa" w:w="60"/>
              <w:right w:type="dxa" w:w="90"/>
            </w:tcMar>
            <w:vAlign w:val="center"/>
          </w:tcPr>
          <w:p>
            <w:r>
              <w:rPr>
                <w:sz w:val="18"/>
                <w:szCs w:val="18"/>
              </w:rPr>
              <w:t xml:space="preserve">Enregistrement d'un pointage (QR/NFC/biométrie)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/api/v1/eleves/{id}/presences</w:t>
            </w:r>
          </w:p>
        </w:tc>
        <w:tc>
          <w:tcPr>
            <w:tcW w:type="dxa" w:w="3450"/>
            <w:tcMar>
              <w:top w:type="dxa" w:w="60"/>
              <w:left w:type="dxa" w:w="90"/>
              <w:bottom w:type="dxa" w:w="60"/>
              <w:right w:type="dxa" w:w="90"/>
            </w:tcMar>
            <w:vAlign w:val="center"/>
          </w:tcPr>
          <w:p>
            <w:r>
              <w:rPr>
                <w:sz w:val="18"/>
                <w:szCs w:val="18"/>
              </w:rPr>
              <w:t xml:space="preserve">Historique de présence d'un élève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/api/v1/presences/taux</w:t>
            </w:r>
          </w:p>
        </w:tc>
        <w:tc>
          <w:tcPr>
            <w:tcW w:type="dxa" w:w="3450"/>
            <w:tcMar>
              <w:top w:type="dxa" w:w="60"/>
              <w:left w:type="dxa" w:w="90"/>
              <w:bottom w:type="dxa" w:w="60"/>
              <w:right w:type="dxa" w:w="90"/>
            </w:tcMar>
            <w:vAlign w:val="center"/>
          </w:tcPr>
          <w:p>
            <w:r>
              <w:rPr>
                <w:sz w:val="18"/>
                <w:szCs w:val="18"/>
              </w:rPr>
              <w:t xml:space="preserve">Taux de présence agrégé par classe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13 — Discipline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/api/v1/incidents</w:t>
            </w:r>
          </w:p>
        </w:tc>
        <w:tc>
          <w:tcPr>
            <w:tcW w:type="dxa" w:w="3450"/>
            <w:tcMar>
              <w:top w:type="dxa" w:w="60"/>
              <w:left w:type="dxa" w:w="90"/>
              <w:bottom w:type="dxa" w:w="60"/>
              <w:right w:type="dxa" w:w="90"/>
            </w:tcMar>
            <w:vAlign w:val="center"/>
          </w:tcPr>
          <w:p>
            <w:r>
              <w:rPr>
                <w:sz w:val="18"/>
                <w:szCs w:val="18"/>
              </w:rPr>
              <w:t xml:space="preserve">Signalement d'un incident disciplinaire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/api/v1/sanctions</w:t>
            </w:r>
          </w:p>
        </w:tc>
        <w:tc>
          <w:tcPr>
            <w:tcW w:type="dxa" w:w="3450"/>
            <w:tcMar>
              <w:top w:type="dxa" w:w="60"/>
              <w:left w:type="dxa" w:w="90"/>
              <w:bottom w:type="dxa" w:w="60"/>
              <w:right w:type="dxa" w:w="90"/>
            </w:tcMar>
            <w:vAlign w:val="center"/>
          </w:tcPr>
          <w:p>
            <w:r>
              <w:rPr>
                <w:sz w:val="18"/>
                <w:szCs w:val="18"/>
              </w:rPr>
              <w:t xml:space="preserve">Application d'une sanction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/api/v1/conseils-discipline</w:t>
            </w:r>
          </w:p>
        </w:tc>
        <w:tc>
          <w:tcPr>
            <w:tcW w:type="dxa" w:w="3450"/>
            <w:tcMar>
              <w:top w:type="dxa" w:w="60"/>
              <w:left w:type="dxa" w:w="90"/>
              <w:bottom w:type="dxa" w:w="60"/>
              <w:right w:type="dxa" w:w="90"/>
            </w:tcMar>
            <w:vAlign w:val="center"/>
          </w:tcPr>
          <w:p>
            <w:r>
              <w:rPr>
                <w:sz w:val="18"/>
                <w:szCs w:val="18"/>
              </w:rPr>
              <w:t xml:space="preserve">Organisation d'un conseil de discipline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14 — Paiement</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/api/v1/paiements/initier</w:t>
            </w:r>
          </w:p>
        </w:tc>
        <w:tc>
          <w:tcPr>
            <w:tcW w:type="dxa" w:w="3450"/>
            <w:tcMar>
              <w:top w:type="dxa" w:w="60"/>
              <w:left w:type="dxa" w:w="90"/>
              <w:bottom w:type="dxa" w:w="60"/>
              <w:right w:type="dxa" w:w="90"/>
            </w:tcMar>
            <w:vAlign w:val="center"/>
          </w:tcPr>
          <w:p>
            <w:r>
              <w:rPr>
                <w:sz w:val="18"/>
                <w:szCs w:val="18"/>
              </w:rPr>
              <w:t xml:space="preserve">Initiation d'un paiement (idempotent)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/api/v1/webhooks/orange-money</w:t>
            </w:r>
          </w:p>
        </w:tc>
        <w:tc>
          <w:tcPr>
            <w:tcW w:type="dxa" w:w="3450"/>
            <w:tcMar>
              <w:top w:type="dxa" w:w="60"/>
              <w:left w:type="dxa" w:w="90"/>
              <w:bottom w:type="dxa" w:w="60"/>
              <w:right w:type="dxa" w:w="90"/>
            </w:tcMar>
            <w:vAlign w:val="center"/>
          </w:tcPr>
          <w:p>
            <w:r>
              <w:rPr>
                <w:sz w:val="18"/>
                <w:szCs w:val="18"/>
              </w:rPr>
              <w:t xml:space="preserve">Webhook de confirmation Orange Money</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/api/v1/webhooks/mtn-momo</w:t>
            </w:r>
          </w:p>
        </w:tc>
        <w:tc>
          <w:tcPr>
            <w:tcW w:type="dxa" w:w="3450"/>
            <w:tcMar>
              <w:top w:type="dxa" w:w="60"/>
              <w:left w:type="dxa" w:w="90"/>
              <w:bottom w:type="dxa" w:w="60"/>
              <w:right w:type="dxa" w:w="90"/>
            </w:tcMar>
            <w:vAlign w:val="center"/>
          </w:tcPr>
          <w:p>
            <w:r>
              <w:rPr>
                <w:sz w:val="18"/>
                <w:szCs w:val="18"/>
              </w:rPr>
              <w:t xml:space="preserve">Webhook de confirmation MTN MoMo</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/api/v1/eleves/{id}/solde</w:t>
            </w:r>
          </w:p>
        </w:tc>
        <w:tc>
          <w:tcPr>
            <w:tcW w:type="dxa" w:w="3450"/>
            <w:tcMar>
              <w:top w:type="dxa" w:w="60"/>
              <w:left w:type="dxa" w:w="90"/>
              <w:bottom w:type="dxa" w:w="60"/>
              <w:right w:type="dxa" w:w="90"/>
            </w:tcMar>
            <w:vAlign w:val="center"/>
          </w:tcPr>
          <w:p>
            <w:r>
              <w:rPr>
                <w:sz w:val="18"/>
                <w:szCs w:val="18"/>
              </w:rPr>
              <w:t xml:space="preserve">Solde de paiement d'un élève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/api/v1/paiements/{id}/recu</w:t>
            </w:r>
          </w:p>
        </w:tc>
        <w:tc>
          <w:tcPr>
            <w:tcW w:type="dxa" w:w="3450"/>
            <w:tcMar>
              <w:top w:type="dxa" w:w="60"/>
              <w:left w:type="dxa" w:w="90"/>
              <w:bottom w:type="dxa" w:w="60"/>
              <w:right w:type="dxa" w:w="90"/>
            </w:tcMar>
            <w:vAlign w:val="center"/>
          </w:tcPr>
          <w:p>
            <w:r>
              <w:rPr>
                <w:sz w:val="18"/>
                <w:szCs w:val="18"/>
              </w:rPr>
              <w:t xml:space="preserve">Téléchargement du reçu PDF</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15 — Comptabilité</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/api/v1/comptabilite/journal</w:t>
            </w:r>
          </w:p>
        </w:tc>
        <w:tc>
          <w:tcPr>
            <w:tcW w:type="dxa" w:w="3450"/>
            <w:tcMar>
              <w:top w:type="dxa" w:w="60"/>
              <w:left w:type="dxa" w:w="90"/>
              <w:bottom w:type="dxa" w:w="60"/>
              <w:right w:type="dxa" w:w="90"/>
            </w:tcMar>
            <w:vAlign w:val="center"/>
          </w:tcPr>
          <w:p>
            <w:r>
              <w:rPr>
                <w:sz w:val="18"/>
                <w:szCs w:val="18"/>
              </w:rPr>
              <w:t xml:space="preserve">Consultation du journal comptable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/api/v1/depenses</w:t>
            </w:r>
          </w:p>
        </w:tc>
        <w:tc>
          <w:tcPr>
            <w:tcW w:type="dxa" w:w="3450"/>
            <w:tcMar>
              <w:top w:type="dxa" w:w="60"/>
              <w:left w:type="dxa" w:w="90"/>
              <w:bottom w:type="dxa" w:w="60"/>
              <w:right w:type="dxa" w:w="90"/>
            </w:tcMar>
            <w:vAlign w:val="center"/>
          </w:tcPr>
          <w:p>
            <w:r>
              <w:rPr>
                <w:sz w:val="18"/>
                <w:szCs w:val="18"/>
              </w:rPr>
              <w:t xml:space="preserve">Enregistrement d'une dépense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/api/v1/comptabilite/rapports/mensuel</w:t>
            </w:r>
          </w:p>
        </w:tc>
        <w:tc>
          <w:tcPr>
            <w:tcW w:type="dxa" w:w="3450"/>
            <w:tcMar>
              <w:top w:type="dxa" w:w="60"/>
              <w:left w:type="dxa" w:w="90"/>
              <w:bottom w:type="dxa" w:w="60"/>
              <w:right w:type="dxa" w:w="90"/>
            </w:tcMar>
            <w:vAlign w:val="center"/>
          </w:tcPr>
          <w:p>
            <w:r>
              <w:rPr>
                <w:sz w:val="18"/>
                <w:szCs w:val="18"/>
              </w:rPr>
              <w:t xml:space="preserve">Rapport financier mensuel</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16 — Bibliothèque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/api/v1/livres</w:t>
            </w:r>
          </w:p>
        </w:tc>
        <w:tc>
          <w:tcPr>
            <w:tcW w:type="dxa" w:w="3450"/>
            <w:tcMar>
              <w:top w:type="dxa" w:w="60"/>
              <w:left w:type="dxa" w:w="90"/>
              <w:bottom w:type="dxa" w:w="60"/>
              <w:right w:type="dxa" w:w="90"/>
            </w:tcMar>
            <w:vAlign w:val="center"/>
          </w:tcPr>
          <w:p>
            <w:r>
              <w:rPr>
                <w:sz w:val="18"/>
                <w:szCs w:val="18"/>
              </w:rPr>
              <w:t xml:space="preserve">Recherche dans le catalogue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/api/v1/emprunts</w:t>
            </w:r>
          </w:p>
        </w:tc>
        <w:tc>
          <w:tcPr>
            <w:tcW w:type="dxa" w:w="3450"/>
            <w:tcMar>
              <w:top w:type="dxa" w:w="60"/>
              <w:left w:type="dxa" w:w="90"/>
              <w:bottom w:type="dxa" w:w="60"/>
              <w:right w:type="dxa" w:w="90"/>
            </w:tcMar>
            <w:vAlign w:val="center"/>
          </w:tcPr>
          <w:p>
            <w:r>
              <w:rPr>
                <w:sz w:val="18"/>
                <w:szCs w:val="18"/>
              </w:rPr>
              <w:t xml:space="preserve">Enregistrement d'un emprunt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/api/v1/emprunts/{id}/retour</w:t>
            </w:r>
          </w:p>
        </w:tc>
        <w:tc>
          <w:tcPr>
            <w:tcW w:type="dxa" w:w="3450"/>
            <w:tcMar>
              <w:top w:type="dxa" w:w="60"/>
              <w:left w:type="dxa" w:w="90"/>
              <w:bottom w:type="dxa" w:w="60"/>
              <w:right w:type="dxa" w:w="90"/>
            </w:tcMar>
            <w:vAlign w:val="center"/>
          </w:tcPr>
          <w:p>
            <w:r>
              <w:rPr>
                <w:sz w:val="18"/>
                <w:szCs w:val="18"/>
              </w:rPr>
              <w:t xml:space="preserve">Enregistrement d'un retour</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17 — Infirmerie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/api/v1/consultations</w:t>
            </w:r>
          </w:p>
        </w:tc>
        <w:tc>
          <w:tcPr>
            <w:tcW w:type="dxa" w:w="3450"/>
            <w:tcMar>
              <w:top w:type="dxa" w:w="60"/>
              <w:left w:type="dxa" w:w="90"/>
              <w:bottom w:type="dxa" w:w="60"/>
              <w:right w:type="dxa" w:w="90"/>
            </w:tcMar>
            <w:vAlign w:val="center"/>
          </w:tcPr>
          <w:p>
            <w:r>
              <w:rPr>
                <w:sz w:val="18"/>
                <w:szCs w:val="18"/>
              </w:rPr>
              <w:t xml:space="preserve">Enregistrement d'une consultation médicale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/api/v1/urgences</w:t>
            </w:r>
          </w:p>
        </w:tc>
        <w:tc>
          <w:tcPr>
            <w:tcW w:type="dxa" w:w="3450"/>
            <w:tcMar>
              <w:top w:type="dxa" w:w="60"/>
              <w:left w:type="dxa" w:w="90"/>
              <w:bottom w:type="dxa" w:w="60"/>
              <w:right w:type="dxa" w:w="90"/>
            </w:tcMar>
            <w:vAlign w:val="center"/>
          </w:tcPr>
          <w:p>
            <w:r>
              <w:rPr>
                <w:sz w:val="18"/>
                <w:szCs w:val="18"/>
              </w:rPr>
              <w:t xml:space="preserve">Déclaration d'une urgence médicale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/api/v1/eleves/{id}/dossier-medical</w:t>
            </w:r>
          </w:p>
        </w:tc>
        <w:tc>
          <w:tcPr>
            <w:tcW w:type="dxa" w:w="3450"/>
            <w:tcMar>
              <w:top w:type="dxa" w:w="60"/>
              <w:left w:type="dxa" w:w="90"/>
              <w:bottom w:type="dxa" w:w="60"/>
              <w:right w:type="dxa" w:w="90"/>
            </w:tcMar>
            <w:vAlign w:val="center"/>
          </w:tcPr>
          <w:p>
            <w:r>
              <w:rPr>
                <w:sz w:val="18"/>
                <w:szCs w:val="18"/>
              </w:rPr>
              <w:t xml:space="preserve">Dossier médical d'un élève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18 — Transport scolaire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/api/v1/bus/{id}/position</w:t>
            </w:r>
          </w:p>
        </w:tc>
        <w:tc>
          <w:tcPr>
            <w:tcW w:type="dxa" w:w="3450"/>
            <w:tcMar>
              <w:top w:type="dxa" w:w="60"/>
              <w:left w:type="dxa" w:w="90"/>
              <w:bottom w:type="dxa" w:w="60"/>
              <w:right w:type="dxa" w:w="90"/>
            </w:tcMar>
            <w:vAlign w:val="center"/>
          </w:tcPr>
          <w:p>
            <w:r>
              <w:rPr>
                <w:sz w:val="18"/>
                <w:szCs w:val="18"/>
              </w:rPr>
              <w:t xml:space="preserve">Mise à jour de la position GPS (flux continu)</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/api/v1/bus/{id}/position/courante</w:t>
            </w:r>
          </w:p>
        </w:tc>
        <w:tc>
          <w:tcPr>
            <w:tcW w:type="dxa" w:w="3450"/>
            <w:tcMar>
              <w:top w:type="dxa" w:w="60"/>
              <w:left w:type="dxa" w:w="90"/>
              <w:bottom w:type="dxa" w:w="60"/>
              <w:right w:type="dxa" w:w="90"/>
            </w:tcMar>
            <w:vAlign w:val="center"/>
          </w:tcPr>
          <w:p>
            <w:r>
              <w:rPr>
                <w:sz w:val="18"/>
                <w:szCs w:val="18"/>
              </w:rPr>
              <w:t xml:space="preserve">Position actuelle d'un bus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/api/v1/presences-bus</w:t>
            </w:r>
          </w:p>
        </w:tc>
        <w:tc>
          <w:tcPr>
            <w:tcW w:type="dxa" w:w="3450"/>
            <w:tcMar>
              <w:top w:type="dxa" w:w="60"/>
              <w:left w:type="dxa" w:w="90"/>
              <w:bottom w:type="dxa" w:w="60"/>
              <w:right w:type="dxa" w:w="90"/>
            </w:tcMar>
            <w:vAlign w:val="center"/>
          </w:tcPr>
          <w:p>
            <w:r>
              <w:rPr>
                <w:sz w:val="18"/>
                <w:szCs w:val="18"/>
              </w:rPr>
              <w:t xml:space="preserve">Pointage de présence à bord</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19 — Cantine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/api/v1/cantine/menu</w:t>
            </w:r>
          </w:p>
        </w:tc>
        <w:tc>
          <w:tcPr>
            <w:tcW w:type="dxa" w:w="3450"/>
            <w:tcMar>
              <w:top w:type="dxa" w:w="60"/>
              <w:left w:type="dxa" w:w="90"/>
              <w:bottom w:type="dxa" w:w="60"/>
              <w:right w:type="dxa" w:w="90"/>
            </w:tcMar>
            <w:vAlign w:val="center"/>
          </w:tcPr>
          <w:p>
            <w:r>
              <w:rPr>
                <w:sz w:val="18"/>
                <w:szCs w:val="18"/>
              </w:rPr>
              <w:t xml:space="preserve">Menu de la semaine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/api/v1/abonnements-cantine</w:t>
            </w:r>
          </w:p>
        </w:tc>
        <w:tc>
          <w:tcPr>
            <w:tcW w:type="dxa" w:w="3450"/>
            <w:tcMar>
              <w:top w:type="dxa" w:w="60"/>
              <w:left w:type="dxa" w:w="90"/>
              <w:bottom w:type="dxa" w:w="60"/>
              <w:right w:type="dxa" w:w="90"/>
            </w:tcMar>
            <w:vAlign w:val="center"/>
          </w:tcPr>
          <w:p>
            <w:r>
              <w:rPr>
                <w:sz w:val="18"/>
                <w:szCs w:val="18"/>
              </w:rPr>
              <w:t xml:space="preserve">Souscription d'un abonnement cantine</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/api/v1/cantine/stock</w:t>
            </w:r>
          </w:p>
        </w:tc>
        <w:tc>
          <w:tcPr>
            <w:tcW w:type="dxa" w:w="3450"/>
            <w:tcMar>
              <w:top w:type="dxa" w:w="60"/>
              <w:left w:type="dxa" w:w="90"/>
              <w:bottom w:type="dxa" w:w="60"/>
              <w:right w:type="dxa" w:w="90"/>
            </w:tcMar>
            <w:vAlign w:val="center"/>
          </w:tcPr>
          <w:p>
            <w:r>
              <w:rPr>
                <w:sz w:val="18"/>
                <w:szCs w:val="18"/>
              </w:rPr>
              <w:t xml:space="preserve">Niveau de stock courant</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21 — Gestion documentaire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/api/v1/documents</w:t>
            </w:r>
          </w:p>
        </w:tc>
        <w:tc>
          <w:tcPr>
            <w:tcW w:type="dxa" w:w="3450"/>
            <w:tcMar>
              <w:top w:type="dxa" w:w="60"/>
              <w:left w:type="dxa" w:w="90"/>
              <w:bottom w:type="dxa" w:w="60"/>
              <w:right w:type="dxa" w:w="90"/>
            </w:tcMar>
            <w:vAlign w:val="center"/>
          </w:tcPr>
          <w:p>
            <w:r>
              <w:rPr>
                <w:sz w:val="18"/>
                <w:szCs w:val="18"/>
              </w:rPr>
              <w:t xml:space="preserve">Téléversement d'un document</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/api/v1/documents</w:t>
            </w:r>
          </w:p>
        </w:tc>
        <w:tc>
          <w:tcPr>
            <w:tcW w:type="dxa" w:w="3450"/>
            <w:tcMar>
              <w:top w:type="dxa" w:w="60"/>
              <w:left w:type="dxa" w:w="90"/>
              <w:bottom w:type="dxa" w:w="60"/>
              <w:right w:type="dxa" w:w="90"/>
            </w:tcMar>
            <w:vAlign w:val="center"/>
          </w:tcPr>
          <w:p>
            <w:r>
              <w:rPr>
                <w:sz w:val="18"/>
                <w:szCs w:val="18"/>
              </w:rPr>
              <w:t xml:space="preserve">Recherche de documents (filtres propriétaire)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22 — Chat</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455A64"/>
                <w:sz w:val="18"/>
                <w:szCs w:val="18"/>
              </w:rPr>
              <w:t xml:space="preserve">WS</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/ws/conversations/{id}</w:t>
            </w:r>
          </w:p>
        </w:tc>
        <w:tc>
          <w:tcPr>
            <w:tcW w:type="dxa" w:w="3450"/>
            <w:tcMar>
              <w:top w:type="dxa" w:w="60"/>
              <w:left w:type="dxa" w:w="90"/>
              <w:bottom w:type="dxa" w:w="60"/>
              <w:right w:type="dxa" w:w="90"/>
            </w:tcMar>
            <w:vAlign w:val="center"/>
          </w:tcPr>
          <w:p>
            <w:r>
              <w:rPr>
                <w:sz w:val="18"/>
                <w:szCs w:val="18"/>
              </w:rPr>
              <w:t xml:space="preserve">Canal temps réel d'une conversation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/api/v1/conversations</w:t>
            </w:r>
          </w:p>
        </w:tc>
        <w:tc>
          <w:tcPr>
            <w:tcW w:type="dxa" w:w="3450"/>
            <w:tcMar>
              <w:top w:type="dxa" w:w="60"/>
              <w:left w:type="dxa" w:w="90"/>
              <w:bottom w:type="dxa" w:w="60"/>
              <w:right w:type="dxa" w:w="90"/>
            </w:tcMar>
            <w:vAlign w:val="center"/>
          </w:tcPr>
          <w:p>
            <w:r>
              <w:rPr>
                <w:sz w:val="18"/>
                <w:szCs w:val="18"/>
              </w:rPr>
              <w:t xml:space="preserve">Création d'une conversation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/api/v1/conversations/{id}/messages</w:t>
            </w:r>
          </w:p>
        </w:tc>
        <w:tc>
          <w:tcPr>
            <w:tcW w:type="dxa" w:w="3450"/>
            <w:tcMar>
              <w:top w:type="dxa" w:w="60"/>
              <w:left w:type="dxa" w:w="90"/>
              <w:bottom w:type="dxa" w:w="60"/>
              <w:right w:type="dxa" w:w="90"/>
            </w:tcMar>
            <w:vAlign w:val="center"/>
          </w:tcPr>
          <w:p>
            <w:r>
              <w:rPr>
                <w:sz w:val="18"/>
                <w:szCs w:val="18"/>
              </w:rPr>
              <w:t xml:space="preserve">Envoi d'un message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23 — Réunions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/api/v1/reunions</w:t>
            </w:r>
          </w:p>
        </w:tc>
        <w:tc>
          <w:tcPr>
            <w:tcW w:type="dxa" w:w="3450"/>
            <w:tcMar>
              <w:top w:type="dxa" w:w="60"/>
              <w:left w:type="dxa" w:w="90"/>
              <w:bottom w:type="dxa" w:w="60"/>
              <w:right w:type="dxa" w:w="90"/>
            </w:tcMar>
            <w:vAlign w:val="center"/>
          </w:tcPr>
          <w:p>
            <w:r>
              <w:rPr>
                <w:sz w:val="18"/>
                <w:szCs w:val="18"/>
              </w:rPr>
              <w:t xml:space="preserve">Création d'une réunion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/api/v1/reunions/{id}/invites</w:t>
            </w:r>
          </w:p>
        </w:tc>
        <w:tc>
          <w:tcPr>
            <w:tcW w:type="dxa" w:w="3450"/>
            <w:tcMar>
              <w:top w:type="dxa" w:w="60"/>
              <w:left w:type="dxa" w:w="90"/>
              <w:bottom w:type="dxa" w:w="60"/>
              <w:right w:type="dxa" w:w="90"/>
            </w:tcMar>
            <w:vAlign w:val="center"/>
          </w:tcPr>
          <w:p>
            <w:r>
              <w:rPr>
                <w:sz w:val="18"/>
                <w:szCs w:val="18"/>
              </w:rPr>
              <w:t xml:space="preserve">Ajout d'invités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/api/v1/reunions/{id}/compte-rendu</w:t>
            </w:r>
          </w:p>
        </w:tc>
        <w:tc>
          <w:tcPr>
            <w:tcW w:type="dxa" w:w="3450"/>
            <w:tcMar>
              <w:top w:type="dxa" w:w="60"/>
              <w:left w:type="dxa" w:w="90"/>
              <w:bottom w:type="dxa" w:w="60"/>
              <w:right w:type="dxa" w:w="90"/>
            </w:tcMar>
            <w:vAlign w:val="center"/>
          </w:tcPr>
          <w:p>
            <w:r>
              <w:rPr>
                <w:sz w:val="18"/>
                <w:szCs w:val="18"/>
              </w:rPr>
              <w:t xml:space="preserve">Publication du compte-rendu</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24 — Notifications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/api/v1/notifications/envoyer</w:t>
            </w:r>
          </w:p>
        </w:tc>
        <w:tc>
          <w:tcPr>
            <w:tcW w:type="dxa" w:w="3450"/>
            <w:tcMar>
              <w:top w:type="dxa" w:w="60"/>
              <w:left w:type="dxa" w:w="90"/>
              <w:bottom w:type="dxa" w:w="60"/>
              <w:right w:type="dxa" w:w="90"/>
            </w:tcMar>
            <w:vAlign w:val="center"/>
          </w:tcPr>
          <w:p>
            <w:r>
              <w:rPr>
                <w:sz w:val="18"/>
                <w:szCs w:val="18"/>
              </w:rPr>
              <w:t xml:space="preserve">Envoi d'une notification multicanal</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/api/v1/appareils/enregistrer-token</w:t>
            </w:r>
          </w:p>
        </w:tc>
        <w:tc>
          <w:tcPr>
            <w:tcW w:type="dxa" w:w="3450"/>
            <w:tcMar>
              <w:top w:type="dxa" w:w="60"/>
              <w:left w:type="dxa" w:w="90"/>
              <w:bottom w:type="dxa" w:w="60"/>
              <w:right w:type="dxa" w:w="90"/>
            </w:tcMar>
            <w:vAlign w:val="center"/>
          </w:tcPr>
          <w:p>
            <w:r>
              <w:rPr>
                <w:sz w:val="18"/>
                <w:szCs w:val="18"/>
              </w:rPr>
              <w:t xml:space="preserve">Enregistrement d'un token push mobile</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25 — Intelligence artificielle</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/api/v1/ia/orientation/{eleve_id}</w:t>
            </w:r>
          </w:p>
        </w:tc>
        <w:tc>
          <w:tcPr>
            <w:tcW w:type="dxa" w:w="3450"/>
            <w:tcMar>
              <w:top w:type="dxa" w:w="60"/>
              <w:left w:type="dxa" w:w="90"/>
              <w:bottom w:type="dxa" w:w="60"/>
              <w:right w:type="dxa" w:w="90"/>
            </w:tcMar>
            <w:vAlign w:val="center"/>
          </w:tcPr>
          <w:p>
            <w:r>
              <w:rPr>
                <w:sz w:val="18"/>
                <w:szCs w:val="18"/>
              </w:rPr>
              <w:t xml:space="preserve">Génération d'une recommandation d'orientation</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/api/v1/ia/alertes-risque</w:t>
            </w:r>
          </w:p>
        </w:tc>
        <w:tc>
          <w:tcPr>
            <w:tcW w:type="dxa" w:w="3450"/>
            <w:tcMar>
              <w:top w:type="dxa" w:w="60"/>
              <w:left w:type="dxa" w:w="90"/>
              <w:bottom w:type="dxa" w:w="60"/>
              <w:right w:type="dxa" w:w="90"/>
            </w:tcMar>
            <w:vAlign w:val="center"/>
          </w:tcPr>
          <w:p>
            <w:r>
              <w:rPr>
                <w:sz w:val="18"/>
                <w:szCs w:val="18"/>
              </w:rPr>
              <w:t xml:space="preserve">Liste des alertes de risque d'échec</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/api/v1/ia/commentaire-bulletin/{bulletin_id}</w:t>
            </w:r>
          </w:p>
        </w:tc>
        <w:tc>
          <w:tcPr>
            <w:tcW w:type="dxa" w:w="3450"/>
            <w:tcMar>
              <w:top w:type="dxa" w:w="60"/>
              <w:left w:type="dxa" w:w="90"/>
              <w:bottom w:type="dxa" w:w="60"/>
              <w:right w:type="dxa" w:w="90"/>
            </w:tcMar>
            <w:vAlign w:val="center"/>
          </w:tcPr>
          <w:p>
            <w:r>
              <w:rPr>
                <w:sz w:val="18"/>
                <w:szCs w:val="18"/>
              </w:rPr>
              <w:t xml:space="preserve">Génération d'un commentaire de bulletin</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28 — Sécurité</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/api/v1/audit</w:t>
            </w:r>
          </w:p>
        </w:tc>
        <w:tc>
          <w:tcPr>
            <w:tcW w:type="dxa" w:w="3450"/>
            <w:tcMar>
              <w:top w:type="dxa" w:w="60"/>
              <w:left w:type="dxa" w:w="90"/>
              <w:bottom w:type="dxa" w:w="60"/>
              <w:right w:type="dxa" w:w="90"/>
            </w:tcMar>
            <w:vAlign w:val="center"/>
          </w:tcPr>
          <w:p>
            <w:r>
              <w:rPr>
                <w:sz w:val="18"/>
                <w:szCs w:val="18"/>
              </w:rPr>
              <w:t xml:space="preserve">Consultation du journal d'audit (filtres)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/api/v1/consentements</w:t>
            </w:r>
          </w:p>
        </w:tc>
        <w:tc>
          <w:tcPr>
            <w:tcW w:type="dxa" w:w="3450"/>
            <w:tcMar>
              <w:top w:type="dxa" w:w="60"/>
              <w:left w:type="dxa" w:w="90"/>
              <w:bottom w:type="dxa" w:w="60"/>
              <w:right w:type="dxa" w:w="90"/>
            </w:tcMar>
            <w:vAlign w:val="center"/>
          </w:tcPr>
          <w:p>
            <w:r>
              <w:rPr>
                <w:sz w:val="18"/>
                <w:szCs w:val="18"/>
              </w:rPr>
              <w:t xml:space="preserve">Enregistrement d'un consentement RGPD</w:t>
            </w:r>
          </w:p>
        </w:tc>
        <w:tc>
          <w:tcPr>
            <w:tcW w:type="dxa" w:w="600"/>
            <w:tcMar>
              <w:top w:type="dxa" w:w="60"/>
              <w:left w:type="dxa" w:w="90"/>
              <w:bottom w:type="dxa" w:w="60"/>
              <w:right w:type="dxa" w:w="90"/>
            </w:tcMar>
            <w:vAlign w:val="center"/>
          </w:tcPr>
          <w:p>
            <w:pPr>
              <w:jc w:val="center"/>
            </w:pPr>
            <w:r>
              <w:rPr>
                <w:sz w:val="18"/>
                <w:szCs w:val="18"/>
              </w:rPr>
              <w:t xml:space="preserve">✓</w:t>
            </w:r>
          </w:p>
        </w:tc>
      </w:tr>
    </w:tbl>
    <w:p>
      <w:pPr>
        <w:spacing w:before="150"/>
      </w:pPr>
    </w:p>
    <w:p>
      <w:pPr>
        <w:pStyle w:val="Heading2"/>
        <w:spacing w:after="150" w:before="300"/>
      </w:pPr>
      <w:r>
        <w:rPr>
          <w:b/>
          <w:bCs/>
          <w:color w:val="2E86AB"/>
        </w:rPr>
        <w:t xml:space="preserve">Module 30 — API et intégrations externes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3450"/>
        <w:gridCol w:w="600"/>
      </w:tblGrid>
      <w:tr>
        <w:trPr>
          <w:tblHeader/>
        </w:trPr>
        <w:tc>
          <w:tcPr>
            <w:tcW w:type="dxa" w:w="1150"/>
            <w:shd w:fill="1F4E5F" w:color="auto" w:val="clear"/>
            <w:tcMar>
              <w:top w:type="dxa" w:w="60"/>
              <w:left w:type="dxa" w:w="90"/>
              <w:bottom w:type="dxa" w:w="60"/>
              <w:right w:type="dxa" w:w="90"/>
            </w:tcMar>
            <w:vAlign w:val="center"/>
          </w:tcPr>
          <w:p>
            <w:r>
              <w:rPr>
                <w:b/>
                <w:bCs/>
                <w:color w:val="FFFFFF"/>
                <w:sz w:val="19"/>
                <w:szCs w:val="19"/>
              </w:rPr>
              <w:t xml:space="preserve">Méthode</w:t>
            </w:r>
          </w:p>
        </w:tc>
        <w:tc>
          <w:tcPr>
            <w:tcW w:type="dxa" w:w="3750"/>
            <w:shd w:fill="1F4E5F" w:color="auto" w:val="clear"/>
            <w:tcMar>
              <w:top w:type="dxa" w:w="60"/>
              <w:left w:type="dxa" w:w="90"/>
              <w:bottom w:type="dxa" w:w="60"/>
              <w:right w:type="dxa" w:w="90"/>
            </w:tcMar>
            <w:vAlign w:val="center"/>
          </w:tcPr>
          <w:p>
            <w:r>
              <w:rPr>
                <w:b/>
                <w:bCs/>
                <w:color w:val="FFFFFF"/>
                <w:sz w:val="19"/>
                <w:szCs w:val="19"/>
              </w:rPr>
              <w:t xml:space="preserve">Chemin</w:t>
            </w:r>
          </w:p>
        </w:tc>
        <w:tc>
          <w:tcPr>
            <w:tcW w:type="dxa" w:w="3450"/>
            <w:shd w:fill="1F4E5F" w:color="auto" w:val="clear"/>
            <w:tcMar>
              <w:top w:type="dxa" w:w="60"/>
              <w:left w:type="dxa" w:w="90"/>
              <w:bottom w:type="dxa" w:w="60"/>
              <w:right w:type="dxa" w:w="90"/>
            </w:tcMar>
            <w:vAlign w:val="center"/>
          </w:tcPr>
          <w:p>
            <w:r>
              <w:rPr>
                <w:b/>
                <w:bCs/>
                <w:color w:val="FFFFFF"/>
                <w:sz w:val="19"/>
                <w:szCs w:val="19"/>
              </w:rPr>
              <w:t xml:space="preserve">Description</w:t>
            </w:r>
          </w:p>
        </w:tc>
        <w:tc>
          <w:tcPr>
            <w:tcW w:type="dxa" w:w="600"/>
            <w:shd w:fill="1F4E5F" w:color="auto" w:val="clear"/>
            <w:tcMar>
              <w:top w:type="dxa" w:w="60"/>
              <w:left w:type="dxa" w:w="90"/>
              <w:bottom w:type="dxa" w:w="60"/>
              <w:right w:type="dxa" w:w="90"/>
            </w:tcMar>
            <w:vAlign w:val="center"/>
          </w:tcPr>
          <w:p>
            <w:r>
              <w:rPr>
                <w:b/>
                <w:bCs/>
                <w:color w:val="FFFFFF"/>
                <w:sz w:val="19"/>
                <w:szCs w:val="19"/>
              </w:rPr>
              <w:t xml:space="preserve">Auth</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/api/v1/oauth/token</w:t>
            </w:r>
          </w:p>
        </w:tc>
        <w:tc>
          <w:tcPr>
            <w:tcW w:type="dxa" w:w="3450"/>
            <w:tcMar>
              <w:top w:type="dxa" w:w="60"/>
              <w:left w:type="dxa" w:w="90"/>
              <w:bottom w:type="dxa" w:w="60"/>
              <w:right w:type="dxa" w:w="90"/>
            </w:tcMar>
            <w:vAlign w:val="center"/>
          </w:tcPr>
          <w:p>
            <w:r>
              <w:rPr>
                <w:sz w:val="18"/>
                <w:szCs w:val="18"/>
              </w:rPr>
              <w:t xml:space="preserve">Émission d'un jeton pour un client tiers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2E7D32"/>
                <w:sz w:val="18"/>
                <w:szCs w:val="18"/>
              </w:rPr>
              <w:t xml:space="preserve">GET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/api/v1/integrations</w:t>
            </w:r>
          </w:p>
        </w:tc>
        <w:tc>
          <w:tcPr>
            <w:tcW w:type="dxa" w:w="3450"/>
            <w:tcMar>
              <w:top w:type="dxa" w:w="60"/>
              <w:left w:type="dxa" w:w="90"/>
              <w:bottom w:type="dxa" w:w="60"/>
              <w:right w:type="dxa" w:w="90"/>
            </w:tcMar>
            <w:vAlign w:val="center"/>
          </w:tcPr>
          <w:p>
            <w:r>
              <w:rPr>
                <w:sz w:val="18"/>
                <w:szCs w:val="18"/>
              </w:rPr>
              <w:t xml:space="preserve">Liste des intégrations configurées</w:t>
            </w:r>
          </w:p>
        </w:tc>
        <w:tc>
          <w:tcPr>
            <w:tcW w:type="dxa" w:w="600"/>
            <w:tcMar>
              <w:top w:type="dxa" w:w="60"/>
              <w:left w:type="dxa" w:w="90"/>
              <w:bottom w:type="dxa" w:w="60"/>
              <w:right w:type="dxa" w:w="90"/>
            </w:tcMar>
            <w:vAlign w:val="center"/>
          </w:tcPr>
          <w:p>
            <w:pPr>
              <w:jc w:val="center"/>
            </w:pPr>
            <w:r>
              <w:rPr>
                <w:sz w:val="18"/>
                <w:szCs w:val="18"/>
              </w:rPr>
              <w:t xml:space="preserve">✓</w:t>
            </w:r>
          </w:p>
        </w:tc>
      </w:tr>
      <w:tr>
        <w:tc>
          <w:tcPr>
            <w:tcW w:type="dxa" w:w="1150"/>
            <w:tcMar>
              <w:top w:type="dxa" w:w="60"/>
              <w:left w:type="dxa" w:w="90"/>
              <w:bottom w:type="dxa" w:w="60"/>
              <w:right w:type="dxa" w:w="90"/>
            </w:tcMar>
            <w:vAlign w:val="center"/>
          </w:tcPr>
          <w:p>
            <w:r>
              <w:rPr>
                <w:rFonts w:ascii="Consolas" w:cs="Consolas" w:eastAsia="Consolas" w:hAnsi="Consolas"/>
                <w:b/>
                <w:bCs/>
                <w:color w:val="1565C0"/>
                <w:sz w:val="18"/>
                <w:szCs w:val="18"/>
              </w:rPr>
              <w:t xml:space="preserve">POST</w:t>
            </w:r>
          </w:p>
        </w:tc>
        <w:tc>
          <w:tcPr>
            <w:tcW w:type="dxa" w:w="3750"/>
            <w:tcMar>
              <w:top w:type="dxa" w:w="60"/>
              <w:left w:type="dxa" w:w="90"/>
              <w:bottom w:type="dxa" w:w="60"/>
              <w:right w:type="dxa" w:w="90"/>
            </w:tcMar>
            <w:vAlign w:val="center"/>
          </w:tcPr>
          <w:p>
            <w:r>
              <w:rPr>
                <w:rFonts w:ascii="Consolas" w:cs="Consolas" w:eastAsia="Consolas" w:hAnsi="Consolas"/>
                <w:sz w:val="17"/>
                <w:szCs w:val="17"/>
              </w:rPr>
              <w:t xml:space="preserve">/api/v1/integrations/{fournisseur}/configurer</w:t>
            </w:r>
          </w:p>
        </w:tc>
        <w:tc>
          <w:tcPr>
            <w:tcW w:type="dxa" w:w="3450"/>
            <w:tcMar>
              <w:top w:type="dxa" w:w="60"/>
              <w:left w:type="dxa" w:w="90"/>
              <w:bottom w:type="dxa" w:w="60"/>
              <w:right w:type="dxa" w:w="90"/>
            </w:tcMar>
            <w:vAlign w:val="center"/>
          </w:tcPr>
          <w:p>
            <w:r>
              <w:rPr>
                <w:sz w:val="18"/>
                <w:szCs w:val="18"/>
              </w:rPr>
              <w:t xml:space="preserve">Configuration d'une intégration</w:t>
            </w:r>
          </w:p>
        </w:tc>
        <w:tc>
          <w:tcPr>
            <w:tcW w:type="dxa" w:w="600"/>
            <w:tcMar>
              <w:top w:type="dxa" w:w="60"/>
              <w:left w:type="dxa" w:w="90"/>
              <w:bottom w:type="dxa" w:w="60"/>
              <w:right w:type="dxa" w:w="90"/>
            </w:tcMar>
            <w:vAlign w:val="center"/>
          </w:tcPr>
          <w:p>
            <w:pPr>
              <w:jc w:val="center"/>
            </w:pPr>
            <w:r>
              <w:rPr>
                <w:sz w:val="18"/>
                <w:szCs w:val="18"/>
              </w:rPr>
              <w:t xml:space="preserve">✓</w:t>
            </w:r>
          </w:p>
        </w:tc>
      </w:tr>
    </w:tbl>
    <w:p>
      <w:r>
        <w:br w:type="page"/>
      </w:r>
    </w:p>
    <w:p>
      <w:pPr>
        <w:pStyle w:val="Heading1"/>
        <w:spacing w:after="200" w:before="400"/>
      </w:pPr>
      <w:r>
        <w:rPr>
          <w:b/>
          <w:bCs/>
          <w:color w:val="1F4E5F"/>
        </w:rPr>
        <w:t xml:space="preserve">PARTIE IV — EXEMPLES DE REQUÊTES ET RÉPONSES</w:t>
      </w:r>
    </w:p>
    <w:p>
      <w:pPr>
        <w:pStyle w:val="Heading2"/>
        <w:spacing w:after="150" w:before="300"/>
      </w:pPr>
      <w:r>
        <w:rPr>
          <w:b/>
          <w:bCs/>
          <w:color w:val="2E86AB"/>
        </w:rPr>
        <w:t xml:space="preserve">4.1 Authentification</w:t>
      </w:r>
    </w:p>
    <w:p>
      <w:pPr>
        <w:spacing w:after="150"/>
      </w:pPr>
      <w:r>
        <w:t xml:space="preserve">Requête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POST /api/v1/auth/login</w:t>
      </w:r>
      <w:r>
        <w:rPr>
          <w:rFonts w:ascii="Consolas" w:cs="Consolas" w:eastAsia="Consolas" w:hAnsi="Consolas"/>
          <w:sz w:val="18"/>
          <w:szCs w:val="18"/>
        </w:rPr>
        <w:br/>
        <w:t xml:space="preserve">Content-Type: application/json</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"email": "prof.kouam@lbr-douala.educore.africa",</w:t>
      </w:r>
      <w:r>
        <w:rPr>
          <w:rFonts w:ascii="Consolas" w:cs="Consolas" w:eastAsia="Consolas" w:hAnsi="Consolas"/>
          <w:sz w:val="18"/>
          <w:szCs w:val="18"/>
        </w:rPr>
        <w:br/>
        <w:t xml:space="preserve">  "mot_de_passe": "********"</w:t>
      </w:r>
      <w:r>
        <w:rPr>
          <w:rFonts w:ascii="Consolas" w:cs="Consolas" w:eastAsia="Consolas" w:hAnsi="Consolas"/>
          <w:sz w:val="18"/>
          <w:szCs w:val="18"/>
        </w:rPr>
        <w:br/>
        <w:t xml:space="preserve">}</w:t>
      </w:r>
    </w:p>
    <w:p>
      <w:pPr>
        <w:spacing w:after="150"/>
      </w:pPr>
      <w:r>
        <w:t xml:space="preserve">Réponse (200)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w:t>
      </w:r>
      <w:r>
        <w:rPr>
          <w:rFonts w:ascii="Consolas" w:cs="Consolas" w:eastAsia="Consolas" w:hAnsi="Consolas"/>
          <w:sz w:val="18"/>
          <w:szCs w:val="18"/>
        </w:rPr>
        <w:br/>
        <w:t xml:space="preserve">  "jeton": "eyJhbGciOiJIUzI1NiIs...",</w:t>
      </w:r>
      <w:r>
        <w:rPr>
          <w:rFonts w:ascii="Consolas" w:cs="Consolas" w:eastAsia="Consolas" w:hAnsi="Consolas"/>
          <w:sz w:val="18"/>
          <w:szCs w:val="18"/>
        </w:rPr>
        <w:br/>
        <w:t xml:space="preserve">  "jeton_rafraichissement": "8f2c1e...",</w:t>
      </w:r>
      <w:r>
        <w:rPr>
          <w:rFonts w:ascii="Consolas" w:cs="Consolas" w:eastAsia="Consolas" w:hAnsi="Consolas"/>
          <w:sz w:val="18"/>
          <w:szCs w:val="18"/>
        </w:rPr>
        <w:br/>
        <w:t xml:space="preserve">  "expire_dans": 900,</w:t>
      </w:r>
      <w:r>
        <w:rPr>
          <w:rFonts w:ascii="Consolas" w:cs="Consolas" w:eastAsia="Consolas" w:hAnsi="Consolas"/>
          <w:sz w:val="18"/>
          <w:szCs w:val="18"/>
        </w:rPr>
        <w:br/>
        <w:t xml:space="preserve">  "deux_fa_requis": false</w:t>
      </w:r>
      <w:r>
        <w:rPr>
          <w:rFonts w:ascii="Consolas" w:cs="Consolas" w:eastAsia="Consolas" w:hAnsi="Consolas"/>
          <w:sz w:val="18"/>
          <w:szCs w:val="18"/>
        </w:rPr>
        <w:br/>
        <w:t xml:space="preserve">}</w:t>
      </w:r>
    </w:p>
    <w:p>
      <w:pPr>
        <w:pStyle w:val="Heading2"/>
        <w:spacing w:after="150" w:before="300"/>
      </w:pPr>
      <w:r>
        <w:rPr>
          <w:b/>
          <w:bCs/>
          <w:color w:val="2E86AB"/>
        </w:rPr>
        <w:t xml:space="preserve">4.2 Saisie de notes</w:t>
      </w:r>
    </w:p>
    <w:p>
      <w:pPr>
        <w:spacing w:after="150"/>
      </w:pPr>
      <w:r>
        <w:t xml:space="preserve">Requête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POST /api/v1/evaluations/482/notes</w:t>
      </w:r>
      <w:r>
        <w:rPr>
          <w:rFonts w:ascii="Consolas" w:cs="Consolas" w:eastAsia="Consolas" w:hAnsi="Consolas"/>
          <w:sz w:val="18"/>
          <w:szCs w:val="18"/>
        </w:rPr>
        <w:br/>
        <w:t xml:space="preserve">Authorization: Bearer &lt;jeton&gt;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"notes": [</w:t>
      </w:r>
      <w:r>
        <w:rPr>
          <w:rFonts w:ascii="Consolas" w:cs="Consolas" w:eastAsia="Consolas" w:hAnsi="Consolas"/>
          <w:sz w:val="18"/>
          <w:szCs w:val="18"/>
        </w:rPr>
        <w:br/>
        <w:t xml:space="preserve">    { "eleve_id": 1021, "valeur": 14.5 },</w:t>
      </w:r>
      <w:r>
        <w:rPr>
          <w:rFonts w:ascii="Consolas" w:cs="Consolas" w:eastAsia="Consolas" w:hAnsi="Consolas"/>
          <w:sz w:val="18"/>
          <w:szCs w:val="18"/>
        </w:rPr>
        <w:br/>
        <w:t xml:space="preserve">    { "eleve_id": 1022, "valeur": 9.0 },</w:t>
      </w:r>
      <w:r>
        <w:rPr>
          <w:rFonts w:ascii="Consolas" w:cs="Consolas" w:eastAsia="Consolas" w:hAnsi="Consolas"/>
          <w:sz w:val="18"/>
          <w:szCs w:val="18"/>
        </w:rPr>
        <w:br/>
        <w:t xml:space="preserve">    { "eleve_id": 1023, "absent": true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50"/>
      </w:pPr>
      <w:r>
        <w:t xml:space="preserve">Réponse (201)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w:t>
      </w:r>
      <w:r>
        <w:rPr>
          <w:rFonts w:ascii="Consolas" w:cs="Consolas" w:eastAsia="Consolas" w:hAnsi="Consolas"/>
          <w:sz w:val="18"/>
          <w:szCs w:val="18"/>
        </w:rPr>
        <w:br/>
        <w:t xml:space="preserve">  "evaluation_id": 482,</w:t>
      </w:r>
      <w:r>
        <w:rPr>
          <w:rFonts w:ascii="Consolas" w:cs="Consolas" w:eastAsia="Consolas" w:hAnsi="Consolas"/>
          <w:sz w:val="18"/>
          <w:szCs w:val="18"/>
        </w:rPr>
        <w:br/>
        <w:t xml:space="preserve">  "notes_enregistrees": 3,</w:t>
      </w:r>
      <w:r>
        <w:rPr>
          <w:rFonts w:ascii="Consolas" w:cs="Consolas" w:eastAsia="Consolas" w:hAnsi="Consolas"/>
          <w:sz w:val="18"/>
          <w:szCs w:val="18"/>
        </w:rPr>
        <w:br/>
        <w:t xml:space="preserve">  "statut": "saisie"</w:t>
      </w:r>
      <w:r>
        <w:rPr>
          <w:rFonts w:ascii="Consolas" w:cs="Consolas" w:eastAsia="Consolas" w:hAnsi="Consolas"/>
          <w:sz w:val="18"/>
          <w:szCs w:val="18"/>
        </w:rPr>
        <w:br/>
        <w:t xml:space="preserve">}</w:t>
      </w:r>
    </w:p>
    <w:p>
      <w:pPr>
        <w:pStyle w:val="Heading2"/>
        <w:spacing w:after="150" w:before="300"/>
      </w:pPr>
      <w:r>
        <w:rPr>
          <w:b/>
          <w:bCs/>
          <w:color w:val="2E86AB"/>
        </w:rPr>
        <w:t xml:space="preserve">4.3 Initiation d'un paiement mobile</w:t>
      </w:r>
    </w:p>
    <w:p>
      <w:pPr>
        <w:spacing w:after="150"/>
      </w:pPr>
      <w:r>
        <w:t xml:space="preserve">Requête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POST /api/v1/paiements/initier</w:t>
      </w:r>
      <w:r>
        <w:rPr>
          <w:rFonts w:ascii="Consolas" w:cs="Consolas" w:eastAsia="Consolas" w:hAnsi="Consolas"/>
          <w:sz w:val="18"/>
          <w:szCs w:val="18"/>
        </w:rPr>
        <w:br/>
        <w:t xml:space="preserve">Authorization: Bearer &lt;jeton&gt;</w:t>
      </w:r>
      <w:r>
        <w:rPr>
          <w:rFonts w:ascii="Consolas" w:cs="Consolas" w:eastAsia="Consolas" w:hAnsi="Consolas"/>
          <w:sz w:val="18"/>
          <w:szCs w:val="18"/>
        </w:rPr>
        <w:br/>
        <w:t xml:space="preserve">Idempotency-Key: 6f1e2a3b-...</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"eleve_id": 1021,</w:t>
      </w:r>
      <w:r>
        <w:rPr>
          <w:rFonts w:ascii="Consolas" w:cs="Consolas" w:eastAsia="Consolas" w:hAnsi="Consolas"/>
          <w:sz w:val="18"/>
          <w:szCs w:val="18"/>
        </w:rPr>
        <w:br/>
        <w:t xml:space="preserve">  "tranche_id": 305,</w:t>
      </w:r>
      <w:r>
        <w:rPr>
          <w:rFonts w:ascii="Consolas" w:cs="Consolas" w:eastAsia="Consolas" w:hAnsi="Consolas"/>
          <w:sz w:val="18"/>
          <w:szCs w:val="18"/>
        </w:rPr>
        <w:br/>
        <w:t xml:space="preserve">  "montant": 75000,</w:t>
      </w:r>
      <w:r>
        <w:rPr>
          <w:rFonts w:ascii="Consolas" w:cs="Consolas" w:eastAsia="Consolas" w:hAnsi="Consolas"/>
          <w:sz w:val="18"/>
          <w:szCs w:val="18"/>
        </w:rPr>
        <w:br/>
        <w:t xml:space="preserve">  "moyen_paiement": "orange_money",</w:t>
      </w:r>
      <w:r>
        <w:rPr>
          <w:rFonts w:ascii="Consolas" w:cs="Consolas" w:eastAsia="Consolas" w:hAnsi="Consolas"/>
          <w:sz w:val="18"/>
          <w:szCs w:val="18"/>
        </w:rPr>
        <w:br/>
        <w:t xml:space="preserve">  "numero_telephone": "+237690000000"</w:t>
      </w:r>
      <w:r>
        <w:rPr>
          <w:rFonts w:ascii="Consolas" w:cs="Consolas" w:eastAsia="Consolas" w:hAnsi="Consolas"/>
          <w:sz w:val="18"/>
          <w:szCs w:val="18"/>
        </w:rPr>
        <w:br/>
        <w:t xml:space="preserve">}</w:t>
      </w:r>
    </w:p>
    <w:p>
      <w:pPr>
        <w:spacing w:after="150"/>
      </w:pPr>
      <w:r>
        <w:t xml:space="preserve">Réponse (202 — traitement asynchrone)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w:t>
      </w:r>
      <w:r>
        <w:rPr>
          <w:rFonts w:ascii="Consolas" w:cs="Consolas" w:eastAsia="Consolas" w:hAnsi="Consolas"/>
          <w:sz w:val="18"/>
          <w:szCs w:val="18"/>
        </w:rPr>
        <w:br/>
        <w:t xml:space="preserve">  "paiement_id": 98123,</w:t>
      </w:r>
      <w:r>
        <w:rPr>
          <w:rFonts w:ascii="Consolas" w:cs="Consolas" w:eastAsia="Consolas" w:hAnsi="Consolas"/>
          <w:sz w:val="18"/>
          <w:szCs w:val="18"/>
        </w:rPr>
        <w:br/>
        <w:t xml:space="preserve">  "statut": "en_attente",</w:t>
      </w:r>
      <w:r>
        <w:rPr>
          <w:rFonts w:ascii="Consolas" w:cs="Consolas" w:eastAsia="Consolas" w:hAnsi="Consolas"/>
          <w:sz w:val="18"/>
          <w:szCs w:val="18"/>
        </w:rPr>
        <w:br/>
        <w:t xml:space="preserve">  "instructions": "Confirmez la transaction sur votre téléphone."</w:t>
      </w:r>
      <w:r>
        <w:rPr>
          <w:rFonts w:ascii="Consolas" w:cs="Consolas" w:eastAsia="Consolas" w:hAnsi="Consolas"/>
          <w:sz w:val="18"/>
          <w:szCs w:val="18"/>
        </w:rPr>
        <w:br/>
        <w:t xml:space="preserve">}</w:t>
      </w:r>
    </w:p>
    <w:p>
      <w:pPr>
        <w:pStyle w:val="Heading2"/>
        <w:spacing w:after="150" w:before="300"/>
      </w:pPr>
      <w:r>
        <w:rPr>
          <w:b/>
          <w:bCs/>
          <w:color w:val="2E86AB"/>
        </w:rPr>
        <w:t xml:space="preserve">4.4 Erreur métier typée</w:t>
      </w:r>
    </w:p>
    <w:p>
      <w:pPr>
        <w:spacing w:after="150"/>
      </w:pPr>
      <w:r>
        <w:t xml:space="preserve">Exemple de refus lié à une règle de gestion (Volume 1, Module 8) :</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HTTP/1.1 422 Unprocessable Entity</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"erreur": {</w:t>
      </w:r>
      <w:r>
        <w:rPr>
          <w:rFonts w:ascii="Consolas" w:cs="Consolas" w:eastAsia="Consolas" w:hAnsi="Consolas"/>
          <w:sz w:val="18"/>
          <w:szCs w:val="18"/>
        </w:rPr>
        <w:br/>
        <w:t xml:space="preserve">    "code": "NOTE_SUPERIEURE_AU_BAREME",</w:t>
      </w:r>
      <w:r>
        <w:rPr>
          <w:rFonts w:ascii="Consolas" w:cs="Consolas" w:eastAsia="Consolas" w:hAnsi="Consolas"/>
          <w:sz w:val="18"/>
          <w:szCs w:val="18"/>
        </w:rPr>
        <w:br/>
        <w:t xml:space="preserve">    "message": "La note 23 dépasse le barème de 20 défini pour cette évaluation.",</w:t>
      </w:r>
      <w:r>
        <w:rPr>
          <w:rFonts w:ascii="Consolas" w:cs="Consolas" w:eastAsia="Consolas" w:hAnsi="Consolas"/>
          <w:sz w:val="18"/>
          <w:szCs w:val="18"/>
        </w:rPr>
        <w:br/>
        <w:t xml:space="preserve">    "champ": "notes[1].valeur"</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r>
        <w:br w:type="page"/>
      </w:r>
    </w:p>
    <w:p>
      <w:pPr>
        <w:pStyle w:val="Heading1"/>
        <w:spacing w:after="200" w:before="400"/>
      </w:pPr>
      <w:r>
        <w:rPr>
          <w:b/>
          <w:bCs/>
          <w:color w:val="1F4E5F"/>
        </w:rPr>
        <w:t xml:space="preserve">PARTIE V — WEBHOOKS ENTRANTS</w:t>
      </w:r>
    </w:p>
    <w:p>
      <w:pPr>
        <w:spacing w:after="150"/>
      </w:pPr>
      <w:r>
        <w:t xml:space="preserve">La plateforme expose des points d'entrée dédiés à la réception d'événements asynchrones émis par des systèmes externes, principalement les opérateurs de paiement mobile (cf. Volume 3, Figure 4).</w:t>
      </w:r>
    </w:p>
    <w:p>
      <w:pPr>
        <w:pStyle w:val="Heading2"/>
        <w:spacing w:after="150" w:before="300"/>
      </w:pPr>
      <w:r>
        <w:rPr>
          <w:b/>
          <w:bCs/>
          <w:color w:val="2E86AB"/>
        </w:rPr>
        <w:t xml:space="preserve">5.1 Confirmation de paiement Orange Money</w:t>
      </w:r>
    </w:p>
    <w:p>
      <w:pPr>
        <w:pBdr>
          <w:top w:val="single" w:color="DDDDDD" w:sz="2"/>
          <w:bottom w:val="single" w:color="DDDDDD" w:sz="2"/>
          <w:left w:val="single" w:color="DDDDDD" w:sz="2"/>
          <w:right w:val="single" w:color="DDDDDD" w:sz="2"/>
        </w:pBdr>
        <w:shd w:fill="F4F6F7" w:color="auto" w:val="clear"/>
        <w:spacing w:after="150" w:before="100"/>
      </w:pPr>
      <w:r>
        <w:rPr>
          <w:rFonts w:ascii="Consolas" w:cs="Consolas" w:eastAsia="Consolas" w:hAnsi="Consolas"/>
          <w:sz w:val="18"/>
          <w:szCs w:val="18"/>
        </w:rPr>
        <w:t xml:space="preserve">POST /api/v1/webhooks/orange-money</w:t>
      </w:r>
      <w:r>
        <w:rPr>
          <w:rFonts w:ascii="Consolas" w:cs="Consolas" w:eastAsia="Consolas" w:hAnsi="Consolas"/>
          <w:sz w:val="18"/>
          <w:szCs w:val="18"/>
        </w:rPr>
        <w:br/>
        <w:t xml:space="preserve">X-Signature: &lt;signature HMAC&gt;</w:t>
      </w:r>
      <w:r>
        <w:rPr>
          <w:rFonts w:ascii="Consolas" w:cs="Consolas" w:eastAsia="Consolas" w:hAnsi="Consolas"/>
          <w:sz w:val="18"/>
          <w:szCs w:val="18"/>
        </w:rPr>
        <w:br/>
        <w:t xml:space="preserve"/>
      </w:r>
      <w:r>
        <w:rPr>
          <w:rFonts w:ascii="Consolas" w:cs="Consolas" w:eastAsia="Consolas" w:hAnsi="Consolas"/>
          <w:sz w:val="18"/>
          <w:szCs w:val="18"/>
        </w:rPr>
        <w:br/>
        <w:t xml:space="preserve">{</w:t>
      </w:r>
      <w:r>
        <w:rPr>
          <w:rFonts w:ascii="Consolas" w:cs="Consolas" w:eastAsia="Consolas" w:hAnsi="Consolas"/>
          <w:sz w:val="18"/>
          <w:szCs w:val="18"/>
        </w:rPr>
        <w:br/>
        <w:t xml:space="preserve">  "reference_transaction": "OM-20260726-88213",</w:t>
      </w:r>
      <w:r>
        <w:rPr>
          <w:rFonts w:ascii="Consolas" w:cs="Consolas" w:eastAsia="Consolas" w:hAnsi="Consolas"/>
          <w:sz w:val="18"/>
          <w:szCs w:val="18"/>
        </w:rPr>
        <w:br/>
        <w:t xml:space="preserve">  "statut": "SUCCESS",</w:t>
      </w:r>
      <w:r>
        <w:rPr>
          <w:rFonts w:ascii="Consolas" w:cs="Consolas" w:eastAsia="Consolas" w:hAnsi="Consolas"/>
          <w:sz w:val="18"/>
          <w:szCs w:val="18"/>
        </w:rPr>
        <w:br/>
        <w:t xml:space="preserve">  "montant": 75000,</w:t>
      </w:r>
      <w:r>
        <w:rPr>
          <w:rFonts w:ascii="Consolas" w:cs="Consolas" w:eastAsia="Consolas" w:hAnsi="Consolas"/>
          <w:sz w:val="18"/>
          <w:szCs w:val="18"/>
        </w:rPr>
        <w:br/>
        <w:t xml:space="preserve">  "reference_marchand": "98123"</w:t>
      </w:r>
      <w:r>
        <w:rPr>
          <w:rFonts w:ascii="Consolas" w:cs="Consolas" w:eastAsia="Consolas" w:hAnsi="Consolas"/>
          <w:sz w:val="18"/>
          <w:szCs w:val="18"/>
        </w:rPr>
        <w:br/>
        <w:t xml:space="preserve">}</w:t>
      </w:r>
    </w:p>
    <w:p>
      <w:pPr>
        <w:pStyle w:val="ListParagraph"/>
        <w:numPr>
          <w:ilvl w:val="0"/>
          <w:numId w:val="2"/>
        </w:numPr>
        <w:spacing w:after="80"/>
      </w:pPr>
      <w:r>
        <w:t xml:space="preserve">Chaque webhook est authentifié par signature HMAC calculée avec une clé secrète partagée</w:t>
      </w:r>
    </w:p>
    <w:p>
      <w:pPr>
        <w:pStyle w:val="ListParagraph"/>
        <w:numPr>
          <w:ilvl w:val="0"/>
          <w:numId w:val="2"/>
        </w:numPr>
        <w:spacing w:after="80"/>
      </w:pPr>
      <w:r>
        <w:t xml:space="preserve">Le traitement est idempotent : un même reference_transaction reçu plusieurs fois ne génère qu'un seul paiement confirmé</w:t>
      </w:r>
    </w:p>
    <w:p>
      <w:pPr>
        <w:pStyle w:val="ListParagraph"/>
        <w:numPr>
          <w:ilvl w:val="0"/>
          <w:numId w:val="2"/>
        </w:numPr>
        <w:spacing w:after="80"/>
      </w:pPr>
      <w:r>
        <w:t xml:space="preserve">Toute requête non valide (signature incorrecte) est rejetée avec un code 401, sans information sur la cause exacte</w:t>
      </w:r>
    </w:p>
    <w:p>
      <w:pPr>
        <w:pStyle w:val="Heading2"/>
        <w:spacing w:after="150" w:before="300"/>
      </w:pPr>
      <w:r>
        <w:rPr>
          <w:b/>
          <w:bCs/>
          <w:color w:val="2E86AB"/>
        </w:rPr>
        <w:t xml:space="preserve">5.2 Confirmation de paiement MTN MoMo</w:t>
      </w:r>
    </w:p>
    <w:p>
      <w:pPr>
        <w:spacing w:after="150"/>
      </w:pPr>
      <w:r>
        <w:t xml:space="preserve">Fonctionnement identique sur /api/v1/webhooks/mtn-momo, avec un format de charge utile propre à l'API MTN MoMo Collections.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EDUCORE — Documentation API — Volume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2026-07-26T15:42:38.526Z</dcterms:created>
  <dcterms:modified xsi:type="dcterms:W3CDTF">2026-07-26T15:42:38.526Z</dcterms:modified>
</cp:coreProperties>
</file>

<file path=docProps/custom.xml><?xml version="1.0" encoding="utf-8"?>
<Properties xmlns="http://schemas.openxmlformats.org/officeDocument/2006/custom-properties" xmlns:vt="http://schemas.openxmlformats.org/officeDocument/2006/docPropsVTypes"/>
</file>