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4E5F"/>
          <w:sz w:val="48"/>
          <w:szCs w:val="48"/>
        </w:rPr>
        <w:t xml:space="preserve">GUIDE D'INSTALLATION,</w:t>
      </w:r>
    </w:p>
    <w:p>
      <w:pPr>
        <w:spacing w:before="80"/>
        <w:jc w:val="center"/>
      </w:pPr>
      <w:r>
        <w:rPr>
          <w:b/>
          <w:bCs/>
          <w:color w:val="1F4E5F"/>
          <w:sz w:val="48"/>
          <w:szCs w:val="48"/>
        </w:rPr>
        <w:t xml:space="preserve">D'EXPLOITATION ET D'ADMINISTRATION</w:t>
      </w:r>
    </w:p>
    <w:p>
      <w:pPr>
        <w:spacing w:before="300"/>
        <w:jc w:val="center"/>
      </w:pPr>
      <w:r>
        <w:rPr>
          <w:b/>
          <w:bCs/>
          <w:color w:val="2E86AB"/>
          <w:sz w:val="36"/>
          <w:szCs w:val="36"/>
        </w:rPr>
        <w:t xml:space="preserve">VOLUME 7</w:t>
      </w:r>
    </w:p>
    <w:p>
      <w:pPr>
        <w:spacing w:before="600"/>
        <w:jc w:val="center"/>
      </w:pPr>
      <w:r>
        <w:rPr>
          <w:sz w:val="28"/>
          <w:szCs w:val="28"/>
        </w:rPr>
        <w:t xml:space="preserve">Système ERP Intelligent de Gestion d'Établissements Scolaires</w:t>
      </w:r>
    </w:p>
    <w:p>
      <w:pPr>
        <w:spacing w:before="100"/>
        <w:jc w:val="center"/>
      </w:pPr>
      <w:r>
        <w:rPr>
          <w:i/>
          <w:iCs/>
          <w:color w:val="2E86AB"/>
          <w:sz w:val="28"/>
          <w:szCs w:val="28"/>
        </w:rPr>
        <w:t xml:space="preserve">EDUCORE — School ERP Africa</w:t>
      </w:r>
    </w:p>
    <w:p>
      <w:pPr>
        <w:spacing w:before="1200"/>
        <w:jc w:val="center"/>
      </w:pPr>
      <w:r>
        <w:rPr>
          <w:sz w:val="24"/>
          <w:szCs w:val="24"/>
        </w:rPr>
        <w:t xml:space="preserve">Version 1.0</w:t>
      </w:r>
    </w:p>
    <w:p>
      <w:pPr>
        <w:spacing w:before="100"/>
        <w:jc w:val="center"/>
      </w:pPr>
      <w:r>
        <w:rPr>
          <w:sz w:val="24"/>
          <w:szCs w:val="24"/>
        </w:rPr>
        <w:t xml:space="preserve">Juillet 2026</w:t>
      </w:r>
    </w:p>
    <w:p>
      <w:pPr>
        <w:spacing w:before="1600"/>
        <w:jc w:val="center"/>
      </w:pPr>
      <w:r>
        <w:rPr>
          <w:i/>
          <w:iCs/>
          <w:color w:val="888888"/>
          <w:sz w:val="18"/>
          <w:szCs w:val="18"/>
        </w:rPr>
        <w:t xml:space="preserve">Document confidentiel — usage interne au projet</w:t>
      </w:r>
    </w:p>
    <w:p>
      <w:r>
        <w:br w:type="page"/>
      </w:r>
    </w:p>
    <w:p>
      <w:pPr>
        <w:pStyle w:val="Heading1"/>
        <w:spacing w:after="300" w:before="400"/>
      </w:pPr>
      <w:r>
        <w:rPr>
          <w:b/>
          <w:bCs/>
          <w:color w:val="1F4E5F"/>
        </w:rPr>
        <w:t xml:space="preserve">TABLE DES MATIÈRES</w:t>
      </w:r>
    </w:p>
    <w:p>
      <w:pPr>
        <w:spacing w:after="160"/>
        <w:ind w:left="0"/>
      </w:pPr>
      <w:r>
        <w:rPr>
          <w:b/>
          <w:bCs/>
          <w:color w:val="1F4E5F"/>
          <w:sz w:val="22"/>
          <w:szCs w:val="22"/>
        </w:rPr>
        <w:t xml:space="preserve">PARTIE I — INTRODUCTION</w:t>
      </w:r>
      <w:r>
        <w:ptab w:alignment="right" w:relativeTo="margin" w:leader="dot"/>
      </w:r>
      <w:r>
        <w:rPr>
          <w:sz w:val="22"/>
          <w:szCs w:val="22"/>
        </w:rPr>
        <w:t xml:space="preserve">4</w:t>
      </w:r>
    </w:p>
    <w:p>
      <w:pPr>
        <w:spacing w:after="80"/>
        <w:ind w:left="360"/>
      </w:pPr>
      <w:r>
        <w:rPr>
          <w:b w:val="false"/>
          <w:bCs w:val="false"/>
          <w:color w:val="000000"/>
          <w:sz w:val="20"/>
          <w:szCs w:val="20"/>
        </w:rPr>
        <w:t xml:space="preserve">1.1 Objet du document</w:t>
      </w:r>
      <w:r>
        <w:ptab w:alignment="right" w:relativeTo="margin" w:leader="dot"/>
      </w:r>
      <w:r>
        <w:rPr>
          <w:sz w:val="20"/>
          <w:szCs w:val="20"/>
        </w:rPr>
        <w:t xml:space="preserve">4</w:t>
      </w:r>
    </w:p>
    <w:p>
      <w:pPr>
        <w:spacing w:after="80"/>
        <w:ind w:left="360"/>
      </w:pPr>
      <w:r>
        <w:rPr>
          <w:b w:val="false"/>
          <w:bCs w:val="false"/>
          <w:color w:val="000000"/>
          <w:sz w:val="20"/>
          <w:szCs w:val="20"/>
        </w:rPr>
        <w:t xml:space="preserve">1.2 Public cible</w:t>
      </w:r>
      <w:r>
        <w:ptab w:alignment="right" w:relativeTo="margin" w:leader="dot"/>
      </w:r>
      <w:r>
        <w:rPr>
          <w:sz w:val="20"/>
          <w:szCs w:val="20"/>
        </w:rPr>
        <w:t xml:space="preserve">4</w:t>
      </w:r>
    </w:p>
    <w:p>
      <w:pPr>
        <w:spacing w:after="80"/>
        <w:ind w:left="360"/>
      </w:pPr>
      <w:r>
        <w:rPr>
          <w:b w:val="false"/>
          <w:bCs w:val="false"/>
          <w:color w:val="000000"/>
          <w:sz w:val="20"/>
          <w:szCs w:val="20"/>
        </w:rPr>
        <w:t xml:space="preserve">1.3 Documents liés</w:t>
      </w:r>
      <w:r>
        <w:ptab w:alignment="right" w:relativeTo="margin" w:leader="dot"/>
      </w:r>
      <w:r>
        <w:rPr>
          <w:sz w:val="20"/>
          <w:szCs w:val="20"/>
        </w:rPr>
        <w:t xml:space="preserve">4</w:t>
      </w:r>
    </w:p>
    <w:p>
      <w:pPr>
        <w:spacing w:after="160"/>
        <w:ind w:left="0"/>
      </w:pPr>
      <w:r>
        <w:rPr>
          <w:b/>
          <w:bCs/>
          <w:color w:val="1F4E5F"/>
          <w:sz w:val="22"/>
          <w:szCs w:val="22"/>
        </w:rPr>
        <w:t xml:space="preserve">PARTIE II — ENVIRONNEMENT DE DÉVELOPPEMENT</w:t>
      </w:r>
      <w:r>
        <w:ptab w:alignment="right" w:relativeTo="margin" w:leader="dot"/>
      </w:r>
      <w:r>
        <w:rPr>
          <w:sz w:val="22"/>
          <w:szCs w:val="22"/>
        </w:rPr>
        <w:t xml:space="preserve">5</w:t>
      </w:r>
    </w:p>
    <w:p>
      <w:pPr>
        <w:spacing w:after="80"/>
        <w:ind w:left="360"/>
      </w:pPr>
      <w:r>
        <w:rPr>
          <w:b w:val="false"/>
          <w:bCs w:val="false"/>
          <w:color w:val="000000"/>
          <w:sz w:val="20"/>
          <w:szCs w:val="20"/>
        </w:rPr>
        <w:t xml:space="preserve">2.1 Prérequis logiciels</w:t>
      </w:r>
      <w:r>
        <w:ptab w:alignment="right" w:relativeTo="margin" w:leader="dot"/>
      </w:r>
      <w:r>
        <w:rPr>
          <w:sz w:val="20"/>
          <w:szCs w:val="20"/>
        </w:rPr>
        <w:t xml:space="preserve">5</w:t>
      </w:r>
    </w:p>
    <w:p>
      <w:pPr>
        <w:spacing w:after="80"/>
        <w:ind w:left="360"/>
      </w:pPr>
      <w:r>
        <w:rPr>
          <w:b w:val="false"/>
          <w:bCs w:val="false"/>
          <w:color w:val="000000"/>
          <w:sz w:val="20"/>
          <w:szCs w:val="20"/>
        </w:rPr>
        <w:t xml:space="preserve">2.2 Récupération du code source</w:t>
      </w:r>
      <w:r>
        <w:ptab w:alignment="right" w:relativeTo="margin" w:leader="dot"/>
      </w:r>
      <w:r>
        <w:rPr>
          <w:sz w:val="20"/>
          <w:szCs w:val="20"/>
        </w:rPr>
        <w:t xml:space="preserve">5</w:t>
      </w:r>
    </w:p>
    <w:p>
      <w:pPr>
        <w:spacing w:after="80"/>
        <w:ind w:left="360"/>
      </w:pPr>
      <w:r>
        <w:rPr>
          <w:b w:val="false"/>
          <w:bCs w:val="false"/>
          <w:color w:val="000000"/>
          <w:sz w:val="20"/>
          <w:szCs w:val="20"/>
        </w:rPr>
        <w:t xml:space="preserve">2.3 Démarrage de l'environnement local</w:t>
      </w:r>
      <w:r>
        <w:ptab w:alignment="right" w:relativeTo="margin" w:leader="dot"/>
      </w:r>
      <w:r>
        <w:rPr>
          <w:sz w:val="20"/>
          <w:szCs w:val="20"/>
        </w:rPr>
        <w:t xml:space="preserve">5</w:t>
      </w:r>
    </w:p>
    <w:p>
      <w:pPr>
        <w:spacing w:after="80"/>
        <w:ind w:left="360"/>
      </w:pPr>
      <w:r>
        <w:rPr>
          <w:b w:val="false"/>
          <w:bCs w:val="false"/>
          <w:color w:val="000000"/>
          <w:sz w:val="20"/>
          <w:szCs w:val="20"/>
        </w:rPr>
        <w:t xml:space="preserve">2.4 Initialisation de la base de données</w:t>
      </w:r>
      <w:r>
        <w:ptab w:alignment="right" w:relativeTo="margin" w:leader="dot"/>
      </w:r>
      <w:r>
        <w:rPr>
          <w:sz w:val="20"/>
          <w:szCs w:val="20"/>
        </w:rPr>
        <w:t xml:space="preserve">5</w:t>
      </w:r>
    </w:p>
    <w:p>
      <w:pPr>
        <w:spacing w:after="80"/>
        <w:ind w:left="360"/>
      </w:pPr>
      <w:r>
        <w:rPr>
          <w:b w:val="false"/>
          <w:bCs w:val="false"/>
          <w:color w:val="000000"/>
          <w:sz w:val="20"/>
          <w:szCs w:val="20"/>
        </w:rPr>
        <w:t xml:space="preserve">2.5 Lancement du backend en mode développement</w:t>
      </w:r>
      <w:r>
        <w:ptab w:alignment="right" w:relativeTo="margin" w:leader="dot"/>
      </w:r>
      <w:r>
        <w:rPr>
          <w:sz w:val="20"/>
          <w:szCs w:val="20"/>
        </w:rPr>
        <w:t xml:space="preserve">5</w:t>
      </w:r>
    </w:p>
    <w:p>
      <w:pPr>
        <w:spacing w:after="160"/>
        <w:ind w:left="0"/>
      </w:pPr>
      <w:r>
        <w:rPr>
          <w:b/>
          <w:bCs/>
          <w:color w:val="1F4E5F"/>
          <w:sz w:val="22"/>
          <w:szCs w:val="22"/>
        </w:rPr>
        <w:t xml:space="preserve">PARTIE III — CONFIGURATION</w:t>
      </w:r>
      <w:r>
        <w:ptab w:alignment="right" w:relativeTo="margin" w:leader="dot"/>
      </w:r>
      <w:r>
        <w:rPr>
          <w:sz w:val="22"/>
          <w:szCs w:val="22"/>
        </w:rPr>
        <w:t xml:space="preserve">6</w:t>
      </w:r>
    </w:p>
    <w:p>
      <w:pPr>
        <w:spacing w:after="80"/>
        <w:ind w:left="360"/>
      </w:pPr>
      <w:r>
        <w:rPr>
          <w:b w:val="false"/>
          <w:bCs w:val="false"/>
          <w:color w:val="000000"/>
          <w:sz w:val="20"/>
          <w:szCs w:val="20"/>
        </w:rPr>
        <w:t xml:space="preserve">3.1 Variables d'environnement principales</w:t>
      </w:r>
      <w:r>
        <w:ptab w:alignment="right" w:relativeTo="margin" w:leader="dot"/>
      </w:r>
      <w:r>
        <w:rPr>
          <w:sz w:val="20"/>
          <w:szCs w:val="20"/>
        </w:rPr>
        <w:t xml:space="preserve">6</w:t>
      </w:r>
    </w:p>
    <w:p>
      <w:pPr>
        <w:spacing w:after="80"/>
        <w:ind w:left="360"/>
      </w:pPr>
      <w:r>
        <w:rPr>
          <w:b w:val="false"/>
          <w:bCs w:val="false"/>
          <w:color w:val="000000"/>
          <w:sz w:val="20"/>
          <w:szCs w:val="20"/>
        </w:rPr>
        <w:t xml:space="preserve">3.2 Gestion des secrets</w:t>
      </w:r>
      <w:r>
        <w:ptab w:alignment="right" w:relativeTo="margin" w:leader="dot"/>
      </w:r>
      <w:r>
        <w:rPr>
          <w:sz w:val="20"/>
          <w:szCs w:val="20"/>
        </w:rPr>
        <w:t xml:space="preserve">6</w:t>
      </w:r>
    </w:p>
    <w:p>
      <w:pPr>
        <w:spacing w:after="80"/>
        <w:ind w:left="360"/>
      </w:pPr>
      <w:r>
        <w:rPr>
          <w:b w:val="false"/>
          <w:bCs w:val="false"/>
          <w:color w:val="000000"/>
          <w:sz w:val="20"/>
          <w:szCs w:val="20"/>
        </w:rPr>
        <w:t xml:space="preserve">3.3 Configuration par environnement</w:t>
      </w:r>
      <w:r>
        <w:ptab w:alignment="right" w:relativeTo="margin" w:leader="dot"/>
      </w:r>
      <w:r>
        <w:rPr>
          <w:sz w:val="20"/>
          <w:szCs w:val="20"/>
        </w:rPr>
        <w:t xml:space="preserve">6</w:t>
      </w:r>
    </w:p>
    <w:p>
      <w:pPr>
        <w:spacing w:after="160"/>
        <w:ind w:left="0"/>
      </w:pPr>
      <w:r>
        <w:rPr>
          <w:b/>
          <w:bCs/>
          <w:color w:val="1F4E5F"/>
          <w:sz w:val="22"/>
          <w:szCs w:val="22"/>
        </w:rPr>
        <w:t xml:space="preserve">PARTIE IV — DÉPLOIEMENT EN PRODUCTION</w:t>
      </w:r>
      <w:r>
        <w:ptab w:alignment="right" w:relativeTo="margin" w:leader="dot"/>
      </w:r>
      <w:r>
        <w:rPr>
          <w:sz w:val="22"/>
          <w:szCs w:val="22"/>
        </w:rPr>
        <w:t xml:space="preserve">7</w:t>
      </w:r>
    </w:p>
    <w:p>
      <w:pPr>
        <w:spacing w:after="80"/>
        <w:ind w:left="360"/>
      </w:pPr>
      <w:r>
        <w:rPr>
          <w:b w:val="false"/>
          <w:bCs w:val="false"/>
          <w:color w:val="000000"/>
          <w:sz w:val="20"/>
          <w:szCs w:val="20"/>
        </w:rPr>
        <w:t xml:space="preserve">4.1 Checklist avant mise en production</w:t>
      </w:r>
      <w:r>
        <w:ptab w:alignment="right" w:relativeTo="margin" w:leader="dot"/>
      </w:r>
      <w:r>
        <w:rPr>
          <w:sz w:val="20"/>
          <w:szCs w:val="20"/>
        </w:rPr>
        <w:t xml:space="preserve">7</w:t>
      </w:r>
    </w:p>
    <w:p>
      <w:pPr>
        <w:spacing w:after="80"/>
        <w:ind w:left="360"/>
      </w:pPr>
      <w:r>
        <w:rPr>
          <w:b w:val="false"/>
          <w:bCs w:val="false"/>
          <w:color w:val="000000"/>
          <w:sz w:val="20"/>
          <w:szCs w:val="20"/>
        </w:rPr>
        <w:t xml:space="preserve">4.2 Procédure de déploiement</w:t>
      </w:r>
      <w:r>
        <w:ptab w:alignment="right" w:relativeTo="margin" w:leader="dot"/>
      </w:r>
      <w:r>
        <w:rPr>
          <w:sz w:val="20"/>
          <w:szCs w:val="20"/>
        </w:rPr>
        <w:t xml:space="preserve">7</w:t>
      </w:r>
    </w:p>
    <w:p>
      <w:pPr>
        <w:spacing w:after="80"/>
        <w:ind w:left="360"/>
      </w:pPr>
      <w:r>
        <w:rPr>
          <w:b w:val="false"/>
          <w:bCs w:val="false"/>
          <w:color w:val="000000"/>
          <w:sz w:val="20"/>
          <w:szCs w:val="20"/>
        </w:rPr>
        <w:t xml:space="preserve">4.3 Plan de rollback</w:t>
      </w:r>
      <w:r>
        <w:ptab w:alignment="right" w:relativeTo="margin" w:leader="dot"/>
      </w:r>
      <w:r>
        <w:rPr>
          <w:sz w:val="20"/>
          <w:szCs w:val="20"/>
        </w:rPr>
        <w:t xml:space="preserve">7</w:t>
      </w:r>
    </w:p>
    <w:p>
      <w:pPr>
        <w:spacing w:after="160"/>
        <w:ind w:left="0"/>
      </w:pPr>
      <w:r>
        <w:rPr>
          <w:b/>
          <w:bCs/>
          <w:color w:val="1F4E5F"/>
          <w:sz w:val="22"/>
          <w:szCs w:val="22"/>
        </w:rPr>
        <w:t xml:space="preserve">PARTIE V — ONBOARDING D'UN NOUVEL ÉTABLISSEMENT</w:t>
      </w:r>
      <w:r>
        <w:ptab w:alignment="right" w:relativeTo="margin" w:leader="dot"/>
      </w:r>
      <w:r>
        <w:rPr>
          <w:sz w:val="22"/>
          <w:szCs w:val="22"/>
        </w:rPr>
        <w:t xml:space="preserve">8</w:t>
      </w:r>
    </w:p>
    <w:p>
      <w:pPr>
        <w:spacing w:after="80"/>
        <w:ind w:left="360"/>
      </w:pPr>
      <w:r>
        <w:rPr>
          <w:b w:val="false"/>
          <w:bCs w:val="false"/>
          <w:color w:val="000000"/>
          <w:sz w:val="20"/>
          <w:szCs w:val="20"/>
        </w:rPr>
        <w:t xml:space="preserve">5.1 Étapes de provisionnement</w:t>
      </w:r>
      <w:r>
        <w:ptab w:alignment="right" w:relativeTo="margin" w:leader="dot"/>
      </w:r>
      <w:r>
        <w:rPr>
          <w:sz w:val="20"/>
          <w:szCs w:val="20"/>
        </w:rPr>
        <w:t xml:space="preserve">8</w:t>
      </w:r>
    </w:p>
    <w:p>
      <w:pPr>
        <w:spacing w:after="80"/>
        <w:ind w:left="360"/>
      </w:pPr>
      <w:r>
        <w:rPr>
          <w:b w:val="false"/>
          <w:bCs w:val="false"/>
          <w:color w:val="000000"/>
          <w:sz w:val="20"/>
          <w:szCs w:val="20"/>
        </w:rPr>
        <w:t xml:space="preserve">5.2 Commande d'administration</w:t>
      </w:r>
      <w:r>
        <w:ptab w:alignment="right" w:relativeTo="margin" w:leader="dot"/>
      </w:r>
      <w:r>
        <w:rPr>
          <w:sz w:val="20"/>
          <w:szCs w:val="20"/>
        </w:rPr>
        <w:t xml:space="preserve">8</w:t>
      </w:r>
    </w:p>
    <w:p>
      <w:pPr>
        <w:spacing w:after="160"/>
        <w:ind w:left="0"/>
      </w:pPr>
      <w:r>
        <w:rPr>
          <w:b/>
          <w:bCs/>
          <w:color w:val="1F4E5F"/>
          <w:sz w:val="22"/>
          <w:szCs w:val="22"/>
        </w:rPr>
        <w:t xml:space="preserve">PARTIE VI — EXPLOITATION QUOTIDIENNE</w:t>
      </w:r>
      <w:r>
        <w:ptab w:alignment="right" w:relativeTo="margin" w:leader="dot"/>
      </w:r>
      <w:r>
        <w:rPr>
          <w:sz w:val="22"/>
          <w:szCs w:val="22"/>
        </w:rPr>
        <w:t xml:space="preserve">9</w:t>
      </w:r>
    </w:p>
    <w:p>
      <w:pPr>
        <w:spacing w:after="80"/>
        <w:ind w:left="360"/>
      </w:pPr>
      <w:r>
        <w:rPr>
          <w:b w:val="false"/>
          <w:bCs w:val="false"/>
          <w:color w:val="000000"/>
          <w:sz w:val="20"/>
          <w:szCs w:val="20"/>
        </w:rPr>
        <w:t xml:space="preserve">6.1 Tableaux de bord de supervision</w:t>
      </w:r>
      <w:r>
        <w:ptab w:alignment="right" w:relativeTo="margin" w:leader="dot"/>
      </w:r>
      <w:r>
        <w:rPr>
          <w:sz w:val="20"/>
          <w:szCs w:val="20"/>
        </w:rPr>
        <w:t xml:space="preserve">9</w:t>
      </w:r>
    </w:p>
    <w:p>
      <w:pPr>
        <w:spacing w:after="80"/>
        <w:ind w:left="360"/>
      </w:pPr>
      <w:r>
        <w:rPr>
          <w:b w:val="false"/>
          <w:bCs w:val="false"/>
          <w:color w:val="000000"/>
          <w:sz w:val="20"/>
          <w:szCs w:val="20"/>
        </w:rPr>
        <w:t xml:space="preserve">6.2 Seuils d'alerte recommandés</w:t>
      </w:r>
      <w:r>
        <w:ptab w:alignment="right" w:relativeTo="margin" w:leader="dot"/>
      </w:r>
      <w:r>
        <w:rPr>
          <w:sz w:val="20"/>
          <w:szCs w:val="20"/>
        </w:rPr>
        <w:t xml:space="preserve">9</w:t>
      </w:r>
    </w:p>
    <w:p>
      <w:pPr>
        <w:spacing w:after="80"/>
        <w:ind w:left="360"/>
      </w:pPr>
      <w:r>
        <w:rPr>
          <w:b w:val="false"/>
          <w:bCs w:val="false"/>
          <w:color w:val="000000"/>
          <w:sz w:val="20"/>
          <w:szCs w:val="20"/>
        </w:rPr>
        <w:t xml:space="preserve">6.3 Journalisation</w:t>
      </w:r>
      <w:r>
        <w:ptab w:alignment="right" w:relativeTo="margin" w:leader="dot"/>
      </w:r>
      <w:r>
        <w:rPr>
          <w:sz w:val="20"/>
          <w:szCs w:val="20"/>
        </w:rPr>
        <w:t xml:space="preserve">9</w:t>
      </w:r>
    </w:p>
    <w:p>
      <w:pPr>
        <w:spacing w:after="160"/>
        <w:ind w:left="0"/>
      </w:pPr>
      <w:r>
        <w:rPr>
          <w:b/>
          <w:bCs/>
          <w:color w:val="1F4E5F"/>
          <w:sz w:val="22"/>
          <w:szCs w:val="22"/>
        </w:rPr>
        <w:t xml:space="preserve">PARTIE VII — SAUVEGARDE ET RESTAURATION</w:t>
      </w:r>
      <w:r>
        <w:ptab w:alignment="right" w:relativeTo="margin" w:leader="dot"/>
      </w:r>
      <w:r>
        <w:rPr>
          <w:sz w:val="22"/>
          <w:szCs w:val="22"/>
        </w:rPr>
        <w:t xml:space="preserve">10</w:t>
      </w:r>
    </w:p>
    <w:p>
      <w:pPr>
        <w:spacing w:after="80"/>
        <w:ind w:left="360"/>
      </w:pPr>
      <w:r>
        <w:rPr>
          <w:b w:val="false"/>
          <w:bCs w:val="false"/>
          <w:color w:val="000000"/>
          <w:sz w:val="20"/>
          <w:szCs w:val="20"/>
        </w:rPr>
        <w:t xml:space="preserve">7.1 Politique de sauvegarde</w:t>
      </w:r>
      <w:r>
        <w:ptab w:alignment="right" w:relativeTo="margin" w:leader="dot"/>
      </w:r>
      <w:r>
        <w:rPr>
          <w:sz w:val="20"/>
          <w:szCs w:val="20"/>
        </w:rPr>
        <w:t xml:space="preserve">10</w:t>
      </w:r>
    </w:p>
    <w:p>
      <w:pPr>
        <w:spacing w:after="80"/>
        <w:ind w:left="360"/>
      </w:pPr>
      <w:r>
        <w:rPr>
          <w:b w:val="false"/>
          <w:bCs w:val="false"/>
          <w:color w:val="000000"/>
          <w:sz w:val="20"/>
          <w:szCs w:val="20"/>
        </w:rPr>
        <w:t xml:space="preserve">7.2 Procédure de restauration</w:t>
      </w:r>
      <w:r>
        <w:ptab w:alignment="right" w:relativeTo="margin" w:leader="dot"/>
      </w:r>
      <w:r>
        <w:rPr>
          <w:sz w:val="20"/>
          <w:szCs w:val="20"/>
        </w:rPr>
        <w:t xml:space="preserve">10</w:t>
      </w:r>
    </w:p>
    <w:p>
      <w:pPr>
        <w:spacing w:after="80"/>
        <w:ind w:left="360"/>
      </w:pPr>
      <w:r>
        <w:rPr>
          <w:b w:val="false"/>
          <w:bCs w:val="false"/>
          <w:color w:val="000000"/>
          <w:sz w:val="20"/>
          <w:szCs w:val="20"/>
        </w:rPr>
        <w:t xml:space="preserve">7.3 Test de restauration</w:t>
      </w:r>
      <w:r>
        <w:ptab w:alignment="right" w:relativeTo="margin" w:leader="dot"/>
      </w:r>
      <w:r>
        <w:rPr>
          <w:sz w:val="20"/>
          <w:szCs w:val="20"/>
        </w:rPr>
        <w:t xml:space="preserve">10</w:t>
      </w:r>
    </w:p>
    <w:p>
      <w:pPr>
        <w:spacing w:after="160"/>
        <w:ind w:left="0"/>
      </w:pPr>
      <w:r>
        <w:rPr>
          <w:b/>
          <w:bCs/>
          <w:color w:val="1F4E5F"/>
          <w:sz w:val="22"/>
          <w:szCs w:val="22"/>
        </w:rPr>
        <w:t xml:space="preserve">PARTIE VIII — ADMINISTRATION FONCTIONNELLE</w:t>
      </w:r>
      <w:r>
        <w:ptab w:alignment="right" w:relativeTo="margin" w:leader="dot"/>
      </w:r>
      <w:r>
        <w:rPr>
          <w:sz w:val="22"/>
          <w:szCs w:val="22"/>
        </w:rPr>
        <w:t xml:space="preserve">11</w:t>
      </w:r>
    </w:p>
    <w:p>
      <w:pPr>
        <w:spacing w:after="80"/>
        <w:ind w:left="360"/>
      </w:pPr>
      <w:r>
        <w:rPr>
          <w:b w:val="false"/>
          <w:bCs w:val="false"/>
          <w:color w:val="000000"/>
          <w:sz w:val="20"/>
          <w:szCs w:val="20"/>
        </w:rPr>
        <w:t xml:space="preserve">8.1 Gestion des abonnements</w:t>
      </w:r>
      <w:r>
        <w:ptab w:alignment="right" w:relativeTo="margin" w:leader="dot"/>
      </w:r>
      <w:r>
        <w:rPr>
          <w:sz w:val="20"/>
          <w:szCs w:val="20"/>
        </w:rPr>
        <w:t xml:space="preserve">11</w:t>
      </w:r>
    </w:p>
    <w:p>
      <w:pPr>
        <w:spacing w:after="80"/>
        <w:ind w:left="360"/>
      </w:pPr>
      <w:r>
        <w:rPr>
          <w:b w:val="false"/>
          <w:bCs w:val="false"/>
          <w:color w:val="000000"/>
          <w:sz w:val="20"/>
          <w:szCs w:val="20"/>
        </w:rPr>
        <w:t xml:space="preserve">8.2 Suspension et réactivation d'un établissement</w:t>
      </w:r>
      <w:r>
        <w:ptab w:alignment="right" w:relativeTo="margin" w:leader="dot"/>
      </w:r>
      <w:r>
        <w:rPr>
          <w:sz w:val="20"/>
          <w:szCs w:val="20"/>
        </w:rPr>
        <w:t xml:space="preserve">11</w:t>
      </w:r>
    </w:p>
    <w:p>
      <w:pPr>
        <w:spacing w:after="80"/>
        <w:ind w:left="360"/>
      </w:pPr>
      <w:r>
        <w:rPr>
          <w:b w:val="false"/>
          <w:bCs w:val="false"/>
          <w:color w:val="000000"/>
          <w:sz w:val="20"/>
          <w:szCs w:val="20"/>
        </w:rPr>
        <w:t xml:space="preserve">8.3 Support et assistance</w:t>
      </w:r>
      <w:r>
        <w:ptab w:alignment="right" w:relativeTo="margin" w:leader="dot"/>
      </w:r>
      <w:r>
        <w:rPr>
          <w:sz w:val="20"/>
          <w:szCs w:val="20"/>
        </w:rPr>
        <w:t xml:space="preserve">11</w:t>
      </w:r>
    </w:p>
    <w:p>
      <w:pPr>
        <w:spacing w:after="160"/>
        <w:ind w:left="0"/>
      </w:pPr>
      <w:r>
        <w:rPr>
          <w:b/>
          <w:bCs/>
          <w:color w:val="1F4E5F"/>
          <w:sz w:val="22"/>
          <w:szCs w:val="22"/>
        </w:rPr>
        <w:t xml:space="preserve">PARTIE IX — PROCÉDURES DE RÉPONSE AUX INCIDENTS</w:t>
      </w:r>
      <w:r>
        <w:ptab w:alignment="right" w:relativeTo="margin" w:leader="dot"/>
      </w:r>
      <w:r>
        <w:rPr>
          <w:sz w:val="22"/>
          <w:szCs w:val="22"/>
        </w:rPr>
        <w:t xml:space="preserve">12</w:t>
      </w:r>
    </w:p>
    <w:p>
      <w:pPr>
        <w:spacing w:after="80"/>
        <w:ind w:left="360"/>
      </w:pPr>
      <w:r>
        <w:rPr>
          <w:b w:val="false"/>
          <w:bCs w:val="false"/>
          <w:color w:val="000000"/>
          <w:sz w:val="20"/>
          <w:szCs w:val="20"/>
        </w:rPr>
        <w:t xml:space="preserve">9.1 Panne de la base de données primaire</w:t>
      </w:r>
      <w:r>
        <w:ptab w:alignment="right" w:relativeTo="margin" w:leader="dot"/>
      </w:r>
      <w:r>
        <w:rPr>
          <w:sz w:val="20"/>
          <w:szCs w:val="20"/>
        </w:rPr>
        <w:t xml:space="preserve">12</w:t>
      </w:r>
    </w:p>
    <w:p>
      <w:pPr>
        <w:spacing w:after="80"/>
        <w:ind w:left="360"/>
      </w:pPr>
      <w:r>
        <w:rPr>
          <w:b w:val="false"/>
          <w:bCs w:val="false"/>
          <w:color w:val="000000"/>
          <w:sz w:val="20"/>
          <w:szCs w:val="20"/>
        </w:rPr>
        <w:t xml:space="preserve">9.2 Pic d'échecs de paiement mobile</w:t>
      </w:r>
      <w:r>
        <w:ptab w:alignment="right" w:relativeTo="margin" w:leader="dot"/>
      </w:r>
      <w:r>
        <w:rPr>
          <w:sz w:val="20"/>
          <w:szCs w:val="20"/>
        </w:rPr>
        <w:t xml:space="preserve">12</w:t>
      </w:r>
    </w:p>
    <w:p>
      <w:pPr>
        <w:spacing w:after="80"/>
        <w:ind w:left="360"/>
      </w:pPr>
      <w:r>
        <w:rPr>
          <w:b w:val="false"/>
          <w:bCs w:val="false"/>
          <w:color w:val="000000"/>
          <w:sz w:val="20"/>
          <w:szCs w:val="20"/>
        </w:rPr>
        <w:t xml:space="preserve">9.3 Saturation de la file de messages</w:t>
      </w:r>
      <w:r>
        <w:ptab w:alignment="right" w:relativeTo="margin" w:leader="dot"/>
      </w:r>
      <w:r>
        <w:rPr>
          <w:sz w:val="20"/>
          <w:szCs w:val="20"/>
        </w:rPr>
        <w:t xml:space="preserve">12</w:t>
      </w:r>
    </w:p>
    <w:p>
      <w:pPr>
        <w:spacing w:after="80"/>
        <w:ind w:left="360"/>
      </w:pPr>
      <w:r>
        <w:rPr>
          <w:b w:val="false"/>
          <w:bCs w:val="false"/>
          <w:color w:val="000000"/>
          <w:sz w:val="20"/>
          <w:szCs w:val="20"/>
        </w:rPr>
        <w:t xml:space="preserve">9.4 Dégradation des temps de réponse</w:t>
      </w:r>
      <w:r>
        <w:ptab w:alignment="right" w:relativeTo="margin" w:leader="dot"/>
      </w:r>
      <w:r>
        <w:rPr>
          <w:sz w:val="20"/>
          <w:szCs w:val="20"/>
        </w:rPr>
        <w:t xml:space="preserve">12</w:t>
      </w:r>
    </w:p>
    <w:p>
      <w:pPr>
        <w:spacing w:after="160"/>
        <w:ind w:left="0"/>
      </w:pPr>
      <w:r>
        <w:rPr>
          <w:b/>
          <w:bCs/>
          <w:color w:val="1F4E5F"/>
          <w:sz w:val="22"/>
          <w:szCs w:val="22"/>
        </w:rPr>
        <w:t xml:space="preserve">PARTIE X — MAINTENANCE ET MONTÉES DE VERSION</w:t>
      </w:r>
      <w:r>
        <w:ptab w:alignment="right" w:relativeTo="margin" w:leader="dot"/>
      </w:r>
      <w:r>
        <w:rPr>
          <w:sz w:val="22"/>
          <w:szCs w:val="22"/>
        </w:rPr>
        <w:t xml:space="preserve">13</w:t>
      </w:r>
    </w:p>
    <w:p>
      <w:pPr>
        <w:spacing w:after="80"/>
        <w:ind w:left="360"/>
      </w:pPr>
      <w:r>
        <w:rPr>
          <w:b w:val="false"/>
          <w:bCs w:val="false"/>
          <w:color w:val="000000"/>
          <w:sz w:val="20"/>
          <w:szCs w:val="20"/>
        </w:rPr>
        <w:t xml:space="preserve">10.1 Principes des migrations de schéma</w:t>
      </w:r>
      <w:r>
        <w:ptab w:alignment="right" w:relativeTo="margin" w:leader="dot"/>
      </w:r>
      <w:r>
        <w:rPr>
          <w:sz w:val="20"/>
          <w:szCs w:val="20"/>
        </w:rPr>
        <w:t xml:space="preserve">13</w:t>
      </w:r>
    </w:p>
    <w:p>
      <w:pPr>
        <w:spacing w:after="80"/>
        <w:ind w:left="360"/>
      </w:pPr>
      <w:r>
        <w:rPr>
          <w:b w:val="false"/>
          <w:bCs w:val="false"/>
          <w:color w:val="000000"/>
          <w:sz w:val="20"/>
          <w:szCs w:val="20"/>
        </w:rPr>
        <w:t xml:space="preserve">10.2 Fenêtres de maintenance</w:t>
      </w:r>
      <w:r>
        <w:ptab w:alignment="right" w:relativeTo="margin" w:leader="dot"/>
      </w:r>
      <w:r>
        <w:rPr>
          <w:sz w:val="20"/>
          <w:szCs w:val="20"/>
        </w:rPr>
        <w:t xml:space="preserve">13</w:t>
      </w:r>
    </w:p>
    <w:p>
      <w:pPr>
        <w:spacing w:after="160"/>
        <w:ind w:left="0"/>
      </w:pPr>
      <w:r>
        <w:rPr>
          <w:b/>
          <w:bCs/>
          <w:color w:val="1F4E5F"/>
          <w:sz w:val="22"/>
          <w:szCs w:val="22"/>
        </w:rPr>
        <w:t xml:space="preserve">PARTIE XI — ANNEXES</w:t>
      </w:r>
      <w:r>
        <w:ptab w:alignment="right" w:relativeTo="margin" w:leader="dot"/>
      </w:r>
      <w:r>
        <w:rPr>
          <w:sz w:val="22"/>
          <w:szCs w:val="22"/>
        </w:rPr>
        <w:t xml:space="preserve">14</w:t>
      </w:r>
    </w:p>
    <w:p>
      <w:pPr>
        <w:spacing w:after="80"/>
        <w:ind w:left="360"/>
      </w:pPr>
      <w:r>
        <w:rPr>
          <w:b w:val="false"/>
          <w:bCs w:val="false"/>
          <w:color w:val="000000"/>
          <w:sz w:val="20"/>
          <w:szCs w:val="20"/>
        </w:rPr>
        <w:t xml:space="preserve">11.1 Glossaire opérationnel</w:t>
      </w:r>
      <w:r>
        <w:ptab w:alignment="right" w:relativeTo="margin" w:leader="dot"/>
      </w:r>
      <w:r>
        <w:rPr>
          <w:sz w:val="20"/>
          <w:szCs w:val="20"/>
        </w:rPr>
        <w:t xml:space="preserve">14</w:t>
      </w:r>
    </w:p>
    <w:p>
      <w:pPr>
        <w:spacing w:after="80"/>
        <w:ind w:left="360"/>
      </w:pPr>
      <w:r>
        <w:rPr>
          <w:b w:val="false"/>
          <w:bCs w:val="false"/>
          <w:color w:val="000000"/>
          <w:sz w:val="20"/>
          <w:szCs w:val="20"/>
        </w:rPr>
        <w:t xml:space="preserve">11.2 Synthèse de la collection documentaire EDUCORE</w:t>
      </w:r>
      <w:r>
        <w:ptab w:alignment="right" w:relativeTo="margin" w:leader="dot"/>
      </w:r>
      <w:r>
        <w:rPr>
          <w:sz w:val="20"/>
          <w:szCs w:val="20"/>
        </w:rPr>
        <w:t xml:space="preserve">14</w:t>
      </w:r>
    </w:p>
    <w:p>
      <w:r>
        <w:br w:type="page"/>
      </w:r>
    </w:p>
    <w:p>
      <w:pPr>
        <w:pStyle w:val="Heading1"/>
        <w:spacing w:after="200" w:before="400"/>
      </w:pPr>
      <w:r>
        <w:rPr>
          <w:b/>
          <w:bCs/>
          <w:color w:val="1F4E5F"/>
        </w:rPr>
        <w:t xml:space="preserve">PARTIE I — INTRODUCTION</w:t>
      </w:r>
    </w:p>
    <w:p>
      <w:pPr>
        <w:pStyle w:val="Heading2"/>
        <w:spacing w:after="150" w:before="300"/>
      </w:pPr>
      <w:r>
        <w:rPr>
          <w:b/>
          <w:bCs/>
          <w:color w:val="2E86AB"/>
        </w:rPr>
        <w:t xml:space="preserve">1.1 Objet du document</w:t>
      </w:r>
    </w:p>
    <w:p>
      <w:pPr>
        <w:spacing w:after="150"/>
      </w:pPr>
      <w:r>
        <w:t xml:space="preserve">Ce Volume 7, dernier de la collection documentaire EDUCORE, s'adresse aux équipes d'exploitation et d'administration système. Il couvre l'installation de l'environnement de développement, le déploiement en production, l'exploitation quotidienne, la sauvegarde/restauration, l'administration fonctionnelle de la plateforme et les procédures de réponse aux incidents courants.</w:t>
      </w:r>
    </w:p>
    <w:p>
      <w:pPr>
        <w:pStyle w:val="Heading2"/>
        <w:spacing w:after="150" w:before="300"/>
      </w:pPr>
      <w:r>
        <w:rPr>
          <w:b/>
          <w:bCs/>
          <w:color w:val="2E86AB"/>
        </w:rPr>
        <w:t xml:space="preserve">1.2 Public cible</w:t>
      </w:r>
    </w:p>
    <w:p>
      <w:pPr>
        <w:pStyle w:val="ListParagraph"/>
        <w:numPr>
          <w:ilvl w:val="0"/>
          <w:numId w:val="2"/>
        </w:numPr>
        <w:spacing w:after="80"/>
      </w:pPr>
      <w:r>
        <w:t xml:space="preserve">Ingénieurs DevOps / SRE en charge du déploiement et de la supervision</w:t>
      </w:r>
    </w:p>
    <w:p>
      <w:pPr>
        <w:pStyle w:val="ListParagraph"/>
        <w:numPr>
          <w:ilvl w:val="0"/>
          <w:numId w:val="2"/>
        </w:numPr>
        <w:spacing w:after="80"/>
      </w:pPr>
      <w:r>
        <w:t xml:space="preserve">Développeurs backend rejoignant le projet (mise en route de l'environnement local)</w:t>
      </w:r>
    </w:p>
    <w:p>
      <w:pPr>
        <w:pStyle w:val="ListParagraph"/>
        <w:numPr>
          <w:ilvl w:val="0"/>
          <w:numId w:val="2"/>
        </w:numPr>
        <w:spacing w:after="80"/>
      </w:pPr>
      <w:r>
        <w:t xml:space="preserve">Administrateurs fonctionnels de la plateforme (création d'établissements, gestion des abonnements)</w:t>
      </w:r>
    </w:p>
    <w:p>
      <w:pPr>
        <w:pStyle w:val="Heading2"/>
        <w:spacing w:after="150" w:before="300"/>
      </w:pPr>
      <w:r>
        <w:rPr>
          <w:b/>
          <w:bCs/>
          <w:color w:val="2E86AB"/>
        </w:rPr>
        <w:t xml:space="preserve">1.3 Documents liés</w:t>
      </w:r>
    </w:p>
    <w:p>
      <w:pPr>
        <w:pStyle w:val="ListParagraph"/>
        <w:numPr>
          <w:ilvl w:val="0"/>
          <w:numId w:val="2"/>
        </w:numPr>
        <w:spacing w:after="80"/>
      </w:pPr>
      <w:r>
        <w:t xml:space="preserve">Volume 2 — Cahier des spécifications techniques (stack technologique, exigences non fonctionnelles)</w:t>
      </w:r>
    </w:p>
    <w:p>
      <w:pPr>
        <w:pStyle w:val="ListParagraph"/>
        <w:numPr>
          <w:ilvl w:val="0"/>
          <w:numId w:val="2"/>
        </w:numPr>
        <w:spacing w:after="80"/>
      </w:pPr>
      <w:r>
        <w:t xml:space="preserve">Volume 3 — Architecture logicielle (schémas de déploiement et de résilience)</w:t>
      </w:r>
    </w:p>
    <w:p>
      <w:pPr>
        <w:pStyle w:val="ListParagraph"/>
        <w:numPr>
          <w:ilvl w:val="0"/>
          <w:numId w:val="2"/>
        </w:numPr>
        <w:spacing w:after="80"/>
      </w:pPr>
      <w:r>
        <w:t xml:space="preserve">Le script SQL de référence et les Volumes 5/6 pour tout ce qui touche au schéma de données et à l'API</w:t>
      </w:r>
    </w:p>
    <w:p>
      <w:r>
        <w:br w:type="page"/>
      </w:r>
    </w:p>
    <w:p>
      <w:pPr>
        <w:pStyle w:val="Heading1"/>
        <w:spacing w:after="200" w:before="400"/>
      </w:pPr>
      <w:r>
        <w:rPr>
          <w:b/>
          <w:bCs/>
          <w:color w:val="1F4E5F"/>
        </w:rPr>
        <w:t xml:space="preserve">PARTIE II — ENVIRONNEMENT DE DÉVELOPPEMENT</w:t>
      </w:r>
    </w:p>
    <w:p>
      <w:pPr>
        <w:pStyle w:val="Heading2"/>
        <w:spacing w:after="150" w:before="300"/>
      </w:pPr>
      <w:r>
        <w:rPr>
          <w:b/>
          <w:bCs/>
          <w:color w:val="2E86AB"/>
        </w:rPr>
        <w:t xml:space="preserve">2.1 Prérequis logiciels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5F" w:color="auto" w:val="clear"/>
            <w:tcMar>
              <w:top w:type="dxa" w:w="70"/>
              <w:left w:type="dxa" w:w="90"/>
              <w:bottom w:type="dxa" w:w="70"/>
              <w:right w:type="dxa" w:w="90"/>
            </w:tcMar>
            <w:vAlign w:val="center"/>
          </w:tcPr>
          <w:p>
            <w:r>
              <w:rPr>
                <w:b/>
                <w:bCs/>
                <w:color w:val="FFFFFF"/>
                <w:sz w:val="19"/>
                <w:szCs w:val="19"/>
              </w:rPr>
              <w:t xml:space="preserve">Outil</w:t>
            </w:r>
          </w:p>
        </w:tc>
        <w:tc>
          <w:tcPr>
            <w:tcW w:type="dxa" w:w="4675"/>
            <w:shd w:fill="1F4E5F" w:color="auto" w:val="clear"/>
            <w:tcMar>
              <w:top w:type="dxa" w:w="70"/>
              <w:left w:type="dxa" w:w="90"/>
              <w:bottom w:type="dxa" w:w="70"/>
              <w:right w:type="dxa" w:w="90"/>
            </w:tcMar>
            <w:vAlign w:val="center"/>
          </w:tcPr>
          <w:p>
            <w:r>
              <w:rPr>
                <w:b/>
                <w:bCs/>
                <w:color w:val="FFFFFF"/>
                <w:sz w:val="19"/>
                <w:szCs w:val="19"/>
              </w:rPr>
              <w:t xml:space="preserve">Version minimale</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Docker / Docker Compose</w:t>
            </w:r>
          </w:p>
        </w:tc>
        <w:tc>
          <w:tcPr>
            <w:tcW w:type="dxa" w:w="4675"/>
            <w:tcMar>
              <w:top w:type="dxa" w:w="70"/>
              <w:left w:type="dxa" w:w="90"/>
              <w:bottom w:type="dxa" w:w="70"/>
              <w:right w:type="dxa" w:w="90"/>
            </w:tcMar>
            <w:vAlign w:val="center"/>
          </w:tcPr>
          <w:p>
            <w:r>
              <w:rPr>
                <w:b w:val="false"/>
                <w:bCs w:val="false"/>
                <w:color w:val="000000"/>
                <w:sz w:val="19"/>
                <w:szCs w:val="19"/>
              </w:rPr>
              <w:t xml:space="preserve">24.x / v2</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Java (JDK)</w:t>
            </w:r>
          </w:p>
        </w:tc>
        <w:tc>
          <w:tcPr>
            <w:tcW w:type="dxa" w:w="4675"/>
            <w:tcMar>
              <w:top w:type="dxa" w:w="70"/>
              <w:left w:type="dxa" w:w="90"/>
              <w:bottom w:type="dxa" w:w="70"/>
              <w:right w:type="dxa" w:w="90"/>
            </w:tcMar>
            <w:vAlign w:val="center"/>
          </w:tcPr>
          <w:p>
            <w:r>
              <w:rPr>
                <w:b w:val="false"/>
                <w:bCs w:val="false"/>
                <w:color w:val="000000"/>
                <w:sz w:val="19"/>
                <w:szCs w:val="19"/>
              </w:rPr>
              <w:t xml:space="preserve">21 LTS</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Node.js</w:t>
            </w:r>
          </w:p>
        </w:tc>
        <w:tc>
          <w:tcPr>
            <w:tcW w:type="dxa" w:w="4675"/>
            <w:tcMar>
              <w:top w:type="dxa" w:w="70"/>
              <w:left w:type="dxa" w:w="90"/>
              <w:bottom w:type="dxa" w:w="70"/>
              <w:right w:type="dxa" w:w="90"/>
            </w:tcMar>
            <w:vAlign w:val="center"/>
          </w:tcPr>
          <w:p>
            <w:r>
              <w:rPr>
                <w:b w:val="false"/>
                <w:bCs w:val="false"/>
                <w:color w:val="000000"/>
                <w:sz w:val="19"/>
                <w:szCs w:val="19"/>
              </w:rPr>
              <w:t xml:space="preserve">20 LTS</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Python</w:t>
            </w:r>
          </w:p>
        </w:tc>
        <w:tc>
          <w:tcPr>
            <w:tcW w:type="dxa" w:w="4675"/>
            <w:tcMar>
              <w:top w:type="dxa" w:w="70"/>
              <w:left w:type="dxa" w:w="90"/>
              <w:bottom w:type="dxa" w:w="70"/>
              <w:right w:type="dxa" w:w="90"/>
            </w:tcMar>
            <w:vAlign w:val="center"/>
          </w:tcPr>
          <w:p>
            <w:r>
              <w:rPr>
                <w:b w:val="false"/>
                <w:bCs w:val="false"/>
                <w:color w:val="000000"/>
                <w:sz w:val="19"/>
                <w:szCs w:val="19"/>
              </w:rPr>
              <w:t xml:space="preserve">3.12</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PostgreSQL client (psql)</w:t>
            </w:r>
          </w:p>
        </w:tc>
        <w:tc>
          <w:tcPr>
            <w:tcW w:type="dxa" w:w="4675"/>
            <w:tcMar>
              <w:top w:type="dxa" w:w="70"/>
              <w:left w:type="dxa" w:w="90"/>
              <w:bottom w:type="dxa" w:w="70"/>
              <w:right w:type="dxa" w:w="90"/>
            </w:tcMar>
            <w:vAlign w:val="center"/>
          </w:tcPr>
          <w:p>
            <w:r>
              <w:rPr>
                <w:b w:val="false"/>
                <w:bCs w:val="false"/>
                <w:color w:val="000000"/>
                <w:sz w:val="19"/>
                <w:szCs w:val="19"/>
              </w:rPr>
              <w:t xml:space="preserve">16</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Git</w:t>
            </w:r>
          </w:p>
        </w:tc>
        <w:tc>
          <w:tcPr>
            <w:tcW w:type="dxa" w:w="4675"/>
            <w:tcMar>
              <w:top w:type="dxa" w:w="70"/>
              <w:left w:type="dxa" w:w="90"/>
              <w:bottom w:type="dxa" w:w="70"/>
              <w:right w:type="dxa" w:w="90"/>
            </w:tcMar>
            <w:vAlign w:val="center"/>
          </w:tcPr>
          <w:p>
            <w:r>
              <w:rPr>
                <w:b w:val="false"/>
                <w:bCs w:val="false"/>
                <w:color w:val="000000"/>
                <w:sz w:val="19"/>
                <w:szCs w:val="19"/>
              </w:rPr>
              <w:t xml:space="preserve">2.40+</w:t>
            </w:r>
          </w:p>
        </w:tc>
      </w:tr>
    </w:tbl>
    <w:p>
      <w:pPr>
        <w:pStyle w:val="Heading2"/>
        <w:spacing w:after="150" w:before="300"/>
      </w:pPr>
      <w:r>
        <w:rPr>
          <w:b/>
          <w:bCs/>
          <w:color w:val="2E86AB"/>
        </w:rPr>
        <w:t xml:space="preserve">2.2 Récupération du code source</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git clone git@repo.educore.africa:educore/platform.git</w:t>
      </w:r>
      <w:r>
        <w:rPr>
          <w:rFonts w:ascii="Consolas" w:cs="Consolas" w:eastAsia="Consolas" w:hAnsi="Consolas"/>
          <w:sz w:val="18"/>
          <w:szCs w:val="18"/>
        </w:rPr>
        <w:br/>
        <w:t xml:space="preserve">cd platform</w:t>
      </w:r>
    </w:p>
    <w:p>
      <w:pPr>
        <w:pStyle w:val="Heading2"/>
        <w:spacing w:after="150" w:before="300"/>
      </w:pPr>
      <w:r>
        <w:rPr>
          <w:b/>
          <w:bCs/>
          <w:color w:val="2E86AB"/>
        </w:rPr>
        <w:t xml:space="preserve">2.3 Démarrage de l'environnement local</w:t>
      </w:r>
    </w:p>
    <w:p>
      <w:pPr>
        <w:spacing w:after="150"/>
      </w:pPr>
      <w:r>
        <w:t xml:space="preserve">L'environnement local est entièrement conteneurisé via Docker Compose : base de données, cache, file de messages et backend démarrent en une seule commande.</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cp .env.example .env</w:t>
      </w:r>
      <w:r>
        <w:rPr>
          <w:rFonts w:ascii="Consolas" w:cs="Consolas" w:eastAsia="Consolas" w:hAnsi="Consolas"/>
          <w:sz w:val="18"/>
          <w:szCs w:val="18"/>
        </w:rPr>
        <w:br/>
        <w:t xml:space="preserve"># éditer .env avec des valeurs de développement</w:t>
      </w:r>
      <w:r>
        <w:rPr>
          <w:rFonts w:ascii="Consolas" w:cs="Consolas" w:eastAsia="Consolas" w:hAnsi="Consolas"/>
          <w:sz w:val="18"/>
          <w:szCs w:val="18"/>
        </w:rPr>
        <w:br/>
        <w:t xml:space="preserve"/>
      </w:r>
      <w:r>
        <w:rPr>
          <w:rFonts w:ascii="Consolas" w:cs="Consolas" w:eastAsia="Consolas" w:hAnsi="Consolas"/>
          <w:sz w:val="18"/>
          <w:szCs w:val="18"/>
        </w:rPr>
        <w:br/>
        <w:t xml:space="preserve">docker compose up -d</w:t>
      </w:r>
      <w:r>
        <w:rPr>
          <w:rFonts w:ascii="Consolas" w:cs="Consolas" w:eastAsia="Consolas" w:hAnsi="Consolas"/>
          <w:sz w:val="18"/>
          <w:szCs w:val="18"/>
        </w:rPr>
        <w:br/>
        <w:t xml:space="preserve"/>
      </w:r>
      <w:r>
        <w:rPr>
          <w:rFonts w:ascii="Consolas" w:cs="Consolas" w:eastAsia="Consolas" w:hAnsi="Consolas"/>
          <w:sz w:val="18"/>
          <w:szCs w:val="18"/>
        </w:rPr>
        <w:br/>
        <w:t xml:space="preserve"># vérifier que tous les services sont sains</w:t>
      </w:r>
      <w:r>
        <w:rPr>
          <w:rFonts w:ascii="Consolas" w:cs="Consolas" w:eastAsia="Consolas" w:hAnsi="Consolas"/>
          <w:sz w:val="18"/>
          <w:szCs w:val="18"/>
        </w:rPr>
        <w:br/>
        <w:t xml:space="preserve">docker compose ps</w:t>
      </w:r>
    </w:p>
    <w:p>
      <w:pPr>
        <w:pStyle w:val="Heading2"/>
        <w:spacing w:after="150" w:before="300"/>
      </w:pPr>
      <w:r>
        <w:rPr>
          <w:b/>
          <w:bCs/>
          <w:color w:val="2E86AB"/>
        </w:rPr>
        <w:t xml:space="preserve">2.4 Initialisation de la base de données</w:t>
      </w:r>
    </w:p>
    <w:p>
      <w:pPr>
        <w:spacing w:after="150"/>
      </w:pPr>
      <w:r>
        <w:t xml:space="preserve">Le schéma est appliqué via le script SQL de référence (Volume 5), exécuté automatiquement au premier démarrage, ou manuellement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psql -h localhost -U educore -d educore_dev -f db/educore_database.sql</w:t>
      </w:r>
    </w:p>
    <w:p>
      <w:pPr>
        <w:pStyle w:val="Heading2"/>
        <w:spacing w:after="150" w:before="300"/>
      </w:pPr>
      <w:r>
        <w:rPr>
          <w:b/>
          <w:bCs/>
          <w:color w:val="2E86AB"/>
        </w:rPr>
        <w:t xml:space="preserve">2.5 Lancement du backend en mode développement</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./mvnw spring-boot:run -Dspring-boot.run.profiles=dev</w:t>
      </w:r>
    </w:p>
    <w:p>
      <w:pPr>
        <w:spacing w:after="150"/>
      </w:pPr>
      <w:r>
        <w:rPr>
          <w:i/>
          <w:iCs/>
        </w:rPr>
        <w:t xml:space="preserve">Le service est alors accessible sur http://localhost:8080/api/v1, avec rechargement à chaud activé.</w:t>
      </w:r>
    </w:p>
    <w:p>
      <w:r>
        <w:br w:type="page"/>
      </w:r>
    </w:p>
    <w:p>
      <w:pPr>
        <w:pStyle w:val="Heading1"/>
        <w:spacing w:after="200" w:before="400"/>
      </w:pPr>
      <w:r>
        <w:rPr>
          <w:b/>
          <w:bCs/>
          <w:color w:val="1F4E5F"/>
        </w:rPr>
        <w:t xml:space="preserve">PARTIE III — CONFIGURATION</w:t>
      </w:r>
    </w:p>
    <w:p>
      <w:pPr>
        <w:pStyle w:val="Heading2"/>
        <w:spacing w:after="150" w:before="300"/>
      </w:pPr>
      <w:r>
        <w:rPr>
          <w:b/>
          <w:bCs/>
          <w:color w:val="2E86AB"/>
        </w:rPr>
        <w:t xml:space="preserve">3.1 Variables d'environnement principales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4E5F" w:color="auto" w:val="clear"/>
            <w:tcMar>
              <w:top w:type="dxa" w:w="70"/>
              <w:left w:type="dxa" w:w="90"/>
              <w:bottom w:type="dxa" w:w="70"/>
              <w:right w:type="dxa" w:w="90"/>
            </w:tcMar>
            <w:vAlign w:val="center"/>
          </w:tcPr>
          <w:p>
            <w:r>
              <w:rPr>
                <w:b/>
                <w:bCs/>
                <w:color w:val="FFFFFF"/>
                <w:sz w:val="19"/>
                <w:szCs w:val="19"/>
              </w:rPr>
              <w:t xml:space="preserve">Variable</w:t>
            </w:r>
          </w:p>
        </w:tc>
        <w:tc>
          <w:tcPr>
            <w:tcW w:type="dxa" w:w="5950"/>
            <w:shd w:fill="1F4E5F" w:color="auto" w:val="clear"/>
            <w:tcMar>
              <w:top w:type="dxa" w:w="70"/>
              <w:left w:type="dxa" w:w="90"/>
              <w:bottom w:type="dxa" w:w="70"/>
              <w:right w:type="dxa" w:w="90"/>
            </w:tcMar>
            <w:vAlign w:val="center"/>
          </w:tcPr>
          <w:p>
            <w:r>
              <w:rPr>
                <w:b/>
                <w:bCs/>
                <w:color w:val="FFFFFF"/>
                <w:sz w:val="19"/>
                <w:szCs w:val="19"/>
              </w:rPr>
              <w:t xml:space="preserve">Description</w:t>
            </w:r>
          </w:p>
        </w:tc>
      </w:tr>
      <w:tr>
        <w:trPr>
          <w:tblHeader w:val="false"/>
        </w:trPr>
        <w:tc>
          <w:tcPr>
            <w:tcW w:type="dxa" w:w="3400"/>
            <w:tcMar>
              <w:top w:type="dxa" w:w="70"/>
              <w:left w:type="dxa" w:w="90"/>
              <w:bottom w:type="dxa" w:w="70"/>
              <w:right w:type="dxa" w:w="90"/>
            </w:tcMar>
            <w:vAlign w:val="center"/>
          </w:tcPr>
          <w:p>
            <w:r>
              <w:rPr>
                <w:b w:val="false"/>
                <w:bCs w:val="false"/>
                <w:color w:val="000000"/>
                <w:sz w:val="19"/>
                <w:szCs w:val="19"/>
              </w:rPr>
              <w:t xml:space="preserve">DATABASE_URL</w:t>
            </w:r>
          </w:p>
        </w:tc>
        <w:tc>
          <w:tcPr>
            <w:tcW w:type="dxa" w:w="5950"/>
            <w:tcMar>
              <w:top w:type="dxa" w:w="70"/>
              <w:left w:type="dxa" w:w="90"/>
              <w:bottom w:type="dxa" w:w="70"/>
              <w:right w:type="dxa" w:w="90"/>
            </w:tcMar>
            <w:vAlign w:val="center"/>
          </w:tcPr>
          <w:p>
            <w:r>
              <w:rPr>
                <w:b w:val="false"/>
                <w:bCs w:val="false"/>
                <w:color w:val="000000"/>
                <w:sz w:val="19"/>
                <w:szCs w:val="19"/>
              </w:rPr>
              <w:t xml:space="preserve">Chaîne de connexion PostgreSQL</w:t>
            </w:r>
          </w:p>
        </w:tc>
      </w:tr>
      <w:tr>
        <w:trPr>
          <w:tblHeader w:val="false"/>
        </w:trPr>
        <w:tc>
          <w:tcPr>
            <w:tcW w:type="dxa" w:w="3400"/>
            <w:tcMar>
              <w:top w:type="dxa" w:w="70"/>
              <w:left w:type="dxa" w:w="90"/>
              <w:bottom w:type="dxa" w:w="70"/>
              <w:right w:type="dxa" w:w="90"/>
            </w:tcMar>
            <w:vAlign w:val="center"/>
          </w:tcPr>
          <w:p>
            <w:r>
              <w:rPr>
                <w:b w:val="false"/>
                <w:bCs w:val="false"/>
                <w:color w:val="000000"/>
                <w:sz w:val="19"/>
                <w:szCs w:val="19"/>
              </w:rPr>
              <w:t xml:space="preserve">REDIS_URL</w:t>
            </w:r>
          </w:p>
        </w:tc>
        <w:tc>
          <w:tcPr>
            <w:tcW w:type="dxa" w:w="5950"/>
            <w:tcMar>
              <w:top w:type="dxa" w:w="70"/>
              <w:left w:type="dxa" w:w="90"/>
              <w:bottom w:type="dxa" w:w="70"/>
              <w:right w:type="dxa" w:w="90"/>
            </w:tcMar>
            <w:vAlign w:val="center"/>
          </w:tcPr>
          <w:p>
            <w:r>
              <w:rPr>
                <w:b w:val="false"/>
                <w:bCs w:val="false"/>
                <w:color w:val="000000"/>
                <w:sz w:val="19"/>
                <w:szCs w:val="19"/>
              </w:rPr>
              <w:t xml:space="preserve">Chaîne de connexion Redis</w:t>
            </w:r>
          </w:p>
        </w:tc>
      </w:tr>
      <w:tr>
        <w:trPr>
          <w:tblHeader w:val="false"/>
        </w:trPr>
        <w:tc>
          <w:tcPr>
            <w:tcW w:type="dxa" w:w="3400"/>
            <w:tcMar>
              <w:top w:type="dxa" w:w="70"/>
              <w:left w:type="dxa" w:w="90"/>
              <w:bottom w:type="dxa" w:w="70"/>
              <w:right w:type="dxa" w:w="90"/>
            </w:tcMar>
            <w:vAlign w:val="center"/>
          </w:tcPr>
          <w:p>
            <w:r>
              <w:rPr>
                <w:b w:val="false"/>
                <w:bCs w:val="false"/>
                <w:color w:val="000000"/>
                <w:sz w:val="19"/>
                <w:szCs w:val="19"/>
              </w:rPr>
              <w:t xml:space="preserve">JWT_SECRET</w:t>
            </w:r>
          </w:p>
        </w:tc>
        <w:tc>
          <w:tcPr>
            <w:tcW w:type="dxa" w:w="5950"/>
            <w:tcMar>
              <w:top w:type="dxa" w:w="70"/>
              <w:left w:type="dxa" w:w="90"/>
              <w:bottom w:type="dxa" w:w="70"/>
              <w:right w:type="dxa" w:w="90"/>
            </w:tcMar>
            <w:vAlign w:val="center"/>
          </w:tcPr>
          <w:p>
            <w:r>
              <w:rPr>
                <w:b w:val="false"/>
                <w:bCs w:val="false"/>
                <w:color w:val="000000"/>
                <w:sz w:val="19"/>
                <w:szCs w:val="19"/>
              </w:rPr>
              <w:t xml:space="preserve">Clé secrète de signature des jetons JWT</w:t>
            </w:r>
          </w:p>
        </w:tc>
      </w:tr>
      <w:tr>
        <w:trPr>
          <w:tblHeader w:val="false"/>
        </w:trPr>
        <w:tc>
          <w:tcPr>
            <w:tcW w:type="dxa" w:w="3400"/>
            <w:tcMar>
              <w:top w:type="dxa" w:w="70"/>
              <w:left w:type="dxa" w:w="90"/>
              <w:bottom w:type="dxa" w:w="70"/>
              <w:right w:type="dxa" w:w="90"/>
            </w:tcMar>
            <w:vAlign w:val="center"/>
          </w:tcPr>
          <w:p>
            <w:r>
              <w:rPr>
                <w:b w:val="false"/>
                <w:bCs w:val="false"/>
                <w:color w:val="000000"/>
                <w:sz w:val="19"/>
                <w:szCs w:val="19"/>
              </w:rPr>
              <w:t xml:space="preserve">JWT_EXPIRATION_SECONDS</w:t>
            </w:r>
          </w:p>
        </w:tc>
        <w:tc>
          <w:tcPr>
            <w:tcW w:type="dxa" w:w="5950"/>
            <w:tcMar>
              <w:top w:type="dxa" w:w="70"/>
              <w:left w:type="dxa" w:w="90"/>
              <w:bottom w:type="dxa" w:w="70"/>
              <w:right w:type="dxa" w:w="90"/>
            </w:tcMar>
            <w:vAlign w:val="center"/>
          </w:tcPr>
          <w:p>
            <w:r>
              <w:rPr>
                <w:b w:val="false"/>
                <w:bCs w:val="false"/>
                <w:color w:val="000000"/>
                <w:sz w:val="19"/>
                <w:szCs w:val="19"/>
              </w:rPr>
              <w:t xml:space="preserve">Durée de vie du jeton d'accès (par défaut 900)</w:t>
            </w:r>
          </w:p>
        </w:tc>
      </w:tr>
      <w:tr>
        <w:trPr>
          <w:tblHeader w:val="false"/>
        </w:trPr>
        <w:tc>
          <w:tcPr>
            <w:tcW w:type="dxa" w:w="3400"/>
            <w:tcMar>
              <w:top w:type="dxa" w:w="70"/>
              <w:left w:type="dxa" w:w="90"/>
              <w:bottom w:type="dxa" w:w="70"/>
              <w:right w:type="dxa" w:w="90"/>
            </w:tcMar>
            <w:vAlign w:val="center"/>
          </w:tcPr>
          <w:p>
            <w:r>
              <w:rPr>
                <w:b w:val="false"/>
                <w:bCs w:val="false"/>
                <w:color w:val="000000"/>
                <w:sz w:val="19"/>
                <w:szCs w:val="19"/>
              </w:rPr>
              <w:t xml:space="preserve">S3_ENDPOINT / S3_BUCKET</w:t>
            </w:r>
          </w:p>
        </w:tc>
        <w:tc>
          <w:tcPr>
            <w:tcW w:type="dxa" w:w="5950"/>
            <w:tcMar>
              <w:top w:type="dxa" w:w="70"/>
              <w:left w:type="dxa" w:w="90"/>
              <w:bottom w:type="dxa" w:w="70"/>
              <w:right w:type="dxa" w:w="90"/>
            </w:tcMar>
            <w:vAlign w:val="center"/>
          </w:tcPr>
          <w:p>
            <w:r>
              <w:rPr>
                <w:b w:val="false"/>
                <w:bCs w:val="false"/>
                <w:color w:val="000000"/>
                <w:sz w:val="19"/>
                <w:szCs w:val="19"/>
              </w:rPr>
              <w:t xml:space="preserve">Configuration du stockage objet</w:t>
            </w:r>
          </w:p>
        </w:tc>
      </w:tr>
      <w:tr>
        <w:trPr>
          <w:tblHeader w:val="false"/>
        </w:trPr>
        <w:tc>
          <w:tcPr>
            <w:tcW w:type="dxa" w:w="3400"/>
            <w:tcMar>
              <w:top w:type="dxa" w:w="70"/>
              <w:left w:type="dxa" w:w="90"/>
              <w:bottom w:type="dxa" w:w="70"/>
              <w:right w:type="dxa" w:w="90"/>
            </w:tcMar>
            <w:vAlign w:val="center"/>
          </w:tcPr>
          <w:p>
            <w:r>
              <w:rPr>
                <w:b w:val="false"/>
                <w:bCs w:val="false"/>
                <w:color w:val="000000"/>
                <w:sz w:val="19"/>
                <w:szCs w:val="19"/>
              </w:rPr>
              <w:t xml:space="preserve">ORANGE_MONEY_API_KEY</w:t>
            </w:r>
          </w:p>
        </w:tc>
        <w:tc>
          <w:tcPr>
            <w:tcW w:type="dxa" w:w="5950"/>
            <w:tcMar>
              <w:top w:type="dxa" w:w="70"/>
              <w:left w:type="dxa" w:w="90"/>
              <w:bottom w:type="dxa" w:w="70"/>
              <w:right w:type="dxa" w:w="90"/>
            </w:tcMar>
            <w:vAlign w:val="center"/>
          </w:tcPr>
          <w:p>
            <w:r>
              <w:rPr>
                <w:b w:val="false"/>
                <w:bCs w:val="false"/>
                <w:color w:val="000000"/>
                <w:sz w:val="19"/>
                <w:szCs w:val="19"/>
              </w:rPr>
              <w:t xml:space="preserve">Clé d'API de l'intégration Orange Money</w:t>
            </w:r>
          </w:p>
        </w:tc>
      </w:tr>
      <w:tr>
        <w:trPr>
          <w:tblHeader w:val="false"/>
        </w:trPr>
        <w:tc>
          <w:tcPr>
            <w:tcW w:type="dxa" w:w="3400"/>
            <w:tcMar>
              <w:top w:type="dxa" w:w="70"/>
              <w:left w:type="dxa" w:w="90"/>
              <w:bottom w:type="dxa" w:w="70"/>
              <w:right w:type="dxa" w:w="90"/>
            </w:tcMar>
            <w:vAlign w:val="center"/>
          </w:tcPr>
          <w:p>
            <w:r>
              <w:rPr>
                <w:b w:val="false"/>
                <w:bCs w:val="false"/>
                <w:color w:val="000000"/>
                <w:sz w:val="19"/>
                <w:szCs w:val="19"/>
              </w:rPr>
              <w:t xml:space="preserve">MTN_MOMO_API_KEY</w:t>
            </w:r>
          </w:p>
        </w:tc>
        <w:tc>
          <w:tcPr>
            <w:tcW w:type="dxa" w:w="5950"/>
            <w:tcMar>
              <w:top w:type="dxa" w:w="70"/>
              <w:left w:type="dxa" w:w="90"/>
              <w:bottom w:type="dxa" w:w="70"/>
              <w:right w:type="dxa" w:w="90"/>
            </w:tcMar>
            <w:vAlign w:val="center"/>
          </w:tcPr>
          <w:p>
            <w:r>
              <w:rPr>
                <w:b w:val="false"/>
                <w:bCs w:val="false"/>
                <w:color w:val="000000"/>
                <w:sz w:val="19"/>
                <w:szCs w:val="19"/>
              </w:rPr>
              <w:t xml:space="preserve">Clé d'API de l'intégration MTN MoMo</w:t>
            </w:r>
          </w:p>
        </w:tc>
      </w:tr>
      <w:tr>
        <w:trPr>
          <w:tblHeader w:val="false"/>
        </w:trPr>
        <w:tc>
          <w:tcPr>
            <w:tcW w:type="dxa" w:w="3400"/>
            <w:tcMar>
              <w:top w:type="dxa" w:w="70"/>
              <w:left w:type="dxa" w:w="90"/>
              <w:bottom w:type="dxa" w:w="70"/>
              <w:right w:type="dxa" w:w="90"/>
            </w:tcMar>
            <w:vAlign w:val="center"/>
          </w:tcPr>
          <w:p>
            <w:r>
              <w:rPr>
                <w:b w:val="false"/>
                <w:bCs w:val="false"/>
                <w:color w:val="000000"/>
                <w:sz w:val="19"/>
                <w:szCs w:val="19"/>
              </w:rPr>
              <w:t xml:space="preserve">SMS_PROVIDER_API_KEY</w:t>
            </w:r>
          </w:p>
        </w:tc>
        <w:tc>
          <w:tcPr>
            <w:tcW w:type="dxa" w:w="5950"/>
            <w:tcMar>
              <w:top w:type="dxa" w:w="70"/>
              <w:left w:type="dxa" w:w="90"/>
              <w:bottom w:type="dxa" w:w="70"/>
              <w:right w:type="dxa" w:w="90"/>
            </w:tcMar>
            <w:vAlign w:val="center"/>
          </w:tcPr>
          <w:p>
            <w:r>
              <w:rPr>
                <w:b w:val="false"/>
                <w:bCs w:val="false"/>
                <w:color w:val="000000"/>
                <w:sz w:val="19"/>
                <w:szCs w:val="19"/>
              </w:rPr>
              <w:t xml:space="preserve">Clé de l'agrégateur SMS</w:t>
            </w:r>
          </w:p>
        </w:tc>
      </w:tr>
      <w:tr>
        <w:trPr>
          <w:tblHeader w:val="false"/>
        </w:trPr>
        <w:tc>
          <w:tcPr>
            <w:tcW w:type="dxa" w:w="3400"/>
            <w:tcMar>
              <w:top w:type="dxa" w:w="70"/>
              <w:left w:type="dxa" w:w="90"/>
              <w:bottom w:type="dxa" w:w="70"/>
              <w:right w:type="dxa" w:w="90"/>
            </w:tcMar>
            <w:vAlign w:val="center"/>
          </w:tcPr>
          <w:p>
            <w:r>
              <w:rPr>
                <w:b w:val="false"/>
                <w:bCs w:val="false"/>
                <w:color w:val="000000"/>
                <w:sz w:val="19"/>
                <w:szCs w:val="19"/>
              </w:rPr>
              <w:t xml:space="preserve">LOG_LEVEL</w:t>
            </w:r>
          </w:p>
        </w:tc>
        <w:tc>
          <w:tcPr>
            <w:tcW w:type="dxa" w:w="5950"/>
            <w:tcMar>
              <w:top w:type="dxa" w:w="70"/>
              <w:left w:type="dxa" w:w="90"/>
              <w:bottom w:type="dxa" w:w="70"/>
              <w:right w:type="dxa" w:w="90"/>
            </w:tcMar>
            <w:vAlign w:val="center"/>
          </w:tcPr>
          <w:p>
            <w:r>
              <w:rPr>
                <w:b w:val="false"/>
                <w:bCs w:val="false"/>
                <w:color w:val="000000"/>
                <w:sz w:val="19"/>
                <w:szCs w:val="19"/>
              </w:rPr>
              <w:t xml:space="preserve">Niveau de verbosité des journaux applicatifs</w:t>
            </w:r>
          </w:p>
        </w:tc>
      </w:tr>
    </w:tbl>
    <w:p>
      <w:pPr>
        <w:pStyle w:val="Heading2"/>
        <w:spacing w:after="150" w:before="300"/>
      </w:pPr>
      <w:r>
        <w:rPr>
          <w:b/>
          <w:bCs/>
          <w:color w:val="2E86AB"/>
        </w:rPr>
        <w:t xml:space="preserve">3.2 Gestion des secrets</w:t>
      </w:r>
    </w:p>
    <w:p>
      <w:pPr>
        <w:spacing w:after="150"/>
      </w:pPr>
      <w:r>
        <w:t xml:space="preserve">En production, aucun secret n'est stocké dans le dépôt de code ni dans un fichier .env versionné. Les secrets sont injectés via un gestionnaire dédié (ex. Vault, ou le mécanisme de secrets du fournisseur cloud) et montés en variables d'environnement au démarrage du conteneur.</w:t>
      </w:r>
    </w:p>
    <w:p>
      <w:pPr>
        <w:pStyle w:val="Heading2"/>
        <w:spacing w:after="150" w:before="300"/>
      </w:pPr>
      <w:r>
        <w:rPr>
          <w:b/>
          <w:bCs/>
          <w:color w:val="2E86AB"/>
        </w:rPr>
        <w:t xml:space="preserve">3.3 Configuration par environnement</w:t>
      </w:r>
    </w:p>
    <w:p>
      <w:pPr>
        <w:pStyle w:val="ListParagraph"/>
        <w:numPr>
          <w:ilvl w:val="0"/>
          <w:numId w:val="2"/>
        </w:numPr>
        <w:spacing w:after="80"/>
      </w:pPr>
      <w:r>
        <w:t xml:space="preserve">dev : données fictives, journalisation verbeuse, intégrations de paiement en mode bac à sable (sandbox)</w:t>
      </w:r>
    </w:p>
    <w:p>
      <w:pPr>
        <w:pStyle w:val="ListParagraph"/>
        <w:numPr>
          <w:ilvl w:val="0"/>
          <w:numId w:val="2"/>
        </w:numPr>
        <w:spacing w:after="80"/>
      </w:pPr>
      <w:r>
        <w:t xml:space="preserve">staging : miroir de la production, intégrations en mode sandbox, données anonymisées</w:t>
      </w:r>
    </w:p>
    <w:p>
      <w:pPr>
        <w:pStyle w:val="ListParagraph"/>
        <w:numPr>
          <w:ilvl w:val="0"/>
          <w:numId w:val="2"/>
        </w:numPr>
        <w:spacing w:after="80"/>
      </w:pPr>
      <w:r>
        <w:t xml:space="preserve">production : intégrations réelles, journalisation en niveau INFO, alerting actif</w:t>
      </w:r>
    </w:p>
    <w:p>
      <w:r>
        <w:br w:type="page"/>
      </w:r>
    </w:p>
    <w:p>
      <w:pPr>
        <w:pStyle w:val="Heading1"/>
        <w:spacing w:after="200" w:before="400"/>
      </w:pPr>
      <w:r>
        <w:rPr>
          <w:b/>
          <w:bCs/>
          <w:color w:val="1F4E5F"/>
        </w:rPr>
        <w:t xml:space="preserve">PARTIE IV — DÉPLOIEMENT EN PRODUCTION</w:t>
      </w:r>
    </w:p>
    <w:p>
      <w:pPr>
        <w:pStyle w:val="Heading2"/>
        <w:spacing w:after="150" w:before="300"/>
      </w:pPr>
      <w:r>
        <w:rPr>
          <w:b/>
          <w:bCs/>
          <w:color w:val="2E86AB"/>
        </w:rPr>
        <w:t xml:space="preserve">4.1 Checklist avant mise en production</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500"/>
        <w:gridCol w:w="8450"/>
      </w:tblGrid>
      <w:tr>
        <w:trPr>
          <w:tblHeader/>
        </w:trPr>
        <w:tc>
          <w:tcPr>
            <w:tcW w:type="dxa" w:w="500"/>
            <w:shd w:fill="1F4E5F" w:color="auto" w:val="clear"/>
            <w:tcMar>
              <w:top w:type="dxa" w:w="70"/>
              <w:left w:type="dxa" w:w="90"/>
              <w:bottom w:type="dxa" w:w="70"/>
              <w:right w:type="dxa" w:w="90"/>
            </w:tcMar>
            <w:vAlign w:val="center"/>
          </w:tcPr>
          <w:p>
            <w:r>
              <w:rPr>
                <w:b/>
                <w:bCs/>
                <w:color w:val="FFFFFF"/>
                <w:sz w:val="19"/>
                <w:szCs w:val="19"/>
              </w:rPr>
              <w:t xml:space="preserve">☐</w:t>
            </w:r>
          </w:p>
        </w:tc>
        <w:tc>
          <w:tcPr>
            <w:tcW w:type="dxa" w:w="8450"/>
            <w:shd w:fill="1F4E5F" w:color="auto" w:val="clear"/>
            <w:tcMar>
              <w:top w:type="dxa" w:w="70"/>
              <w:left w:type="dxa" w:w="90"/>
              <w:bottom w:type="dxa" w:w="70"/>
              <w:right w:type="dxa" w:w="90"/>
            </w:tcMar>
            <w:vAlign w:val="center"/>
          </w:tcPr>
          <w:p>
            <w:r>
              <w:rPr>
                <w:b/>
                <w:bCs/>
                <w:color w:val="FFFFFF"/>
                <w:sz w:val="19"/>
                <w:szCs w:val="19"/>
              </w:rPr>
              <w:t xml:space="preserve">Vérification</w:t>
            </w:r>
          </w:p>
        </w:tc>
      </w:tr>
      <w:tr>
        <w:tc>
          <w:tcPr>
            <w:tcW w:type="dxa" w:w="500"/>
            <w:tcMar>
              <w:top w:type="dxa" w:w="70"/>
              <w:left w:type="dxa" w:w="90"/>
              <w:bottom w:type="dxa" w:w="70"/>
              <w:right w:type="dxa" w:w="90"/>
            </w:tcMar>
            <w:vAlign w:val="center"/>
          </w:tcPr>
          <w:p>
            <w:pPr>
              <w:jc w:val="center"/>
            </w:pPr>
            <w:r>
              <w:rPr>
                <w:sz w:val="22"/>
                <w:szCs w:val="22"/>
              </w:rPr>
              <w:t xml:space="preserve">☐</w:t>
            </w:r>
          </w:p>
        </w:tc>
        <w:tc>
          <w:tcPr>
            <w:tcW w:type="dxa" w:w="8450"/>
            <w:tcMar>
              <w:top w:type="dxa" w:w="70"/>
              <w:left w:type="dxa" w:w="90"/>
              <w:bottom w:type="dxa" w:w="70"/>
              <w:right w:type="dxa" w:w="90"/>
            </w:tcMar>
            <w:vAlign w:val="center"/>
          </w:tcPr>
          <w:p>
            <w:r>
              <w:rPr>
                <w:sz w:val="19"/>
                <w:szCs w:val="19"/>
              </w:rPr>
              <w:t xml:space="preserve">Tous les tests automatisés (unitaires, intégration) passent en CI</w:t>
            </w:r>
          </w:p>
        </w:tc>
      </w:tr>
      <w:tr>
        <w:tc>
          <w:tcPr>
            <w:tcW w:type="dxa" w:w="500"/>
            <w:tcMar>
              <w:top w:type="dxa" w:w="70"/>
              <w:left w:type="dxa" w:w="90"/>
              <w:bottom w:type="dxa" w:w="70"/>
              <w:right w:type="dxa" w:w="90"/>
            </w:tcMar>
            <w:vAlign w:val="center"/>
          </w:tcPr>
          <w:p>
            <w:pPr>
              <w:jc w:val="center"/>
            </w:pPr>
            <w:r>
              <w:rPr>
                <w:sz w:val="22"/>
                <w:szCs w:val="22"/>
              </w:rPr>
              <w:t xml:space="preserve">☐</w:t>
            </w:r>
          </w:p>
        </w:tc>
        <w:tc>
          <w:tcPr>
            <w:tcW w:type="dxa" w:w="8450"/>
            <w:tcMar>
              <w:top w:type="dxa" w:w="70"/>
              <w:left w:type="dxa" w:w="90"/>
              <w:bottom w:type="dxa" w:w="70"/>
              <w:right w:type="dxa" w:w="90"/>
            </w:tcMar>
            <w:vAlign w:val="center"/>
          </w:tcPr>
          <w:p>
            <w:r>
              <w:rPr>
                <w:sz w:val="19"/>
                <w:szCs w:val="19"/>
              </w:rPr>
              <w:t xml:space="preserve">L'analyse de sécurité statique (SAST) ne signale aucune vulnérabilité critique</w:t>
            </w:r>
          </w:p>
        </w:tc>
      </w:tr>
      <w:tr>
        <w:tc>
          <w:tcPr>
            <w:tcW w:type="dxa" w:w="500"/>
            <w:tcMar>
              <w:top w:type="dxa" w:w="70"/>
              <w:left w:type="dxa" w:w="90"/>
              <w:bottom w:type="dxa" w:w="70"/>
              <w:right w:type="dxa" w:w="90"/>
            </w:tcMar>
            <w:vAlign w:val="center"/>
          </w:tcPr>
          <w:p>
            <w:pPr>
              <w:jc w:val="center"/>
            </w:pPr>
            <w:r>
              <w:rPr>
                <w:sz w:val="22"/>
                <w:szCs w:val="22"/>
              </w:rPr>
              <w:t xml:space="preserve">☐</w:t>
            </w:r>
          </w:p>
        </w:tc>
        <w:tc>
          <w:tcPr>
            <w:tcW w:type="dxa" w:w="8450"/>
            <w:tcMar>
              <w:top w:type="dxa" w:w="70"/>
              <w:left w:type="dxa" w:w="90"/>
              <w:bottom w:type="dxa" w:w="70"/>
              <w:right w:type="dxa" w:w="90"/>
            </w:tcMar>
            <w:vAlign w:val="center"/>
          </w:tcPr>
          <w:p>
            <w:r>
              <w:rPr>
                <w:sz w:val="19"/>
                <w:szCs w:val="19"/>
              </w:rPr>
              <w:t xml:space="preserve">Les migrations de schéma ont été testées sur une copie de la base de production</w:t>
            </w:r>
          </w:p>
        </w:tc>
      </w:tr>
      <w:tr>
        <w:tc>
          <w:tcPr>
            <w:tcW w:type="dxa" w:w="500"/>
            <w:tcMar>
              <w:top w:type="dxa" w:w="70"/>
              <w:left w:type="dxa" w:w="90"/>
              <w:bottom w:type="dxa" w:w="70"/>
              <w:right w:type="dxa" w:w="90"/>
            </w:tcMar>
            <w:vAlign w:val="center"/>
          </w:tcPr>
          <w:p>
            <w:pPr>
              <w:jc w:val="center"/>
            </w:pPr>
            <w:r>
              <w:rPr>
                <w:sz w:val="22"/>
                <w:szCs w:val="22"/>
              </w:rPr>
              <w:t xml:space="preserve">☐</w:t>
            </w:r>
          </w:p>
        </w:tc>
        <w:tc>
          <w:tcPr>
            <w:tcW w:type="dxa" w:w="8450"/>
            <w:tcMar>
              <w:top w:type="dxa" w:w="70"/>
              <w:left w:type="dxa" w:w="90"/>
              <w:bottom w:type="dxa" w:w="70"/>
              <w:right w:type="dxa" w:w="90"/>
            </w:tcMar>
            <w:vAlign w:val="center"/>
          </w:tcPr>
          <w:p>
            <w:r>
              <w:rPr>
                <w:sz w:val="19"/>
                <w:szCs w:val="19"/>
              </w:rPr>
              <w:t xml:space="preserve">Les variables d'environnement de production sont renseignées et vérifiées</w:t>
            </w:r>
          </w:p>
        </w:tc>
      </w:tr>
      <w:tr>
        <w:tc>
          <w:tcPr>
            <w:tcW w:type="dxa" w:w="500"/>
            <w:tcMar>
              <w:top w:type="dxa" w:w="70"/>
              <w:left w:type="dxa" w:w="90"/>
              <w:bottom w:type="dxa" w:w="70"/>
              <w:right w:type="dxa" w:w="90"/>
            </w:tcMar>
            <w:vAlign w:val="center"/>
          </w:tcPr>
          <w:p>
            <w:pPr>
              <w:jc w:val="center"/>
            </w:pPr>
            <w:r>
              <w:rPr>
                <w:sz w:val="22"/>
                <w:szCs w:val="22"/>
              </w:rPr>
              <w:t xml:space="preserve">☐</w:t>
            </w:r>
          </w:p>
        </w:tc>
        <w:tc>
          <w:tcPr>
            <w:tcW w:type="dxa" w:w="8450"/>
            <w:tcMar>
              <w:top w:type="dxa" w:w="70"/>
              <w:left w:type="dxa" w:w="90"/>
              <w:bottom w:type="dxa" w:w="70"/>
              <w:right w:type="dxa" w:w="90"/>
            </w:tcMar>
            <w:vAlign w:val="center"/>
          </w:tcPr>
          <w:p>
            <w:r>
              <w:rPr>
                <w:sz w:val="19"/>
                <w:szCs w:val="19"/>
              </w:rPr>
              <w:t xml:space="preserve">La sauvegarde de la base de données précédant le déploiement est confirmée</w:t>
            </w:r>
          </w:p>
        </w:tc>
      </w:tr>
      <w:tr>
        <w:tc>
          <w:tcPr>
            <w:tcW w:type="dxa" w:w="500"/>
            <w:tcMar>
              <w:top w:type="dxa" w:w="70"/>
              <w:left w:type="dxa" w:w="90"/>
              <w:bottom w:type="dxa" w:w="70"/>
              <w:right w:type="dxa" w:w="90"/>
            </w:tcMar>
            <w:vAlign w:val="center"/>
          </w:tcPr>
          <w:p>
            <w:pPr>
              <w:jc w:val="center"/>
            </w:pPr>
            <w:r>
              <w:rPr>
                <w:sz w:val="22"/>
                <w:szCs w:val="22"/>
              </w:rPr>
              <w:t xml:space="preserve">☐</w:t>
            </w:r>
          </w:p>
        </w:tc>
        <w:tc>
          <w:tcPr>
            <w:tcW w:type="dxa" w:w="8450"/>
            <w:tcMar>
              <w:top w:type="dxa" w:w="70"/>
              <w:left w:type="dxa" w:w="90"/>
              <w:bottom w:type="dxa" w:w="70"/>
              <w:right w:type="dxa" w:w="90"/>
            </w:tcMar>
            <w:vAlign w:val="center"/>
          </w:tcPr>
          <w:p>
            <w:r>
              <w:rPr>
                <w:sz w:val="19"/>
                <w:szCs w:val="19"/>
              </w:rPr>
              <w:t xml:space="preserve">Le plan de rollback est documenté et compris par l'équipe de garde</w:t>
            </w:r>
          </w:p>
        </w:tc>
      </w:tr>
      <w:tr>
        <w:tc>
          <w:tcPr>
            <w:tcW w:type="dxa" w:w="500"/>
            <w:tcMar>
              <w:top w:type="dxa" w:w="70"/>
              <w:left w:type="dxa" w:w="90"/>
              <w:bottom w:type="dxa" w:w="70"/>
              <w:right w:type="dxa" w:w="90"/>
            </w:tcMar>
            <w:vAlign w:val="center"/>
          </w:tcPr>
          <w:p>
            <w:pPr>
              <w:jc w:val="center"/>
            </w:pPr>
            <w:r>
              <w:rPr>
                <w:sz w:val="22"/>
                <w:szCs w:val="22"/>
              </w:rPr>
              <w:t xml:space="preserve">☐</w:t>
            </w:r>
          </w:p>
        </w:tc>
        <w:tc>
          <w:tcPr>
            <w:tcW w:type="dxa" w:w="8450"/>
            <w:tcMar>
              <w:top w:type="dxa" w:w="70"/>
              <w:left w:type="dxa" w:w="90"/>
              <w:bottom w:type="dxa" w:w="70"/>
              <w:right w:type="dxa" w:w="90"/>
            </w:tcMar>
            <w:vAlign w:val="center"/>
          </w:tcPr>
          <w:p>
            <w:r>
              <w:rPr>
                <w:sz w:val="19"/>
                <w:szCs w:val="19"/>
              </w:rPr>
              <w:t xml:space="preserve">Les tableaux de bord de supervision sont ouverts pendant la fenêtre de déploiement</w:t>
            </w:r>
          </w:p>
        </w:tc>
      </w:tr>
    </w:tbl>
    <w:p>
      <w:pPr>
        <w:pStyle w:val="Heading2"/>
        <w:spacing w:after="150" w:before="300"/>
      </w:pPr>
      <w:r>
        <w:rPr>
          <w:b/>
          <w:bCs/>
          <w:color w:val="2E86AB"/>
        </w:rPr>
        <w:t xml:space="preserve">4.2 Procédure de déploiement</w:t>
      </w:r>
    </w:p>
    <w:p>
      <w:pPr>
        <w:spacing w:after="80"/>
      </w:pPr>
      <w:r>
        <w:rPr>
          <w:b/>
          <w:bCs/>
        </w:rPr>
        <w:t xml:space="preserve">1. </w:t>
      </w:r>
      <w:r>
        <w:t xml:space="preserve">Geler les migrations de schéma non rétrocompatibles pendant la fenêtre de déploiement</w:t>
      </w:r>
    </w:p>
    <w:p>
      <w:pPr>
        <w:spacing w:after="80"/>
      </w:pPr>
      <w:r>
        <w:rPr>
          <w:b/>
          <w:bCs/>
        </w:rPr>
        <w:t xml:space="preserve">2. </w:t>
      </w:r>
      <w:r>
        <w:t xml:space="preserve">Déployer la nouvelle image applicative sur un sous-ensemble d'instances (déploiement progressif / canary)</w:t>
      </w:r>
    </w:p>
    <w:p>
      <w:pPr>
        <w:spacing w:after="80"/>
      </w:pPr>
      <w:r>
        <w:rPr>
          <w:b/>
          <w:bCs/>
        </w:rPr>
        <w:t xml:space="preserve">3. </w:t>
      </w:r>
      <w:r>
        <w:t xml:space="preserve">Surveiller le taux d'erreur et la latence sur les instances mises à jour pendant au moins 15 minutes</w:t>
      </w:r>
    </w:p>
    <w:p>
      <w:pPr>
        <w:spacing w:after="80"/>
      </w:pPr>
      <w:r>
        <w:rPr>
          <w:b/>
          <w:bCs/>
        </w:rPr>
        <w:t xml:space="preserve">4. </w:t>
      </w:r>
      <w:r>
        <w:t xml:space="preserve">Étendre le déploiement à l'ensemble des instances si aucune anomalie n'est détectée</w:t>
      </w:r>
    </w:p>
    <w:p>
      <w:pPr>
        <w:spacing w:after="80"/>
      </w:pPr>
      <w:r>
        <w:rPr>
          <w:b/>
          <w:bCs/>
        </w:rPr>
        <w:t xml:space="preserve">5. </w:t>
      </w:r>
      <w:r>
        <w:t xml:space="preserve">Confirmer la bonne santé de l'ensemble des services périphériques (IA, Chat, Notifications)</w:t>
      </w:r>
    </w:p>
    <w:p>
      <w:pPr>
        <w:pStyle w:val="Heading2"/>
        <w:spacing w:after="150" w:before="300"/>
      </w:pPr>
      <w:r>
        <w:rPr>
          <w:b/>
          <w:bCs/>
          <w:color w:val="2E86AB"/>
        </w:rPr>
        <w:t xml:space="preserve">4.3 Plan de rollback</w:t>
      </w:r>
    </w:p>
    <w:p>
      <w:pPr>
        <w:spacing w:after="150"/>
      </w:pPr>
      <w:r>
        <w:t xml:space="preserve">En cas d'anomalie détectée après déploiement, le retour à la version précédente s'effectue par redéploiement de la dernière image stable, sans restauration de base de données sauf si une migration destructive a été appliquée (cas à éviter autant que possible par la conception de migrations rétrocompatibles).</w:t>
      </w:r>
    </w:p>
    <w:p>
      <w:r>
        <w:br w:type="page"/>
      </w:r>
    </w:p>
    <w:p>
      <w:pPr>
        <w:pStyle w:val="Heading1"/>
        <w:spacing w:after="200" w:before="400"/>
      </w:pPr>
      <w:r>
        <w:rPr>
          <w:b/>
          <w:bCs/>
          <w:color w:val="1F4E5F"/>
        </w:rPr>
        <w:t xml:space="preserve">PARTIE V — ONBOARDING D'UN NOUVEL ÉTABLISSEMENT</w:t>
      </w:r>
    </w:p>
    <w:p>
      <w:pPr>
        <w:spacing w:after="150"/>
      </w:pPr>
      <w:r>
        <w:t xml:space="preserve">L'ajout d'un nouvel établissement (tenant) à la plateforme est un processus administratif standardisé, sans interruption de service pour les établissements déjà actifs (cf. Volume 3, Partie VII).</w:t>
      </w:r>
    </w:p>
    <w:p>
      <w:pPr>
        <w:pStyle w:val="Heading2"/>
        <w:spacing w:after="150" w:before="300"/>
      </w:pPr>
      <w:r>
        <w:rPr>
          <w:b/>
          <w:bCs/>
          <w:color w:val="2E86AB"/>
        </w:rPr>
        <w:t xml:space="preserve">5.1 Étapes de provisionnement</w:t>
      </w:r>
    </w:p>
    <w:p>
      <w:pPr>
        <w:spacing w:after="80"/>
      </w:pPr>
      <w:r>
        <w:rPr>
          <w:b/>
          <w:bCs/>
        </w:rPr>
        <w:t xml:space="preserve">1. </w:t>
      </w:r>
      <w:r>
        <w:t xml:space="preserve">Création de l'enregistrement etablissements (nom, pays, plan d'abonnement)</w:t>
      </w:r>
    </w:p>
    <w:p>
      <w:pPr>
        <w:spacing w:after="80"/>
      </w:pPr>
      <w:r>
        <w:rPr>
          <w:b/>
          <w:bCs/>
        </w:rPr>
        <w:t xml:space="preserve">2. </w:t>
      </w:r>
      <w:r>
        <w:t xml:space="preserve">Initialisation de l'année scolaire courante et des périodes associées</w:t>
      </w:r>
    </w:p>
    <w:p>
      <w:pPr>
        <w:spacing w:after="80"/>
      </w:pPr>
      <w:r>
        <w:rPr>
          <w:b/>
          <w:bCs/>
        </w:rPr>
        <w:t xml:space="preserve">3. </w:t>
      </w:r>
      <w:r>
        <w:t xml:space="preserve">Chargement des données de référence (niveaux, séries, matières) — modèle par défaut personnalisable</w:t>
      </w:r>
    </w:p>
    <w:p>
      <w:pPr>
        <w:spacing w:after="80"/>
      </w:pPr>
      <w:r>
        <w:rPr>
          <w:b/>
          <w:bCs/>
        </w:rPr>
        <w:t xml:space="preserve">4. </w:t>
      </w:r>
      <w:r>
        <w:t xml:space="preserve">Création du compte administrateur initial de l'établissement</w:t>
      </w:r>
    </w:p>
    <w:p>
      <w:pPr>
        <w:spacing w:after="80"/>
      </w:pPr>
      <w:r>
        <w:rPr>
          <w:b/>
          <w:bCs/>
        </w:rPr>
        <w:t xml:space="preserve">5. </w:t>
      </w:r>
      <w:r>
        <w:t xml:space="preserve">Envoi des identifiants de connexion et du guide de démarrage à l'établissement</w:t>
      </w:r>
    </w:p>
    <w:p>
      <w:pPr>
        <w:pStyle w:val="Heading2"/>
        <w:spacing w:after="150" w:before="300"/>
      </w:pPr>
      <w:r>
        <w:rPr>
          <w:b/>
          <w:bCs/>
          <w:color w:val="2E86AB"/>
        </w:rPr>
        <w:t xml:space="preserve">5.2 Commande d'administration</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educore-admin tenant:create \</w:t>
      </w:r>
      <w:r>
        <w:rPr>
          <w:rFonts w:ascii="Consolas" w:cs="Consolas" w:eastAsia="Consolas" w:hAnsi="Consolas"/>
          <w:sz w:val="18"/>
          <w:szCs w:val="18"/>
        </w:rPr>
        <w:br/>
        <w:t xml:space="preserve">  --nom "Lycée Bilingue de la Réussite" \</w:t>
      </w:r>
      <w:r>
        <w:rPr>
          <w:rFonts w:ascii="Consolas" w:cs="Consolas" w:eastAsia="Consolas" w:hAnsi="Consolas"/>
          <w:sz w:val="18"/>
          <w:szCs w:val="18"/>
        </w:rPr>
        <w:br/>
        <w:t xml:space="preserve">  --pays CM \</w:t>
      </w:r>
      <w:r>
        <w:rPr>
          <w:rFonts w:ascii="Consolas" w:cs="Consolas" w:eastAsia="Consolas" w:hAnsi="Consolas"/>
          <w:sz w:val="18"/>
          <w:szCs w:val="18"/>
        </w:rPr>
        <w:br/>
        <w:t xml:space="preserve">  --plan premium \</w:t>
      </w:r>
      <w:r>
        <w:rPr>
          <w:rFonts w:ascii="Consolas" w:cs="Consolas" w:eastAsia="Consolas" w:hAnsi="Consolas"/>
          <w:sz w:val="18"/>
          <w:szCs w:val="18"/>
        </w:rPr>
        <w:br/>
        <w:t xml:space="preserve">  --admin-email direction@lbr-douala.educore.africa</w:t>
      </w:r>
    </w:p>
    <w:p>
      <w:r>
        <w:br w:type="page"/>
      </w:r>
    </w:p>
    <w:p>
      <w:pPr>
        <w:pStyle w:val="Heading1"/>
        <w:spacing w:after="200" w:before="400"/>
      </w:pPr>
      <w:r>
        <w:rPr>
          <w:b/>
          <w:bCs/>
          <w:color w:val="1F4E5F"/>
        </w:rPr>
        <w:t xml:space="preserve">PARTIE VI — EXPLOITATION QUOTIDIENNE</w:t>
      </w:r>
    </w:p>
    <w:p>
      <w:pPr>
        <w:pStyle w:val="Heading2"/>
        <w:spacing w:after="150" w:before="300"/>
      </w:pPr>
      <w:r>
        <w:rPr>
          <w:b/>
          <w:bCs/>
          <w:color w:val="2E86AB"/>
        </w:rPr>
        <w:t xml:space="preserve">6.1 Tableaux de bord de supervision</w:t>
      </w:r>
    </w:p>
    <w:p>
      <w:pPr>
        <w:pStyle w:val="ListParagraph"/>
        <w:numPr>
          <w:ilvl w:val="0"/>
          <w:numId w:val="2"/>
        </w:numPr>
        <w:spacing w:after="80"/>
      </w:pPr>
      <w:r>
        <w:t xml:space="preserve">Tableau de bord infrastructure : CPU, mémoire, espace disque, latence réseau par instance</w:t>
      </w:r>
    </w:p>
    <w:p>
      <w:pPr>
        <w:pStyle w:val="ListParagraph"/>
        <w:numPr>
          <w:ilvl w:val="0"/>
          <w:numId w:val="2"/>
        </w:numPr>
        <w:spacing w:after="80"/>
      </w:pPr>
      <w:r>
        <w:t xml:space="preserve">Tableau de bord applicatif : taux d'erreur par endpoint, temps de réponse p50/p95/p99, débit de requêtes</w:t>
      </w:r>
    </w:p>
    <w:p>
      <w:pPr>
        <w:pStyle w:val="ListParagraph"/>
        <w:numPr>
          <w:ilvl w:val="0"/>
          <w:numId w:val="2"/>
        </w:numPr>
        <w:spacing w:after="80"/>
      </w:pPr>
      <w:r>
        <w:t xml:space="preserve">Tableau de bord métier : volume de paiements traités, taux d'échec des webhooks, notifications en échec</w:t>
      </w:r>
    </w:p>
    <w:p>
      <w:pPr>
        <w:pStyle w:val="Heading2"/>
        <w:spacing w:after="150" w:before="300"/>
      </w:pPr>
      <w:r>
        <w:rPr>
          <w:b/>
          <w:bCs/>
          <w:color w:val="2E86AB"/>
        </w:rPr>
        <w:t xml:space="preserve">6.2 Seuils d'alerte recommandés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5F" w:color="auto" w:val="clear"/>
            <w:tcMar>
              <w:top w:type="dxa" w:w="70"/>
              <w:left w:type="dxa" w:w="90"/>
              <w:bottom w:type="dxa" w:w="70"/>
              <w:right w:type="dxa" w:w="90"/>
            </w:tcMar>
            <w:vAlign w:val="center"/>
          </w:tcPr>
          <w:p>
            <w:r>
              <w:rPr>
                <w:b/>
                <w:bCs/>
                <w:color w:val="FFFFFF"/>
                <w:sz w:val="19"/>
                <w:szCs w:val="19"/>
              </w:rPr>
              <w:t xml:space="preserve">Indicateur</w:t>
            </w:r>
          </w:p>
        </w:tc>
        <w:tc>
          <w:tcPr>
            <w:tcW w:type="dxa" w:w="4675"/>
            <w:shd w:fill="1F4E5F" w:color="auto" w:val="clear"/>
            <w:tcMar>
              <w:top w:type="dxa" w:w="70"/>
              <w:left w:type="dxa" w:w="90"/>
              <w:bottom w:type="dxa" w:w="70"/>
              <w:right w:type="dxa" w:w="90"/>
            </w:tcMar>
            <w:vAlign w:val="center"/>
          </w:tcPr>
          <w:p>
            <w:r>
              <w:rPr>
                <w:b/>
                <w:bCs/>
                <w:color w:val="FFFFFF"/>
                <w:sz w:val="19"/>
                <w:szCs w:val="19"/>
              </w:rPr>
              <w:t xml:space="preserve">Seuil d'alerte</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Taux d'erreur HTTP 5xx</w:t>
            </w:r>
          </w:p>
        </w:tc>
        <w:tc>
          <w:tcPr>
            <w:tcW w:type="dxa" w:w="4675"/>
            <w:tcMar>
              <w:top w:type="dxa" w:w="70"/>
              <w:left w:type="dxa" w:w="90"/>
              <w:bottom w:type="dxa" w:w="70"/>
              <w:right w:type="dxa" w:w="90"/>
            </w:tcMar>
            <w:vAlign w:val="center"/>
          </w:tcPr>
          <w:p>
            <w:r>
              <w:rPr>
                <w:b w:val="false"/>
                <w:bCs w:val="false"/>
                <w:color w:val="000000"/>
                <w:sz w:val="19"/>
                <w:szCs w:val="19"/>
              </w:rPr>
              <w:t xml:space="preserve">&gt; 1% des requêtes sur 5 minutes</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Temps de réponse p95</w:t>
            </w:r>
          </w:p>
        </w:tc>
        <w:tc>
          <w:tcPr>
            <w:tcW w:type="dxa" w:w="4675"/>
            <w:tcMar>
              <w:top w:type="dxa" w:w="70"/>
              <w:left w:type="dxa" w:w="90"/>
              <w:bottom w:type="dxa" w:w="70"/>
              <w:right w:type="dxa" w:w="90"/>
            </w:tcMar>
            <w:vAlign w:val="center"/>
          </w:tcPr>
          <w:p>
            <w:r>
              <w:rPr>
                <w:b w:val="false"/>
                <w:bCs w:val="false"/>
                <w:color w:val="000000"/>
                <w:sz w:val="19"/>
                <w:szCs w:val="19"/>
              </w:rPr>
              <w:t xml:space="preserve">&gt; 1 seconde sur 5 minutes</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Espace disque disponible (base de données)</w:t>
            </w:r>
          </w:p>
        </w:tc>
        <w:tc>
          <w:tcPr>
            <w:tcW w:type="dxa" w:w="4675"/>
            <w:tcMar>
              <w:top w:type="dxa" w:w="70"/>
              <w:left w:type="dxa" w:w="90"/>
              <w:bottom w:type="dxa" w:w="70"/>
              <w:right w:type="dxa" w:w="90"/>
            </w:tcMar>
            <w:vAlign w:val="center"/>
          </w:tcPr>
          <w:p>
            <w:r>
              <w:rPr>
                <w:b w:val="false"/>
                <w:bCs w:val="false"/>
                <w:color w:val="000000"/>
                <w:sz w:val="19"/>
                <w:szCs w:val="19"/>
              </w:rPr>
              <w:t xml:space="preserve">&lt; 20%</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Réplication PostgreSQL en retard</w:t>
            </w:r>
          </w:p>
        </w:tc>
        <w:tc>
          <w:tcPr>
            <w:tcW w:type="dxa" w:w="4675"/>
            <w:tcMar>
              <w:top w:type="dxa" w:w="70"/>
              <w:left w:type="dxa" w:w="90"/>
              <w:bottom w:type="dxa" w:w="70"/>
              <w:right w:type="dxa" w:w="90"/>
            </w:tcMar>
            <w:vAlign w:val="center"/>
          </w:tcPr>
          <w:p>
            <w:r>
              <w:rPr>
                <w:b w:val="false"/>
                <w:bCs w:val="false"/>
                <w:color w:val="000000"/>
                <w:sz w:val="19"/>
                <w:szCs w:val="19"/>
              </w:rPr>
              <w:t xml:space="preserve">&gt; 30 secondes</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Échecs de webhook de paiement</w:t>
            </w:r>
          </w:p>
        </w:tc>
        <w:tc>
          <w:tcPr>
            <w:tcW w:type="dxa" w:w="4675"/>
            <w:tcMar>
              <w:top w:type="dxa" w:w="70"/>
              <w:left w:type="dxa" w:w="90"/>
              <w:bottom w:type="dxa" w:w="70"/>
              <w:right w:type="dxa" w:w="90"/>
            </w:tcMar>
            <w:vAlign w:val="center"/>
          </w:tcPr>
          <w:p>
            <w:r>
              <w:rPr>
                <w:b w:val="false"/>
                <w:bCs w:val="false"/>
                <w:color w:val="000000"/>
                <w:sz w:val="19"/>
                <w:szCs w:val="19"/>
              </w:rPr>
              <w:t xml:space="preserve">&gt; 5% sur 15 minutes</w:t>
            </w:r>
          </w:p>
        </w:tc>
      </w:tr>
      <w:tr>
        <w:trPr>
          <w:tblHeader w:val="false"/>
        </w:trPr>
        <w:tc>
          <w:tcPr>
            <w:tcW w:type="dxa" w:w="4675"/>
            <w:tcMar>
              <w:top w:type="dxa" w:w="70"/>
              <w:left w:type="dxa" w:w="90"/>
              <w:bottom w:type="dxa" w:w="70"/>
              <w:right w:type="dxa" w:w="90"/>
            </w:tcMar>
            <w:vAlign w:val="center"/>
          </w:tcPr>
          <w:p>
            <w:r>
              <w:rPr>
                <w:b w:val="false"/>
                <w:bCs w:val="false"/>
                <w:color w:val="000000"/>
                <w:sz w:val="19"/>
                <w:szCs w:val="19"/>
              </w:rPr>
              <w:t xml:space="preserve">File de messages non consommés</w:t>
            </w:r>
          </w:p>
        </w:tc>
        <w:tc>
          <w:tcPr>
            <w:tcW w:type="dxa" w:w="4675"/>
            <w:tcMar>
              <w:top w:type="dxa" w:w="70"/>
              <w:left w:type="dxa" w:w="90"/>
              <w:bottom w:type="dxa" w:w="70"/>
              <w:right w:type="dxa" w:w="90"/>
            </w:tcMar>
            <w:vAlign w:val="center"/>
          </w:tcPr>
          <w:p>
            <w:r>
              <w:rPr>
                <w:b w:val="false"/>
                <w:bCs w:val="false"/>
                <w:color w:val="000000"/>
                <w:sz w:val="19"/>
                <w:szCs w:val="19"/>
              </w:rPr>
              <w:t xml:space="preserve">&gt; 10 000 messages en attente</w:t>
            </w:r>
          </w:p>
        </w:tc>
      </w:tr>
    </w:tbl>
    <w:p>
      <w:pPr>
        <w:pStyle w:val="Heading2"/>
        <w:spacing w:after="150" w:before="300"/>
      </w:pPr>
      <w:r>
        <w:rPr>
          <w:b/>
          <w:bCs/>
          <w:color w:val="2E86AB"/>
        </w:rPr>
        <w:t xml:space="preserve">6.3 Journalisation</w:t>
      </w:r>
    </w:p>
    <w:p>
      <w:pPr>
        <w:spacing w:after="150"/>
      </w:pPr>
      <w:r>
        <w:t xml:space="preserve">Chaque requête est journalisée avec un identifiant de corrélation unique, permettant de retracer son parcours à travers le backend, les services périphériques et la base de données. Les journaux sont centralisés et conservés 90 jours glissants, à l'exception du journal d'audit (Module 28) conservé selon la durée légale applicable.</w:t>
      </w:r>
    </w:p>
    <w:p>
      <w:r>
        <w:br w:type="page"/>
      </w:r>
    </w:p>
    <w:p>
      <w:pPr>
        <w:pStyle w:val="Heading1"/>
        <w:spacing w:after="200" w:before="400"/>
      </w:pPr>
      <w:r>
        <w:rPr>
          <w:b/>
          <w:bCs/>
          <w:color w:val="1F4E5F"/>
        </w:rPr>
        <w:t xml:space="preserve">PARTIE VII — SAUVEGARDE ET RESTAURATION</w:t>
      </w:r>
    </w:p>
    <w:p>
      <w:pPr>
        <w:pStyle w:val="Heading2"/>
        <w:spacing w:after="150" w:before="300"/>
      </w:pPr>
      <w:r>
        <w:rPr>
          <w:b/>
          <w:bCs/>
          <w:color w:val="2E86AB"/>
        </w:rPr>
        <w:t xml:space="preserve">7.1 Politique de sauvegarde</w:t>
      </w:r>
    </w:p>
    <w:p>
      <w:pPr>
        <w:pStyle w:val="ListParagraph"/>
        <w:numPr>
          <w:ilvl w:val="0"/>
          <w:numId w:val="2"/>
        </w:numPr>
        <w:spacing w:after="80"/>
      </w:pPr>
      <w:r>
        <w:t xml:space="preserve">Sauvegarde complète quotidienne de la base de données, chiffrée, conservée 30 jours glissants</w:t>
      </w:r>
    </w:p>
    <w:p>
      <w:pPr>
        <w:pStyle w:val="ListParagraph"/>
        <w:numPr>
          <w:ilvl w:val="0"/>
          <w:numId w:val="2"/>
        </w:numPr>
        <w:spacing w:after="80"/>
      </w:pPr>
      <w:r>
        <w:t xml:space="preserve">Sauvegarde continue des journaux de transactions (WAL) permettant une restauration à un point dans le temps (PITR) avec un objectif de perte de données (RPO) inférieur à 1 heure</w:t>
      </w:r>
    </w:p>
    <w:p>
      <w:pPr>
        <w:pStyle w:val="ListParagraph"/>
        <w:numPr>
          <w:ilvl w:val="0"/>
          <w:numId w:val="2"/>
        </w:numPr>
        <w:spacing w:after="80"/>
      </w:pPr>
      <w:r>
        <w:t xml:space="preserve">Sauvegarde hebdomadaire du stockage objet (documents, fichiers) avec conservation longue durée</w:t>
      </w:r>
    </w:p>
    <w:p>
      <w:pPr>
        <w:pStyle w:val="Heading2"/>
        <w:spacing w:after="150" w:before="300"/>
      </w:pPr>
      <w:r>
        <w:rPr>
          <w:b/>
          <w:bCs/>
          <w:color w:val="2E86AB"/>
        </w:rPr>
        <w:t xml:space="preserve">7.2 Procédure de restauration</w:t>
      </w:r>
    </w:p>
    <w:p>
      <w:pPr>
        <w:spacing w:after="80"/>
      </w:pPr>
      <w:r>
        <w:rPr>
          <w:b/>
          <w:bCs/>
        </w:rPr>
        <w:t xml:space="preserve">1. </w:t>
      </w:r>
      <w:r>
        <w:t xml:space="preserve">Provisionner une instance de base de données isolée pour la restauration</w:t>
      </w:r>
    </w:p>
    <w:p>
      <w:pPr>
        <w:spacing w:after="80"/>
      </w:pPr>
      <w:r>
        <w:rPr>
          <w:b/>
          <w:bCs/>
        </w:rPr>
        <w:t xml:space="preserve">2. </w:t>
      </w:r>
      <w:r>
        <w:t xml:space="preserve">Restaurer la dernière sauvegarde complète, puis rejouer les journaux de transactions jusqu'au point dans le temps souhaité</w:t>
      </w:r>
    </w:p>
    <w:p>
      <w:pPr>
        <w:spacing w:after="80"/>
      </w:pPr>
      <w:r>
        <w:rPr>
          <w:b/>
          <w:bCs/>
        </w:rPr>
        <w:t xml:space="preserve">3. </w:t>
      </w:r>
      <w:r>
        <w:t xml:space="preserve">Valider l'intégrité des données restaurées (contrôles applicatifs et comptages de référence)</w:t>
      </w:r>
    </w:p>
    <w:p>
      <w:pPr>
        <w:spacing w:after="80"/>
      </w:pPr>
      <w:r>
        <w:rPr>
          <w:b/>
          <w:bCs/>
        </w:rPr>
        <w:t xml:space="preserve">4. </w:t>
      </w:r>
      <w:r>
        <w:t xml:space="preserve">Basculer le trafic vers l'instance restaurée uniquement après validation complète</w:t>
      </w:r>
    </w:p>
    <w:p>
      <w:pPr>
        <w:pStyle w:val="Heading2"/>
        <w:spacing w:after="150" w:before="300"/>
      </w:pPr>
      <w:r>
        <w:rPr>
          <w:b/>
          <w:bCs/>
          <w:color w:val="2E86AB"/>
        </w:rPr>
        <w:t xml:space="preserve">7.3 Test de restauration</w:t>
      </w:r>
    </w:p>
    <w:p>
      <w:pPr>
        <w:spacing w:after="150"/>
      </w:pPr>
      <w:r>
        <w:t xml:space="preserve">Conformément au Volume 2 (exigence de disponibilité), un test de restauration complet est effectué au minimum une fois par trimestre sur un environnement isolé, avec consignation du temps de restauration effectif dans le registre d'exploitation.</w:t>
      </w:r>
    </w:p>
    <w:p>
      <w:r>
        <w:br w:type="page"/>
      </w:r>
    </w:p>
    <w:p>
      <w:pPr>
        <w:pStyle w:val="Heading1"/>
        <w:spacing w:after="200" w:before="400"/>
      </w:pPr>
      <w:r>
        <w:rPr>
          <w:b/>
          <w:bCs/>
          <w:color w:val="1F4E5F"/>
        </w:rPr>
        <w:t xml:space="preserve">PARTIE VIII — ADMINISTRATION FONCTIONNELLE</w:t>
      </w:r>
    </w:p>
    <w:p>
      <w:pPr>
        <w:pStyle w:val="Heading2"/>
        <w:spacing w:after="150" w:before="300"/>
      </w:pPr>
      <w:r>
        <w:rPr>
          <w:b/>
          <w:bCs/>
          <w:color w:val="2E86AB"/>
        </w:rPr>
        <w:t xml:space="preserve">8.1 Gestion des abonnements</w:t>
      </w:r>
    </w:p>
    <w:p>
      <w:pPr>
        <w:spacing w:after="150"/>
      </w:pPr>
      <w:r>
        <w:t xml:space="preserve">Chaque établissement dispose d'un plan d'abonnement (essai, standard, premium) déterminant les modules activés et les volumes autorisés (nombre d'élèves, stockage documentaire). La modification d'un plan s'effectue via la console d'administration ou l'API interne, sans interruption de service.</w:t>
      </w:r>
    </w:p>
    <w:p>
      <w:pPr>
        <w:pStyle w:val="Heading2"/>
        <w:spacing w:after="150" w:before="300"/>
      </w:pPr>
      <w:r>
        <w:rPr>
          <w:b/>
          <w:bCs/>
          <w:color w:val="2E86AB"/>
        </w:rPr>
        <w:t xml:space="preserve">8.2 Suspension et réactivation d'un établissement</w:t>
      </w:r>
    </w:p>
    <w:p>
      <w:pPr>
        <w:spacing w:after="150"/>
      </w:pPr>
      <w:r>
        <w:t xml:space="preserve">En cas d'impayé ou de résiliation, un établissement peut être suspendu : ses utilisateurs perdent l'accès applicatif mais les données sont conservées intégralement pendant la durée légale, permettant une réactivation ultérieure sans perte.</w:t>
      </w:r>
    </w:p>
    <w:p>
      <w:pPr>
        <w:pStyle w:val="Heading2"/>
        <w:spacing w:after="150" w:before="300"/>
      </w:pPr>
      <w:r>
        <w:rPr>
          <w:b/>
          <w:bCs/>
          <w:color w:val="2E86AB"/>
        </w:rPr>
        <w:t xml:space="preserve">8.3 Support et assistance</w:t>
      </w:r>
    </w:p>
    <w:p>
      <w:pPr>
        <w:pStyle w:val="ListParagraph"/>
        <w:numPr>
          <w:ilvl w:val="0"/>
          <w:numId w:val="2"/>
        </w:numPr>
        <w:spacing w:after="80"/>
      </w:pPr>
      <w:r>
        <w:t xml:space="preserve">Premier niveau : équipe support fonctionnelle, traitant les demandes des établissements</w:t>
      </w:r>
    </w:p>
    <w:p>
      <w:pPr>
        <w:pStyle w:val="ListParagraph"/>
        <w:numPr>
          <w:ilvl w:val="0"/>
          <w:numId w:val="2"/>
        </w:numPr>
        <w:spacing w:after="80"/>
      </w:pPr>
      <w:r>
        <w:t xml:space="preserve">Deuxième niveau : équipe technique, traitant les incidents applicatifs et d'infrastructure</w:t>
      </w:r>
    </w:p>
    <w:p>
      <w:pPr>
        <w:pStyle w:val="ListParagraph"/>
        <w:numPr>
          <w:ilvl w:val="0"/>
          <w:numId w:val="2"/>
        </w:numPr>
        <w:spacing w:after="80"/>
      </w:pPr>
      <w:r>
        <w:t xml:space="preserve">Escalade : astreinte technique pour les incidents critiques en dehors des heures ouvrées</w:t>
      </w:r>
    </w:p>
    <w:p>
      <w:r>
        <w:br w:type="page"/>
      </w:r>
    </w:p>
    <w:p>
      <w:pPr>
        <w:pStyle w:val="Heading1"/>
        <w:spacing w:after="200" w:before="400"/>
      </w:pPr>
      <w:r>
        <w:rPr>
          <w:b/>
          <w:bCs/>
          <w:color w:val="1F4E5F"/>
        </w:rPr>
        <w:t xml:space="preserve">PARTIE IX — PROCÉDURES DE RÉPONSE AUX INCIDENTS</w:t>
      </w:r>
    </w:p>
    <w:p>
      <w:pPr>
        <w:spacing w:after="150"/>
      </w:pPr>
      <w:r>
        <w:t xml:space="preserve">Cette partie fournit des procédures de premier niveau (runbooks) pour les incidents les plus fréquemment rencontrés en exploitation.</w:t>
      </w:r>
    </w:p>
    <w:p>
      <w:pPr>
        <w:pStyle w:val="Heading2"/>
        <w:spacing w:after="150" w:before="300"/>
      </w:pPr>
      <w:r>
        <w:rPr>
          <w:b/>
          <w:bCs/>
          <w:color w:val="2E86AB"/>
        </w:rPr>
        <w:t xml:space="preserve">9.1 Panne de la base de données primaire</w:t>
      </w:r>
    </w:p>
    <w:p>
      <w:pPr>
        <w:spacing w:after="80"/>
      </w:pPr>
      <w:r>
        <w:rPr>
          <w:b/>
          <w:bCs/>
        </w:rPr>
        <w:t xml:space="preserve">1. </w:t>
      </w:r>
      <w:r>
        <w:t xml:space="preserve">Confirmer la panne via le tableau de bord infrastructure et les alertes reçues</w:t>
      </w:r>
    </w:p>
    <w:p>
      <w:pPr>
        <w:spacing w:after="80"/>
      </w:pPr>
      <w:r>
        <w:rPr>
          <w:b/>
          <w:bCs/>
        </w:rPr>
        <w:t xml:space="preserve">2. </w:t>
      </w:r>
      <w:r>
        <w:t xml:space="preserve">Déclencher la bascule (failover) vers la réplique de lecture, promue en nouvelle primaire</w:t>
      </w:r>
    </w:p>
    <w:p>
      <w:pPr>
        <w:spacing w:after="80"/>
      </w:pPr>
      <w:r>
        <w:rPr>
          <w:b/>
          <w:bCs/>
        </w:rPr>
        <w:t xml:space="preserve">3. </w:t>
      </w:r>
      <w:r>
        <w:t xml:space="preserve">Rediriger la configuration applicative vers la nouvelle instance primaire</w:t>
      </w:r>
    </w:p>
    <w:p>
      <w:pPr>
        <w:spacing w:after="80"/>
      </w:pPr>
      <w:r>
        <w:rPr>
          <w:b/>
          <w:bCs/>
        </w:rPr>
        <w:t xml:space="preserve">4. </w:t>
      </w:r>
      <w:r>
        <w:t xml:space="preserve">Provisionner une nouvelle réplique de lecture dès que possible pour restaurer la résilience</w:t>
      </w:r>
    </w:p>
    <w:p>
      <w:pPr>
        <w:spacing w:after="80"/>
      </w:pPr>
      <w:r>
        <w:rPr>
          <w:b/>
          <w:bCs/>
        </w:rPr>
        <w:t xml:space="preserve">5. </w:t>
      </w:r>
      <w:r>
        <w:t xml:space="preserve">Documenter l'incident et sa cause racine dans le registre d'exploitation</w:t>
      </w:r>
    </w:p>
    <w:p>
      <w:pPr>
        <w:pStyle w:val="Heading2"/>
        <w:spacing w:after="150" w:before="300"/>
      </w:pPr>
      <w:r>
        <w:rPr>
          <w:b/>
          <w:bCs/>
          <w:color w:val="2E86AB"/>
        </w:rPr>
        <w:t xml:space="preserve">9.2 Pic d'échecs de paiement mobile</w:t>
      </w:r>
    </w:p>
    <w:p>
      <w:pPr>
        <w:spacing w:after="80"/>
      </w:pPr>
      <w:r>
        <w:rPr>
          <w:b/>
          <w:bCs/>
        </w:rPr>
        <w:t xml:space="preserve">1. </w:t>
      </w:r>
      <w:r>
        <w:t xml:space="preserve">Vérifier le statut de l'API de l'opérateur concerné (page de statut officielle si disponible)</w:t>
      </w:r>
    </w:p>
    <w:p>
      <w:pPr>
        <w:spacing w:after="80"/>
      </w:pPr>
      <w:r>
        <w:rPr>
          <w:b/>
          <w:bCs/>
        </w:rPr>
        <w:t xml:space="preserve">2. </w:t>
      </w:r>
      <w:r>
        <w:t xml:space="preserve">Consulter les journaux d'intégration pour distinguer une panne opérateur d'un problème de configuration interne</w:t>
      </w:r>
    </w:p>
    <w:p>
      <w:pPr>
        <w:spacing w:after="80"/>
      </w:pPr>
      <w:r>
        <w:rPr>
          <w:b/>
          <w:bCs/>
        </w:rPr>
        <w:t xml:space="preserve">3. </w:t>
      </w:r>
      <w:r>
        <w:t xml:space="preserve">Si la panne est confirmée côté opérateur, activer un bandeau d'information dans l'application</w:t>
      </w:r>
    </w:p>
    <w:p>
      <w:pPr>
        <w:spacing w:after="80"/>
      </w:pPr>
      <w:r>
        <w:rPr>
          <w:b/>
          <w:bCs/>
        </w:rPr>
        <w:t xml:space="preserve">4. </w:t>
      </w:r>
      <w:r>
        <w:t xml:space="preserve">Réconcilier les transactions à la reprise du service via le job de réconciliation quotidien</w:t>
      </w:r>
    </w:p>
    <w:p>
      <w:pPr>
        <w:pStyle w:val="Heading2"/>
        <w:spacing w:after="150" w:before="300"/>
      </w:pPr>
      <w:r>
        <w:rPr>
          <w:b/>
          <w:bCs/>
          <w:color w:val="2E86AB"/>
        </w:rPr>
        <w:t xml:space="preserve">9.3 Saturation de la file de messages</w:t>
      </w:r>
    </w:p>
    <w:p>
      <w:pPr>
        <w:spacing w:after="80"/>
      </w:pPr>
      <w:r>
        <w:rPr>
          <w:b/>
          <w:bCs/>
        </w:rPr>
        <w:t xml:space="preserve">1. </w:t>
      </w:r>
      <w:r>
        <w:t xml:space="preserve">Identifier le ou les consommateurs en retard (notifications, comptabilité, recalculs)</w:t>
      </w:r>
    </w:p>
    <w:p>
      <w:pPr>
        <w:spacing w:after="80"/>
      </w:pPr>
      <w:r>
        <w:rPr>
          <w:b/>
          <w:bCs/>
        </w:rPr>
        <w:t xml:space="preserve">2. </w:t>
      </w:r>
      <w:r>
        <w:t xml:space="preserve">Augmenter temporairement le nombre d'instances du service consommateur concerné</w:t>
      </w:r>
    </w:p>
    <w:p>
      <w:pPr>
        <w:spacing w:after="80"/>
      </w:pPr>
      <w:r>
        <w:rPr>
          <w:b/>
          <w:bCs/>
        </w:rPr>
        <w:t xml:space="preserve">3. </w:t>
      </w:r>
      <w:r>
        <w:t xml:space="preserve">Vérifier l'absence de boucle d'erreur provoquant un rejeu infini des messages</w:t>
      </w:r>
    </w:p>
    <w:p>
      <w:pPr>
        <w:spacing w:after="80"/>
      </w:pPr>
      <w:r>
        <w:rPr>
          <w:b/>
          <w:bCs/>
        </w:rPr>
        <w:t xml:space="preserve">4. </w:t>
      </w:r>
      <w:r>
        <w:t xml:space="preserve">Purger vers la file de messages morts (dead-letter queue) les messages irrécupérables pour analyse différée</w:t>
      </w:r>
    </w:p>
    <w:p>
      <w:pPr>
        <w:pStyle w:val="Heading2"/>
        <w:spacing w:after="150" w:before="300"/>
      </w:pPr>
      <w:r>
        <w:rPr>
          <w:b/>
          <w:bCs/>
          <w:color w:val="2E86AB"/>
        </w:rPr>
        <w:t xml:space="preserve">9.4 Dégradation des temps de réponse</w:t>
      </w:r>
    </w:p>
    <w:p>
      <w:pPr>
        <w:spacing w:after="80"/>
      </w:pPr>
      <w:r>
        <w:rPr>
          <w:b/>
          <w:bCs/>
        </w:rPr>
        <w:t xml:space="preserve">1. </w:t>
      </w:r>
      <w:r>
        <w:t xml:space="preserve">Identifier les endpoints impactés via le tableau de bord applicatif</w:t>
      </w:r>
    </w:p>
    <w:p>
      <w:pPr>
        <w:spacing w:after="80"/>
      </w:pPr>
      <w:r>
        <w:rPr>
          <w:b/>
          <w:bCs/>
        </w:rPr>
        <w:t xml:space="preserve">2. </w:t>
      </w:r>
      <w:r>
        <w:t xml:space="preserve">Vérifier la charge de la base de données (requêtes lentes, verrous)</w:t>
      </w:r>
    </w:p>
    <w:p>
      <w:pPr>
        <w:spacing w:after="80"/>
      </w:pPr>
      <w:r>
        <w:rPr>
          <w:b/>
          <w:bCs/>
        </w:rPr>
        <w:t xml:space="preserve">3. </w:t>
      </w:r>
      <w:r>
        <w:t xml:space="preserve">Augmenter horizontalement le nombre d'instances applicatives si la charge le justifie</w:t>
      </w:r>
    </w:p>
    <w:p>
      <w:pPr>
        <w:spacing w:after="80"/>
      </w:pPr>
      <w:r>
        <w:rPr>
          <w:b/>
          <w:bCs/>
        </w:rPr>
        <w:t xml:space="preserve">4. </w:t>
      </w:r>
      <w:r>
        <w:t xml:space="preserve">Activer temporairement un throttling renforcé sur les endpoints non critiques si nécessaire</w:t>
      </w:r>
    </w:p>
    <w:p>
      <w:r>
        <w:br w:type="page"/>
      </w:r>
    </w:p>
    <w:p>
      <w:pPr>
        <w:pStyle w:val="Heading1"/>
        <w:spacing w:after="200" w:before="400"/>
      </w:pPr>
      <w:r>
        <w:rPr>
          <w:b/>
          <w:bCs/>
          <w:color w:val="1F4E5F"/>
        </w:rPr>
        <w:t xml:space="preserve">PARTIE X — MAINTENANCE ET MONTÉES DE VERSION</w:t>
      </w:r>
    </w:p>
    <w:p>
      <w:pPr>
        <w:pStyle w:val="Heading2"/>
        <w:spacing w:after="150" w:before="300"/>
      </w:pPr>
      <w:r>
        <w:rPr>
          <w:b/>
          <w:bCs/>
          <w:color w:val="2E86AB"/>
        </w:rPr>
        <w:t xml:space="preserve">10.1 Principes des migrations de schéma</w:t>
      </w:r>
    </w:p>
    <w:p>
      <w:pPr>
        <w:pStyle w:val="ListParagraph"/>
        <w:numPr>
          <w:ilvl w:val="0"/>
          <w:numId w:val="2"/>
        </w:numPr>
        <w:spacing w:after="80"/>
      </w:pPr>
      <w:r>
        <w:t xml:space="preserve">Toute migration ajoutée doit être rétrocompatible avec la version applicative précédente pendant la fenêtre de déploiement progressif</w:t>
      </w:r>
    </w:p>
    <w:p>
      <w:pPr>
        <w:pStyle w:val="ListParagraph"/>
        <w:numPr>
          <w:ilvl w:val="0"/>
          <w:numId w:val="2"/>
        </w:numPr>
        <w:spacing w:after="80"/>
      </w:pPr>
      <w:r>
        <w:t xml:space="preserve">Les migrations destructives (suppression de colonne, changement de type) s'effectuent en deux temps : dépréciation puis suppression lors d'une version ultérieure</w:t>
      </w:r>
    </w:p>
    <w:p>
      <w:pPr>
        <w:pStyle w:val="ListParagraph"/>
        <w:numPr>
          <w:ilvl w:val="0"/>
          <w:numId w:val="2"/>
        </w:numPr>
        <w:spacing w:after="80"/>
      </w:pPr>
      <w:r>
        <w:t xml:space="preserve">Chaque migration est versionnée et rejouable de façon idempotente</w:t>
      </w:r>
    </w:p>
    <w:p>
      <w:pPr>
        <w:pStyle w:val="Heading2"/>
        <w:spacing w:after="150" w:before="300"/>
      </w:pPr>
      <w:r>
        <w:rPr>
          <w:b/>
          <w:bCs/>
          <w:color w:val="2E86AB"/>
        </w:rPr>
        <w:t xml:space="preserve">10.2 Fenêtres de maintenance</w:t>
      </w:r>
    </w:p>
    <w:p>
      <w:pPr>
        <w:spacing w:after="150"/>
      </w:pPr>
      <w:r>
        <w:t xml:space="preserve">Les opérations nécessitant une interruption de service (rare, réservée aux migrations non rétrocompatibles majeures) sont planifiées en dehors des heures scolaires, annoncées aux établissements au moins 7 jours à l'avance.</w:t>
      </w:r>
    </w:p>
    <w:p>
      <w:r>
        <w:br w:type="page"/>
      </w:r>
    </w:p>
    <w:p>
      <w:pPr>
        <w:pStyle w:val="Heading1"/>
        <w:spacing w:after="200" w:before="400"/>
      </w:pPr>
      <w:r>
        <w:rPr>
          <w:b/>
          <w:bCs/>
          <w:color w:val="1F4E5F"/>
        </w:rPr>
        <w:t xml:space="preserve">PARTIE XI — ANNEXES</w:t>
      </w:r>
    </w:p>
    <w:p>
      <w:pPr>
        <w:pStyle w:val="Heading2"/>
        <w:spacing w:after="150" w:before="300"/>
      </w:pPr>
      <w:r>
        <w:rPr>
          <w:b/>
          <w:bCs/>
          <w:color w:val="2E86AB"/>
        </w:rPr>
        <w:t xml:space="preserve">11.1 Glossaire opérationnel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4E5F" w:color="auto" w:val="clear"/>
            <w:tcMar>
              <w:top w:type="dxa" w:w="70"/>
              <w:left w:type="dxa" w:w="90"/>
              <w:bottom w:type="dxa" w:w="70"/>
              <w:right w:type="dxa" w:w="90"/>
            </w:tcMar>
            <w:vAlign w:val="center"/>
          </w:tcPr>
          <w:p>
            <w:r>
              <w:rPr>
                <w:b/>
                <w:bCs/>
                <w:color w:val="FFFFFF"/>
                <w:sz w:val="19"/>
                <w:szCs w:val="19"/>
              </w:rPr>
              <w:t xml:space="preserve">Terme</w:t>
            </w:r>
          </w:p>
        </w:tc>
        <w:tc>
          <w:tcPr>
            <w:tcW w:type="dxa" w:w="7000"/>
            <w:shd w:fill="1F4E5F" w:color="auto" w:val="clear"/>
            <w:tcMar>
              <w:top w:type="dxa" w:w="70"/>
              <w:left w:type="dxa" w:w="90"/>
              <w:bottom w:type="dxa" w:w="70"/>
              <w:right w:type="dxa" w:w="90"/>
            </w:tcMar>
            <w:vAlign w:val="center"/>
          </w:tcPr>
          <w:p>
            <w:r>
              <w:rPr>
                <w:b/>
                <w:bCs/>
                <w:color w:val="FFFFFF"/>
                <w:sz w:val="19"/>
                <w:szCs w:val="19"/>
              </w:rPr>
              <w:t xml:space="preserve">Définition</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Canary release</w:t>
            </w:r>
          </w:p>
        </w:tc>
        <w:tc>
          <w:tcPr>
            <w:tcW w:type="dxa" w:w="7000"/>
            <w:tcMar>
              <w:top w:type="dxa" w:w="70"/>
              <w:left w:type="dxa" w:w="90"/>
              <w:bottom w:type="dxa" w:w="70"/>
              <w:right w:type="dxa" w:w="90"/>
            </w:tcMar>
            <w:vAlign w:val="center"/>
          </w:tcPr>
          <w:p>
            <w:r>
              <w:rPr>
                <w:b w:val="false"/>
                <w:bCs w:val="false"/>
                <w:color w:val="000000"/>
                <w:sz w:val="19"/>
                <w:szCs w:val="19"/>
              </w:rPr>
              <w:t xml:space="preserve">Déploiement progressif d'une nouvelle version sur un sous-ensemble d'instances avant généralisation</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Failover</w:t>
            </w:r>
          </w:p>
        </w:tc>
        <w:tc>
          <w:tcPr>
            <w:tcW w:type="dxa" w:w="7000"/>
            <w:tcMar>
              <w:top w:type="dxa" w:w="70"/>
              <w:left w:type="dxa" w:w="90"/>
              <w:bottom w:type="dxa" w:w="70"/>
              <w:right w:type="dxa" w:w="90"/>
            </w:tcMar>
            <w:vAlign w:val="center"/>
          </w:tcPr>
          <w:p>
            <w:r>
              <w:rPr>
                <w:b w:val="false"/>
                <w:bCs w:val="false"/>
                <w:color w:val="000000"/>
                <w:sz w:val="19"/>
                <w:szCs w:val="19"/>
              </w:rPr>
              <w:t xml:space="preserve">Bascule automatique ou manuelle vers un composant de secours en cas de panne</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PITR</w:t>
            </w:r>
          </w:p>
        </w:tc>
        <w:tc>
          <w:tcPr>
            <w:tcW w:type="dxa" w:w="7000"/>
            <w:tcMar>
              <w:top w:type="dxa" w:w="70"/>
              <w:left w:type="dxa" w:w="90"/>
              <w:bottom w:type="dxa" w:w="70"/>
              <w:right w:type="dxa" w:w="90"/>
            </w:tcMar>
            <w:vAlign w:val="center"/>
          </w:tcPr>
          <w:p>
            <w:r>
              <w:rPr>
                <w:b w:val="false"/>
                <w:bCs w:val="false"/>
                <w:color w:val="000000"/>
                <w:sz w:val="19"/>
                <w:szCs w:val="19"/>
              </w:rPr>
              <w:t xml:space="preserve">Point-In-Time Recovery — restauration de la base à un instant précis</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Dead-letter queue</w:t>
            </w:r>
          </w:p>
        </w:tc>
        <w:tc>
          <w:tcPr>
            <w:tcW w:type="dxa" w:w="7000"/>
            <w:tcMar>
              <w:top w:type="dxa" w:w="70"/>
              <w:left w:type="dxa" w:w="90"/>
              <w:bottom w:type="dxa" w:w="70"/>
              <w:right w:type="dxa" w:w="90"/>
            </w:tcMar>
            <w:vAlign w:val="center"/>
          </w:tcPr>
          <w:p>
            <w:r>
              <w:rPr>
                <w:b w:val="false"/>
                <w:bCs w:val="false"/>
                <w:color w:val="000000"/>
                <w:sz w:val="19"/>
                <w:szCs w:val="19"/>
              </w:rPr>
              <w:t xml:space="preserve">File de messages ayant échoué au traitement, isolée pour analyse</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Runbook</w:t>
            </w:r>
          </w:p>
        </w:tc>
        <w:tc>
          <w:tcPr>
            <w:tcW w:type="dxa" w:w="7000"/>
            <w:tcMar>
              <w:top w:type="dxa" w:w="70"/>
              <w:left w:type="dxa" w:w="90"/>
              <w:bottom w:type="dxa" w:w="70"/>
              <w:right w:type="dxa" w:w="90"/>
            </w:tcMar>
            <w:vAlign w:val="center"/>
          </w:tcPr>
          <w:p>
            <w:r>
              <w:rPr>
                <w:b w:val="false"/>
                <w:bCs w:val="false"/>
                <w:color w:val="000000"/>
                <w:sz w:val="19"/>
                <w:szCs w:val="19"/>
              </w:rPr>
              <w:t xml:space="preserve">Procédure opérationnelle documentée pour répondre à un incident donné</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RTO / RPO</w:t>
            </w:r>
          </w:p>
        </w:tc>
        <w:tc>
          <w:tcPr>
            <w:tcW w:type="dxa" w:w="7000"/>
            <w:tcMar>
              <w:top w:type="dxa" w:w="70"/>
              <w:left w:type="dxa" w:w="90"/>
              <w:bottom w:type="dxa" w:w="70"/>
              <w:right w:type="dxa" w:w="90"/>
            </w:tcMar>
            <w:vAlign w:val="center"/>
          </w:tcPr>
          <w:p>
            <w:r>
              <w:rPr>
                <w:b w:val="false"/>
                <w:bCs w:val="false"/>
                <w:color w:val="000000"/>
                <w:sz w:val="19"/>
                <w:szCs w:val="19"/>
              </w:rPr>
              <w:t xml:space="preserve">Recovery Time/Point Objective — délai et perte de données maximum tolérés en cas de sinistre</w:t>
            </w:r>
          </w:p>
        </w:tc>
      </w:tr>
    </w:tbl>
    <w:p>
      <w:pPr>
        <w:pStyle w:val="Heading2"/>
        <w:spacing w:after="150" w:before="300"/>
      </w:pPr>
      <w:r>
        <w:rPr>
          <w:b/>
          <w:bCs/>
          <w:color w:val="2E86AB"/>
        </w:rPr>
        <w:t xml:space="preserve">11.2 Synthèse de la collection documentaire EDUCORE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4E5F" w:color="auto" w:val="clear"/>
            <w:tcMar>
              <w:top w:type="dxa" w:w="70"/>
              <w:left w:type="dxa" w:w="90"/>
              <w:bottom w:type="dxa" w:w="70"/>
              <w:right w:type="dxa" w:w="90"/>
            </w:tcMar>
            <w:vAlign w:val="center"/>
          </w:tcPr>
          <w:p>
            <w:r>
              <w:rPr>
                <w:b/>
                <w:bCs/>
                <w:color w:val="FFFFFF"/>
                <w:sz w:val="19"/>
                <w:szCs w:val="19"/>
              </w:rPr>
              <w:t xml:space="preserve">Volume</w:t>
            </w:r>
          </w:p>
        </w:tc>
        <w:tc>
          <w:tcPr>
            <w:tcW w:type="dxa" w:w="7000"/>
            <w:shd w:fill="1F4E5F" w:color="auto" w:val="clear"/>
            <w:tcMar>
              <w:top w:type="dxa" w:w="70"/>
              <w:left w:type="dxa" w:w="90"/>
              <w:bottom w:type="dxa" w:w="70"/>
              <w:right w:type="dxa" w:w="90"/>
            </w:tcMar>
            <w:vAlign w:val="center"/>
          </w:tcPr>
          <w:p>
            <w:r>
              <w:rPr>
                <w:b/>
                <w:bCs/>
                <w:color w:val="FFFFFF"/>
                <w:sz w:val="19"/>
                <w:szCs w:val="19"/>
              </w:rPr>
              <w:t xml:space="preserve">Contenu</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Volume 1</w:t>
            </w:r>
          </w:p>
        </w:tc>
        <w:tc>
          <w:tcPr>
            <w:tcW w:type="dxa" w:w="7000"/>
            <w:tcMar>
              <w:top w:type="dxa" w:w="70"/>
              <w:left w:type="dxa" w:w="90"/>
              <w:bottom w:type="dxa" w:w="70"/>
              <w:right w:type="dxa" w:w="90"/>
            </w:tcMar>
            <w:vAlign w:val="center"/>
          </w:tcPr>
          <w:p>
            <w:r>
              <w:rPr>
                <w:b w:val="false"/>
                <w:bCs w:val="false"/>
                <w:color w:val="000000"/>
                <w:sz w:val="19"/>
                <w:szCs w:val="19"/>
              </w:rPr>
              <w:t xml:space="preserve">Cahier des charges fonctionnel</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Volume 2</w:t>
            </w:r>
          </w:p>
        </w:tc>
        <w:tc>
          <w:tcPr>
            <w:tcW w:type="dxa" w:w="7000"/>
            <w:tcMar>
              <w:top w:type="dxa" w:w="70"/>
              <w:left w:type="dxa" w:w="90"/>
              <w:bottom w:type="dxa" w:w="70"/>
              <w:right w:type="dxa" w:w="90"/>
            </w:tcMar>
            <w:vAlign w:val="center"/>
          </w:tcPr>
          <w:p>
            <w:r>
              <w:rPr>
                <w:b w:val="false"/>
                <w:bCs w:val="false"/>
                <w:color w:val="000000"/>
                <w:sz w:val="19"/>
                <w:szCs w:val="19"/>
              </w:rPr>
              <w:t xml:space="preserve">Cahier des spécifications techniques</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Volume 3</w:t>
            </w:r>
          </w:p>
        </w:tc>
        <w:tc>
          <w:tcPr>
            <w:tcW w:type="dxa" w:w="7000"/>
            <w:tcMar>
              <w:top w:type="dxa" w:w="70"/>
              <w:left w:type="dxa" w:w="90"/>
              <w:bottom w:type="dxa" w:w="70"/>
              <w:right w:type="dxa" w:w="90"/>
            </w:tcMar>
            <w:vAlign w:val="center"/>
          </w:tcPr>
          <w:p>
            <w:r>
              <w:rPr>
                <w:b w:val="false"/>
                <w:bCs w:val="false"/>
                <w:color w:val="000000"/>
                <w:sz w:val="19"/>
                <w:szCs w:val="19"/>
              </w:rPr>
              <w:t xml:space="preserve">Architecture logicielle</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Volume 4</w:t>
            </w:r>
          </w:p>
        </w:tc>
        <w:tc>
          <w:tcPr>
            <w:tcW w:type="dxa" w:w="7000"/>
            <w:tcMar>
              <w:top w:type="dxa" w:w="70"/>
              <w:left w:type="dxa" w:w="90"/>
              <w:bottom w:type="dxa" w:w="70"/>
              <w:right w:type="dxa" w:w="90"/>
            </w:tcMar>
            <w:vAlign w:val="center"/>
          </w:tcPr>
          <w:p>
            <w:r>
              <w:rPr>
                <w:b w:val="false"/>
                <w:bCs w:val="false"/>
                <w:color w:val="000000"/>
                <w:sz w:val="19"/>
                <w:szCs w:val="19"/>
              </w:rPr>
              <w:t xml:space="preserve">Conception UML</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Volume 5</w:t>
            </w:r>
          </w:p>
        </w:tc>
        <w:tc>
          <w:tcPr>
            <w:tcW w:type="dxa" w:w="7000"/>
            <w:tcMar>
              <w:top w:type="dxa" w:w="70"/>
              <w:left w:type="dxa" w:w="90"/>
              <w:bottom w:type="dxa" w:w="70"/>
              <w:right w:type="dxa" w:w="90"/>
            </w:tcMar>
            <w:vAlign w:val="center"/>
          </w:tcPr>
          <w:p>
            <w:r>
              <w:rPr>
                <w:b w:val="false"/>
                <w:bCs w:val="false"/>
                <w:color w:val="000000"/>
                <w:sz w:val="19"/>
                <w:szCs w:val="19"/>
              </w:rPr>
              <w:t xml:space="preserve">Dictionnaire de données</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Volume 6</w:t>
            </w:r>
          </w:p>
        </w:tc>
        <w:tc>
          <w:tcPr>
            <w:tcW w:type="dxa" w:w="7000"/>
            <w:tcMar>
              <w:top w:type="dxa" w:w="70"/>
              <w:left w:type="dxa" w:w="90"/>
              <w:bottom w:type="dxa" w:w="70"/>
              <w:right w:type="dxa" w:w="90"/>
            </w:tcMar>
            <w:vAlign w:val="center"/>
          </w:tcPr>
          <w:p>
            <w:r>
              <w:rPr>
                <w:b w:val="false"/>
                <w:bCs w:val="false"/>
                <w:color w:val="000000"/>
                <w:sz w:val="19"/>
                <w:szCs w:val="19"/>
              </w:rPr>
              <w:t xml:space="preserve">Documentation API</w:t>
            </w:r>
          </w:p>
        </w:tc>
      </w:tr>
      <w:tr>
        <w:trPr>
          <w:tblHeader w:val="false"/>
        </w:trPr>
        <w:tc>
          <w:tcPr>
            <w:tcW w:type="dxa" w:w="2350"/>
            <w:tcMar>
              <w:top w:type="dxa" w:w="70"/>
              <w:left w:type="dxa" w:w="90"/>
              <w:bottom w:type="dxa" w:w="70"/>
              <w:right w:type="dxa" w:w="90"/>
            </w:tcMar>
            <w:vAlign w:val="center"/>
          </w:tcPr>
          <w:p>
            <w:r>
              <w:rPr>
                <w:b w:val="false"/>
                <w:bCs w:val="false"/>
                <w:color w:val="000000"/>
                <w:sz w:val="19"/>
                <w:szCs w:val="19"/>
              </w:rPr>
              <w:t xml:space="preserve">Volume 7</w:t>
            </w:r>
          </w:p>
        </w:tc>
        <w:tc>
          <w:tcPr>
            <w:tcW w:type="dxa" w:w="7000"/>
            <w:tcMar>
              <w:top w:type="dxa" w:w="70"/>
              <w:left w:type="dxa" w:w="90"/>
              <w:bottom w:type="dxa" w:w="70"/>
              <w:right w:type="dxa" w:w="90"/>
            </w:tcMar>
            <w:vAlign w:val="center"/>
          </w:tcPr>
          <w:p>
            <w:r>
              <w:rPr>
                <w:b w:val="false"/>
                <w:bCs w:val="false"/>
                <w:color w:val="000000"/>
                <w:sz w:val="19"/>
                <w:szCs w:val="19"/>
              </w:rPr>
              <w:t xml:space="preserve">Guide d'installation, d'exploitation et d'administration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EDUCORE — Guide d'installation et d'exploitation — Volume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2026-07-26T15:50:38.348Z</dcterms:created>
  <dcterms:modified xsi:type="dcterms:W3CDTF">2026-07-26T15:50:38.348Z</dcterms:modified>
</cp:coreProperties>
</file>

<file path=docProps/custom.xml><?xml version="1.0" encoding="utf-8"?>
<Properties xmlns="http://schemas.openxmlformats.org/officeDocument/2006/custom-properties" xmlns:vt="http://schemas.openxmlformats.org/officeDocument/2006/docPropsVTypes"/>
</file>