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Heading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Heading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Heading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842FD4">
        <w:rPr>
          <w:noProof/>
          <w:sz w:val="20"/>
          <w:szCs w:val="28"/>
        </w:rPr>
        <w:t>18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программирования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 xml:space="preserve">старший научный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</w:t>
      </w:r>
      <w:r w:rsidR="00EE39B9">
        <w:rPr>
          <w:noProof/>
          <w:sz w:val="20"/>
          <w:szCs w:val="28"/>
        </w:rPr>
        <w:t>7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 xml:space="preserve">иссертационного совета </w:t>
      </w:r>
      <w:r w:rsidR="00397F1C" w:rsidRPr="00FD67F8">
        <w:rPr>
          <w:sz w:val="20"/>
          <w:szCs w:val="28"/>
          <w:lang w:val="en-US"/>
        </w:rPr>
        <w:t>X</w:t>
      </w:r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20</w:t>
      </w:r>
      <w:r w:rsidR="00397F1C" w:rsidRPr="00FD67F8">
        <w:rPr>
          <w:noProof/>
          <w:sz w:val="20"/>
          <w:szCs w:val="28"/>
        </w:rPr>
        <w:t>1</w:t>
      </w:r>
      <w:r w:rsidR="00842FD4">
        <w:rPr>
          <w:noProof/>
          <w:sz w:val="20"/>
          <w:szCs w:val="28"/>
        </w:rPr>
        <w:t>8</w:t>
      </w:r>
      <w:r w:rsidRPr="00FD67F8">
        <w:rPr>
          <w:sz w:val="20"/>
          <w:szCs w:val="28"/>
        </w:rPr>
        <w:t xml:space="preserve"> г.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печатью, по адресу: 125993, Москва, А-80, ГСП-3, Волоколамское шоссе, 4, Учёный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NoSpacing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система конкуренции производител</w:t>
      </w:r>
      <w:r w:rsidR="00071A4B" w:rsidRPr="00633DF2">
        <w:rPr>
          <w:sz w:val="20"/>
        </w:rPr>
        <w:t>ей</w:t>
      </w:r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NoSpacing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NoSpacing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r w:rsidR="00AF688F" w:rsidRPr="00474852">
        <w:rPr>
          <w:sz w:val="20"/>
        </w:rPr>
        <w:t xml:space="preserve">Лица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технологиях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информации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(Т.Саати)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метод Дельфи (</w:t>
      </w:r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 xml:space="preserve">мер, </w:t>
      </w:r>
      <w:r w:rsidR="00F30399">
        <w:rPr>
          <w:sz w:val="20"/>
        </w:rPr>
        <w:t>Н.Далки, Н.Решер</w:t>
      </w:r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r w:rsidR="000A14BA">
        <w:rPr>
          <w:sz w:val="20"/>
        </w:rPr>
        <w:t>А.Н.Малюта, Л.Г.Шатихин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информацию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принимаемых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 xml:space="preserve">методов системной динамики (Д.Форрестер),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r w:rsidR="00D84B61">
        <w:rPr>
          <w:sz w:val="20"/>
        </w:rPr>
        <w:t>А.И.Кибзун,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>ому моделированию, в частности, имитационному и агентному</w:t>
      </w:r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агентные модели базируются на теории игр (Р.Аксельрод, М.Новак, Р.Мэй</w:t>
      </w:r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К классическим теоретико-игровым моделям анализа конкуренции относят модели Ж.Бертрана, Г.Штакельберга и О.Курно</w:t>
      </w:r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(Дж.Нэш)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 xml:space="preserve">при стремлении достижения игроками своих целей (например, максимум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 xml:space="preserve">сил, действующих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комплементоров</w:t>
      </w:r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r w:rsidRPr="00163AB5">
        <w:rPr>
          <w:sz w:val="20"/>
        </w:rPr>
        <w:t>А.Бранденбургер, Б.Нейлбафф</w:t>
      </w:r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инфлюенторов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 xml:space="preserve">косвенное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 xml:space="preserve">сил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могут образовывать собственную структуру, в которой они становятся основными игроками, что на базе исследований А.С.Семенова позволяет постулировать аксиому о самоподобии и иерархичности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NoSpacing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основных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инновационного продукта</w:t>
      </w:r>
      <w:r w:rsidR="00862E65" w:rsidRPr="00862E65">
        <w:rPr>
          <w:sz w:val="20"/>
        </w:rPr>
        <w:t xml:space="preserve"> (Д.Стиглиц, П.Дасгупта)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интернет-вещей </w:t>
      </w:r>
      <w:r w:rsidR="00A67D5F">
        <w:rPr>
          <w:sz w:val="20"/>
        </w:rPr>
        <w:t xml:space="preserve">– </w:t>
      </w:r>
      <w:r w:rsidR="009C512D" w:rsidRPr="00862E65">
        <w:rPr>
          <w:sz w:val="20"/>
        </w:rPr>
        <w:t>IoT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 xml:space="preserve">, аэростатов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 xml:space="preserve">, применяемых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NoSpacing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NoSpacing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большим объемом релевантных данных. Сбор и накопление таких данных возможен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>ной разведки Avalanche (А.И.</w:t>
      </w:r>
      <w:r w:rsidR="00B26CD0" w:rsidRPr="0051410C">
        <w:rPr>
          <w:sz w:val="20"/>
        </w:rPr>
        <w:t>Масалович)</w:t>
      </w:r>
      <w:r w:rsidR="0031693D" w:rsidRPr="0051410C">
        <w:rPr>
          <w:sz w:val="20"/>
        </w:rPr>
        <w:t>, программы поиска, сбора, мониторинга и анализа информации SiteSputnik (А.Б.Мыльников)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Яндекс.Маркет (Яндекс)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NoSpacing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методики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предложена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NoSpacing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NoSpacing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EE39B9" w:rsidRDefault="002E191D" w:rsidP="004D1A17">
      <w:pPr>
        <w:pStyle w:val="NoSpacing"/>
        <w:ind w:firstLine="284"/>
        <w:jc w:val="both"/>
        <w:rPr>
          <w:color w:val="FF0000"/>
          <w:sz w:val="20"/>
        </w:rPr>
      </w:pPr>
      <w:r w:rsidRPr="00EE39B9">
        <w:rPr>
          <w:b/>
          <w:bCs/>
          <w:color w:val="FF0000"/>
          <w:sz w:val="20"/>
        </w:rPr>
        <w:t>Цел</w:t>
      </w:r>
      <w:r w:rsidR="00F64D6C" w:rsidRPr="00EE39B9">
        <w:rPr>
          <w:b/>
          <w:bCs/>
          <w:color w:val="FF0000"/>
          <w:sz w:val="20"/>
        </w:rPr>
        <w:t>ь</w:t>
      </w:r>
      <w:r w:rsidRPr="00EE39B9">
        <w:rPr>
          <w:b/>
          <w:bCs/>
          <w:color w:val="FF0000"/>
          <w:sz w:val="20"/>
        </w:rPr>
        <w:t xml:space="preserve"> и задачи работы</w:t>
      </w:r>
      <w:r w:rsidR="004C461A" w:rsidRPr="00EE39B9">
        <w:rPr>
          <w:b/>
          <w:bCs/>
          <w:color w:val="FF0000"/>
          <w:sz w:val="20"/>
        </w:rPr>
        <w:t xml:space="preserve">. </w:t>
      </w:r>
      <w:r w:rsidR="00BE43E9" w:rsidRPr="00EE39B9">
        <w:rPr>
          <w:color w:val="FF0000"/>
          <w:sz w:val="20"/>
        </w:rPr>
        <w:t xml:space="preserve">Целью </w:t>
      </w:r>
      <w:r w:rsidR="008935F9" w:rsidRPr="00EE39B9">
        <w:rPr>
          <w:color w:val="FF0000"/>
          <w:sz w:val="20"/>
        </w:rPr>
        <w:t xml:space="preserve">данной </w:t>
      </w:r>
      <w:r w:rsidR="00BE43E9" w:rsidRPr="00EE39B9">
        <w:rPr>
          <w:color w:val="FF0000"/>
          <w:sz w:val="20"/>
        </w:rPr>
        <w:t xml:space="preserve">работы является </w:t>
      </w:r>
      <w:r w:rsidR="008935F9" w:rsidRPr="00EE39B9">
        <w:rPr>
          <w:color w:val="FF0000"/>
          <w:sz w:val="20"/>
        </w:rPr>
        <w:t>создание</w:t>
      </w:r>
      <w:r w:rsidR="00BE43E9" w:rsidRPr="00EE39B9">
        <w:rPr>
          <w:color w:val="FF0000"/>
          <w:sz w:val="20"/>
        </w:rPr>
        <w:t xml:space="preserve"> инструментария конкурентного анализа, то есть </w:t>
      </w:r>
      <w:r w:rsidR="007F0B4A" w:rsidRPr="00EE39B9">
        <w:rPr>
          <w:color w:val="FF0000"/>
          <w:sz w:val="20"/>
        </w:rPr>
        <w:t xml:space="preserve">методического, </w:t>
      </w:r>
      <w:r w:rsidR="00BE43E9" w:rsidRPr="00EE39B9">
        <w:rPr>
          <w:color w:val="FF0000"/>
          <w:sz w:val="20"/>
        </w:rPr>
        <w:t xml:space="preserve">математического и программного обеспечения системы поддержки принятия решений </w:t>
      </w:r>
      <w:r w:rsidR="007F0B4A" w:rsidRPr="00EE39B9">
        <w:rPr>
          <w:color w:val="FF0000"/>
          <w:sz w:val="20"/>
        </w:rPr>
        <w:t>на базе</w:t>
      </w:r>
      <w:r w:rsidR="00BE43E9" w:rsidRPr="00EE39B9">
        <w:rPr>
          <w:color w:val="FF0000"/>
          <w:sz w:val="20"/>
        </w:rPr>
        <w:t xml:space="preserve"> моделирования глобальной конкуренции на основных этапах жизненного цикла высокотехнологично</w:t>
      </w:r>
      <w:r w:rsidR="00E13905" w:rsidRPr="00EE39B9">
        <w:rPr>
          <w:color w:val="FF0000"/>
          <w:sz w:val="20"/>
        </w:rPr>
        <w:t>й</w:t>
      </w:r>
      <w:r w:rsidR="00BE43E9" w:rsidRPr="00EE39B9">
        <w:rPr>
          <w:color w:val="FF0000"/>
          <w:sz w:val="20"/>
        </w:rPr>
        <w:t xml:space="preserve"> продук</w:t>
      </w:r>
      <w:r w:rsidR="00E13905" w:rsidRPr="00EE39B9">
        <w:rPr>
          <w:color w:val="FF0000"/>
          <w:sz w:val="20"/>
        </w:rPr>
        <w:t>ции</w:t>
      </w:r>
      <w:r w:rsidR="00BE43E9" w:rsidRPr="00EE39B9">
        <w:rPr>
          <w:color w:val="FF0000"/>
          <w:sz w:val="20"/>
        </w:rPr>
        <w:t xml:space="preserve"> аэрокосмической отрасли.</w:t>
      </w:r>
      <w:r w:rsidR="00E8728C">
        <w:rPr>
          <w:color w:val="FF0000"/>
          <w:sz w:val="20"/>
        </w:rPr>
        <w:t xml:space="preserve"> (создание инструментария анализа ДЛЯ ЧЕГО?)</w:t>
      </w:r>
    </w:p>
    <w:p w:rsidR="004B0270" w:rsidRPr="002142D6" w:rsidRDefault="004B0270" w:rsidP="00FD67F8">
      <w:pPr>
        <w:pStyle w:val="NoSpacing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теоретико-игровую модель конкурентного анализа на основе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>ОАТ, IoT,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прогнозирования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стратегии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NoSpacing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системного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NoSpacing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методов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NoSpacing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>. Среди полученных в работе результатов можно выделить следующие:</w:t>
      </w:r>
    </w:p>
    <w:p w:rsidR="008935F9" w:rsidRPr="00655588" w:rsidRDefault="00737AC0" w:rsidP="0065558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отрасли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комплементоров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инфлюенторов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>, а также обладает свойством самоподобия</w:t>
      </w:r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Competiton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специальное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Competition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(БОС)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ЦифроМед</w:t>
      </w:r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результаты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производителей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 xml:space="preserve">Разработанное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</w:t>
      </w:r>
      <w:r w:rsidR="00842FD4">
        <w:rPr>
          <w:sz w:val="20"/>
        </w:rPr>
        <w:t xml:space="preserve">, </w:t>
      </w:r>
      <w:r w:rsidR="00BD168E">
        <w:rPr>
          <w:sz w:val="20"/>
        </w:rPr>
        <w:t xml:space="preserve">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</w:t>
      </w:r>
      <w:r w:rsidR="00842FD4">
        <w:rPr>
          <w:sz w:val="20"/>
        </w:rPr>
        <w:t xml:space="preserve"> и </w:t>
      </w:r>
      <w:r w:rsidR="00842FD4">
        <w:rPr>
          <w:color w:val="FF0000"/>
          <w:sz w:val="20"/>
        </w:rPr>
        <w:t>ЦифроМед</w:t>
      </w:r>
      <w:r w:rsidR="00BD168E">
        <w:rPr>
          <w:sz w:val="20"/>
        </w:rPr>
        <w:t>.</w:t>
      </w:r>
    </w:p>
    <w:p w:rsidR="00D0511A" w:rsidRPr="00FD67F8" w:rsidRDefault="002E191D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использовани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</w:t>
      </w:r>
      <w:r w:rsidR="00FC53A8" w:rsidRPr="00842FD4">
        <w:rPr>
          <w:color w:val="FF0000"/>
          <w:sz w:val="20"/>
        </w:rPr>
        <w:t xml:space="preserve">соответствующие </w:t>
      </w:r>
      <w:r w:rsidR="00B63F4F" w:rsidRPr="00842FD4">
        <w:rPr>
          <w:color w:val="FF0000"/>
          <w:sz w:val="20"/>
        </w:rPr>
        <w:t xml:space="preserve">пунктам </w:t>
      </w:r>
      <w:r w:rsidR="00FC53A8" w:rsidRPr="00842FD4">
        <w:rPr>
          <w:color w:val="FF0000"/>
          <w:sz w:val="20"/>
        </w:rPr>
        <w:t xml:space="preserve">1, 2, 4, 5, 10, 11, 12, 13 </w:t>
      </w:r>
      <w:r w:rsidR="00DD4D11" w:rsidRPr="00842FD4">
        <w:rPr>
          <w:color w:val="FF0000"/>
          <w:sz w:val="20"/>
        </w:rPr>
        <w:t xml:space="preserve">паспорта </w:t>
      </w:r>
      <w:r w:rsidR="00FC53A8" w:rsidRPr="00842FD4">
        <w:rPr>
          <w:color w:val="FF0000"/>
          <w:sz w:val="20"/>
        </w:rPr>
        <w:t>специальности 05.13.01</w:t>
      </w:r>
      <w:r w:rsidR="00FC53A8" w:rsidRPr="00FD67F8">
        <w:rPr>
          <w:sz w:val="20"/>
        </w:rPr>
        <w:t>.</w:t>
      </w:r>
    </w:p>
    <w:p w:rsidR="00D4098E" w:rsidRPr="00FD67F8" w:rsidRDefault="00D4098E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внедрении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компании ООО «ЭСТО-Вакуум» в ООО «ЭСТО-Вакуум»</w:t>
      </w:r>
      <w:r w:rsidR="00951BBC">
        <w:rPr>
          <w:sz w:val="20"/>
        </w:rPr>
        <w:t xml:space="preserve">, </w:t>
      </w:r>
      <w:r w:rsidR="008F095B">
        <w:rPr>
          <w:sz w:val="20"/>
        </w:rPr>
        <w:t xml:space="preserve">«Исследование и разработка моделей, алгоритмов и программного обеспечения конкурентного анализа»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комплекс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семинарах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производстве»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Московского авиационного института (рук. доц.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исследования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2012 г</w:t>
      </w:r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современным прикладным программным системам (Россия, Алушта, 22-31 мая 2013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технологической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2013 г.)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>(Россия, Алушта, 25-31 мая, 2014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2014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 всероссийском симпозиуме «Стратегическое планирование и развитие предприятий» (Россия, Москва, 14-15 апреля 2015 г.)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современным прикладным программным системам (Россия, Алушта, 24-31 мая 2015 г.)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Королев, 24-26 июня 2015 г.)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2015 г.)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«Гагаринские чтения – 2016» (Россия, Москва, 12-15 апреля,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апреля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мая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соплах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2016 г</w:t>
      </w:r>
      <w:r w:rsidR="00721F17">
        <w:rPr>
          <w:sz w:val="20"/>
        </w:rPr>
        <w:t>.)</w:t>
      </w:r>
    </w:p>
    <w:p w:rsidR="00721F17" w:rsidRDefault="00721F17" w:rsidP="00721F17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EE39B9" w:rsidRDefault="00EE39B9" w:rsidP="00EE39B9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XX Международной</w:t>
      </w:r>
      <w:r>
        <w:rPr>
          <w:sz w:val="20"/>
        </w:rPr>
        <w:t xml:space="preserve"> юбилейной</w:t>
      </w:r>
      <w:r w:rsidRPr="00FD67F8">
        <w:rPr>
          <w:sz w:val="20"/>
        </w:rPr>
        <w:t xml:space="preserve"> конференции по вычислительной механике и современным прикладным программным системам (Россия, Алушта, 24-31 мая 201</w:t>
      </w:r>
      <w:r>
        <w:rPr>
          <w:sz w:val="20"/>
        </w:rPr>
        <w:t>7</w:t>
      </w:r>
      <w:r w:rsidRPr="00FD67F8">
        <w:rPr>
          <w:sz w:val="20"/>
        </w:rPr>
        <w:t xml:space="preserve"> г.);</w:t>
      </w:r>
    </w:p>
    <w:p w:rsidR="00842FD4" w:rsidRPr="00EE39B9" w:rsidRDefault="00842FD4" w:rsidP="00EE39B9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>
        <w:rPr>
          <w:sz w:val="20"/>
          <w:lang w:val="en-US"/>
        </w:rPr>
        <w:t>XVII</w:t>
      </w:r>
      <w:r w:rsidRPr="00842FD4">
        <w:rPr>
          <w:sz w:val="20"/>
        </w:rPr>
        <w:t xml:space="preserve"> </w:t>
      </w:r>
      <w:r w:rsidRPr="00FD67F8">
        <w:rPr>
          <w:sz w:val="20"/>
        </w:rPr>
        <w:t xml:space="preserve">Международной </w:t>
      </w:r>
      <w:r>
        <w:rPr>
          <w:sz w:val="20"/>
        </w:rPr>
        <w:t xml:space="preserve">научно-практической </w:t>
      </w:r>
      <w:r w:rsidRPr="00FD67F8">
        <w:rPr>
          <w:sz w:val="20"/>
        </w:rPr>
        <w:t>конференции «Системы проектирования, технологической подготовки производства и управления этапами жизненного цикла промышленного продукта (CAD/CAM/PDM – 201</w:t>
      </w:r>
      <w:r>
        <w:rPr>
          <w:sz w:val="20"/>
        </w:rPr>
        <w:t>7</w:t>
      </w:r>
      <w:r w:rsidRPr="00FD67F8">
        <w:rPr>
          <w:sz w:val="20"/>
        </w:rPr>
        <w:t xml:space="preserve">)» (Россия, Москва, </w:t>
      </w:r>
      <w:r>
        <w:rPr>
          <w:sz w:val="20"/>
          <w:szCs w:val="28"/>
        </w:rPr>
        <w:t>12-14</w:t>
      </w:r>
      <w:r w:rsidRPr="00FD67F8">
        <w:rPr>
          <w:sz w:val="20"/>
        </w:rPr>
        <w:t xml:space="preserve"> </w:t>
      </w:r>
      <w:r>
        <w:rPr>
          <w:sz w:val="20"/>
        </w:rPr>
        <w:t>декабря</w:t>
      </w:r>
      <w:r w:rsidRPr="00FD67F8">
        <w:rPr>
          <w:sz w:val="20"/>
        </w:rPr>
        <w:t xml:space="preserve"> 201</w:t>
      </w:r>
      <w:r>
        <w:rPr>
          <w:sz w:val="20"/>
        </w:rPr>
        <w:t>7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NoSpacing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2014 г.)</w:t>
      </w:r>
      <w:r w:rsidR="00A208CF" w:rsidRPr="00FD67F8">
        <w:rPr>
          <w:sz w:val="20"/>
        </w:rPr>
        <w:t xml:space="preserve">, а также грамотой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>9 апреля 2016 г.).</w:t>
      </w:r>
    </w:p>
    <w:p w:rsidR="002E191D" w:rsidRPr="00FD67F8" w:rsidRDefault="004C461A" w:rsidP="00FD67F8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E660E7">
        <w:rPr>
          <w:sz w:val="20"/>
        </w:rPr>
        <w:t xml:space="preserve">Основные результаты </w:t>
      </w:r>
      <w:r w:rsidR="001D0866" w:rsidRPr="00E660E7">
        <w:rPr>
          <w:sz w:val="20"/>
        </w:rPr>
        <w:t xml:space="preserve">диссертационной работы </w:t>
      </w:r>
      <w:r w:rsidR="00DC4969" w:rsidRPr="00E660E7">
        <w:rPr>
          <w:sz w:val="20"/>
        </w:rPr>
        <w:t xml:space="preserve">опубликованы в 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 научных статьях [1–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] в журналах, входящих в перечень ВАК, в </w:t>
      </w:r>
      <w:r w:rsidR="00E660E7" w:rsidRPr="00E660E7">
        <w:rPr>
          <w:sz w:val="20"/>
        </w:rPr>
        <w:t>20</w:t>
      </w:r>
      <w:r w:rsidR="00DC4969" w:rsidRPr="00E660E7">
        <w:rPr>
          <w:sz w:val="20"/>
        </w:rPr>
        <w:t xml:space="preserve"> </w:t>
      </w:r>
      <w:r w:rsidR="00DC4969" w:rsidRPr="00E660E7">
        <w:rPr>
          <w:sz w:val="20"/>
        </w:rPr>
        <w:lastRenderedPageBreak/>
        <w:t>статьях [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–</w:t>
      </w:r>
      <w:r w:rsidR="004E6187" w:rsidRPr="00E660E7">
        <w:rPr>
          <w:sz w:val="20"/>
        </w:rPr>
        <w:t>11</w:t>
      </w:r>
      <w:r w:rsidR="00516A9F" w:rsidRPr="00E660E7">
        <w:rPr>
          <w:sz w:val="20"/>
        </w:rPr>
        <w:t>,1</w:t>
      </w:r>
      <w:r w:rsidR="004E6187" w:rsidRPr="00E660E7">
        <w:rPr>
          <w:sz w:val="20"/>
        </w:rPr>
        <w:t>3</w:t>
      </w:r>
      <w:r w:rsidR="00516A9F" w:rsidRPr="00E660E7">
        <w:rPr>
          <w:sz w:val="20"/>
        </w:rPr>
        <w:t>–1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9</w:t>
      </w:r>
      <w:r w:rsidR="00EC3D5D" w:rsidRPr="00E660E7">
        <w:rPr>
          <w:sz w:val="20"/>
        </w:rPr>
        <w:t>–2</w:t>
      </w:r>
      <w:r w:rsidR="00E660E7" w:rsidRPr="00E660E7">
        <w:rPr>
          <w:sz w:val="20"/>
        </w:rPr>
        <w:t>8</w:t>
      </w:r>
      <w:r w:rsidR="00DC4969" w:rsidRPr="00E660E7">
        <w:rPr>
          <w:sz w:val="20"/>
        </w:rPr>
        <w:t>] в сборниках и ма</w:t>
      </w:r>
      <w:r w:rsidR="00EC3D5D" w:rsidRPr="00E660E7">
        <w:rPr>
          <w:sz w:val="20"/>
        </w:rPr>
        <w:t>териалах конференций,</w:t>
      </w:r>
      <w:r w:rsidR="00DC4969" w:rsidRPr="00E660E7">
        <w:rPr>
          <w:sz w:val="20"/>
        </w:rPr>
        <w:t xml:space="preserve"> в сборниках тезисов докладов конференций [</w:t>
      </w:r>
      <w:r w:rsidR="00516A9F" w:rsidRPr="00E660E7">
        <w:rPr>
          <w:sz w:val="20"/>
        </w:rPr>
        <w:t>1</w:t>
      </w:r>
      <w:r w:rsidR="004E6187" w:rsidRPr="00E660E7">
        <w:rPr>
          <w:sz w:val="20"/>
        </w:rPr>
        <w:t>2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8</w:t>
      </w:r>
      <w:r w:rsidR="003F667C" w:rsidRPr="00E660E7">
        <w:rPr>
          <w:sz w:val="20"/>
        </w:rPr>
        <w:t xml:space="preserve">] </w:t>
      </w:r>
      <w:r w:rsidR="00DC4969" w:rsidRPr="00E660E7">
        <w:rPr>
          <w:sz w:val="20"/>
        </w:rPr>
        <w:t>и свидетельствах о регистрации объектов интеллектуальной собственности [2</w:t>
      </w:r>
      <w:r w:rsidR="00E660E7" w:rsidRPr="00E660E7">
        <w:rPr>
          <w:sz w:val="20"/>
        </w:rPr>
        <w:t>9</w:t>
      </w:r>
      <w:r w:rsidR="00DC4969" w:rsidRPr="00E660E7">
        <w:rPr>
          <w:sz w:val="20"/>
        </w:rPr>
        <w:t>–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DC4969" w:rsidRPr="00E660E7">
        <w:rPr>
          <w:sz w:val="20"/>
        </w:rPr>
        <w:t>].</w:t>
      </w:r>
    </w:p>
    <w:p w:rsidR="00D54D66" w:rsidRPr="00655588" w:rsidRDefault="004C461A" w:rsidP="00FD67F8">
      <w:pPr>
        <w:pStyle w:val="NoSpacing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страниц,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наименовани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NoSpacing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NoSpacing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потребителей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r w:rsidR="00442201" w:rsidRPr="004D1A17">
        <w:rPr>
          <w:bCs/>
          <w:sz w:val="20"/>
        </w:rPr>
        <w:t>комплементор</w:t>
      </w:r>
      <w:r w:rsidR="0098258C">
        <w:rPr>
          <w:bCs/>
          <w:sz w:val="20"/>
        </w:rPr>
        <w:t>ов</w:t>
      </w:r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>– инфлюентор</w:t>
      </w:r>
      <w:r w:rsidR="0098258C">
        <w:rPr>
          <w:sz w:val="20"/>
        </w:rPr>
        <w:t>ов</w:t>
      </w:r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r w:rsidR="00810D0B">
        <w:rPr>
          <w:sz w:val="20"/>
        </w:rPr>
        <w:t xml:space="preserve">комплементоров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инфлюенторов,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NoSpacing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Комплементоры</w:t>
      </w:r>
      <w:r w:rsidR="0089234D" w:rsidRPr="0089234D">
        <w:rPr>
          <w:bCs/>
          <w:sz w:val="20"/>
        </w:rPr>
        <w:t xml:space="preserve"> и инфлюенторы</w:t>
      </w:r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конкурентоспособность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NoSpacing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ГДС-матрицей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NoSpacing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NoSpacing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860B43" w:rsidP="008935F9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860B43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NoSpacing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lastRenderedPageBreak/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NoSpacing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NoSpacing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>– инфлюенторов</w:t>
      </w:r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NoSpacing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самоподобие и иерархичность рыночных подсистем,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нагруженный граф, вершинами которого являются элементы системы (игроки), а ребрами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 xml:space="preserve">. Ресурсами, перемещаемыми во времени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NoSpacing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NoSpacing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NoSpacing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NoSpacing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микродирижабли и аэростаты как новый класс БПЛА.</w:t>
      </w:r>
    </w:p>
    <w:p w:rsidR="002E4C6D" w:rsidRPr="004D1A17" w:rsidRDefault="002E4C6D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поддерживающие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Устройства цифровой медицины – интернет-вещи (</w:t>
      </w:r>
      <w:r w:rsidRPr="004D1A17">
        <w:rPr>
          <w:sz w:val="20"/>
          <w:lang w:val="en-US"/>
        </w:rPr>
        <w:t>IoT</w:t>
      </w:r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>УМ) устройства микроэлекторники для контроля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NoSpacing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 xml:space="preserve">Моделирование конкуренции проводится с использованием математического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NoSpacing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основе модели</w:t>
      </w:r>
      <w:r w:rsidR="00340AA2" w:rsidRPr="00E4542E">
        <w:rPr>
          <w:sz w:val="20"/>
          <w:szCs w:val="28"/>
        </w:rPr>
        <w:t xml:space="preserve"> олигополии О.Курно.</w:t>
      </w:r>
    </w:p>
    <w:p w:rsidR="00514D2D" w:rsidRPr="00C908A8" w:rsidRDefault="007C5A57" w:rsidP="006907C2">
      <w:pPr>
        <w:pStyle w:val="NoSpacing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конкурентами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 xml:space="preserve">объемами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NoSpacing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предложения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функции прибыли будет равенство нулю производной:</w:t>
      </w:r>
    </w:p>
    <w:p w:rsidR="004B2601" w:rsidRPr="001B56B6" w:rsidRDefault="00860B4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NoSpacing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860B43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860B4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NoSpacing"/>
        <w:jc w:val="both"/>
        <w:rPr>
          <w:b/>
          <w:sz w:val="20"/>
        </w:rPr>
      </w:pPr>
      <w:r w:rsidRPr="00FE5A20">
        <w:rPr>
          <w:b/>
          <w:sz w:val="20"/>
        </w:rPr>
        <w:lastRenderedPageBreak/>
        <w:t>Постановка задачи:</w:t>
      </w:r>
    </w:p>
    <w:p w:rsidR="00E56703" w:rsidRPr="00FE5A20" w:rsidRDefault="00E56703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гиперкомплексной динамической системы.</w:t>
      </w:r>
    </w:p>
    <w:p w:rsidR="00370851" w:rsidRPr="00FE5A20" w:rsidRDefault="00370851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соответствующих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алгоритмы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NoSpacing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NoSpacing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анализировать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 xml:space="preserve">онцептуальная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NoSpacing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r w:rsidR="009F0974" w:rsidRPr="00FE5A20">
        <w:rPr>
          <w:sz w:val="20"/>
          <w:szCs w:val="28"/>
        </w:rPr>
        <w:t>максимизирующих прибыль компани</w:t>
      </w:r>
      <w:r w:rsidR="001B56B6">
        <w:rPr>
          <w:sz w:val="20"/>
          <w:szCs w:val="28"/>
        </w:rPr>
        <w:t>и производителя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NoSpacing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NoSpacing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NoSpacing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интеллектуального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r w:rsidR="00F605AC">
        <w:rPr>
          <w:sz w:val="20"/>
        </w:rPr>
        <w:t>инфлюенторов</w:t>
      </w:r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</w:p>
    <w:p w:rsidR="001D27F2" w:rsidRPr="003B2769" w:rsidRDefault="001D27F2" w:rsidP="00E8330B">
      <w:pPr>
        <w:pStyle w:val="NoSpacing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NoSpacing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860B43" w:rsidP="008D1C0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NoSpacing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NoSpacing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NoSpacing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860B43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860B43" w:rsidP="00DC046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NoSpacing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860B43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NoSpacing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NoSpacing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860B43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NoSpacing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NoSpacing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NoSpacing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NoSpacing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NoSpacing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NoSpacing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каждом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других</w:t>
      </w:r>
      <w:r w:rsidRPr="00C63C0E">
        <w:rPr>
          <w:sz w:val="20"/>
          <w:szCs w:val="28"/>
        </w:rPr>
        <w:t xml:space="preserve">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максимизацию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w:lastRenderedPageBreak/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NoSpacing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бросающий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специализации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r w:rsidRPr="00C63C0E">
        <w:rPr>
          <w:i/>
          <w:sz w:val="20"/>
          <w:szCs w:val="28"/>
          <w:lang w:val="en-US"/>
        </w:rPr>
        <w:t>i</w:t>
      </w:r>
      <w:r w:rsidRPr="00C63C0E">
        <w:rPr>
          <w:sz w:val="20"/>
          <w:szCs w:val="28"/>
        </w:rPr>
        <w:t>-ым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альтернативных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формируется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прогнозирования или установлено равновесие (каждый агент достиг своей цели и находится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r w:rsidR="00A43252" w:rsidRPr="00A43252">
        <w:rPr>
          <w:bCs/>
          <w:i/>
          <w:sz w:val="20"/>
          <w:lang w:val="en-US"/>
        </w:rPr>
        <w:t>i</w:t>
      </w:r>
      <w:r w:rsidR="00AC09EA" w:rsidRPr="00C63C0E">
        <w:rPr>
          <w:sz w:val="20"/>
          <w:szCs w:val="28"/>
        </w:rPr>
        <w:t>-ым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NoSpacing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NoSpacing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r w:rsidRPr="00BB0884">
              <w:rPr>
                <w:sz w:val="20"/>
                <w:szCs w:val="28"/>
              </w:rPr>
              <w:t>-ым агентом</w:t>
            </w:r>
          </w:p>
          <w:p w:rsidR="00C63C0E" w:rsidRPr="00BB0884" w:rsidRDefault="00C63C0E" w:rsidP="00AC09EA">
            <w:pPr>
              <w:pStyle w:val="NoSpacing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распределени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формуле</w:t>
      </w:r>
      <w:r w:rsidR="00C02B17" w:rsidRPr="00C63C0E">
        <w:rPr>
          <w:bCs/>
          <w:sz w:val="20"/>
        </w:rPr>
        <w:t>:</w:t>
      </w:r>
    </w:p>
    <w:p w:rsidR="00C02B17" w:rsidRPr="00C63C0E" w:rsidRDefault="00860B4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NoSpacing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860B4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r w:rsidR="00F40E06" w:rsidRPr="00C63C0E">
        <w:rPr>
          <w:i/>
          <w:sz w:val="20"/>
          <w:szCs w:val="28"/>
          <w:lang w:val="en-US"/>
        </w:rPr>
        <w:t>i</w:t>
      </w:r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860B4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860B4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860B4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NoSpacing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высокотехнологичной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 xml:space="preserve">. Поскольку конкурентные преимущества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отличающих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Django, в основе которого лежит высокоуровневый язык программирования Python. В качестве системы управления базами данных используется MySQL, а в качестве веб-сервера – nginx.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>используется стандарт взаимодействия Python-программ и веб-сервра</w:t>
      </w:r>
      <w:r w:rsidRPr="00097F56">
        <w:rPr>
          <w:bCs/>
          <w:sz w:val="20"/>
        </w:rPr>
        <w:t xml:space="preserve"> Web Server Gateway Interface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r w:rsidR="00B74757" w:rsidRPr="00097F56">
        <w:rPr>
          <w:bCs/>
          <w:sz w:val="20"/>
        </w:rPr>
        <w:t>uWSGI</w:t>
      </w:r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[веб-сервер (nginx)] → [сокет] → [uWSGI] → [Django] → [База данных].</w:t>
      </w:r>
    </w:p>
    <w:p w:rsidR="00097F56" w:rsidRDefault="009856E5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NoSpacing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NoSpacing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NoSpacing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модел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 xml:space="preserve">Схема базы данных СППР представлена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NoSpacing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NoSpacing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lastRenderedPageBreak/>
        <w:t>Для поддержки эффективной работы СППР необходимо располагать большим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NoSpacing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(Extract – Извлечение, Transform – Преобразование, Load – Загрузка). За сбор данных отвечают интегрированные в МАСД специальные программные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Avalanche, программа поиска, сбора, мониторинга и анализа информации SiteSputnik, а также сервис сравнения характеристик товаров и их цен Яндекс.Маркет. </w:t>
      </w:r>
    </w:p>
    <w:p w:rsidR="00B74757" w:rsidRPr="00097F56" w:rsidRDefault="00B74757" w:rsidP="00FD717A">
      <w:pPr>
        <w:pStyle w:val="NoSpacing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NoSpacing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Competition</w:t>
      </w:r>
    </w:p>
    <w:p w:rsidR="001C7107" w:rsidRPr="00F70658" w:rsidRDefault="00C542B5" w:rsidP="00FC16EC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 xml:space="preserve">системы объектов авиационной техники была построена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Raptor – США, ПАК ФА T-50 – Россия, Chengdu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Predator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>микродирижаблей</w:t>
      </w:r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NoSpacing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NoSpacing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lastRenderedPageBreak/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NoSpacing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NoSpacing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r w:rsidR="0010422B" w:rsidRPr="00F70658">
        <w:rPr>
          <w:bCs/>
          <w:sz w:val="20"/>
        </w:rPr>
        <w:t>Raptor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Chengdu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Predator</w:t>
      </w:r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NoSpacing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NoSpacing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TableGrid"/>
        <w:tblW w:w="6951" w:type="dxa"/>
        <w:tblLook w:val="04A0" w:firstRow="1" w:lastRow="0" w:firstColumn="1" w:lastColumn="0" w:noHBand="0" w:noVBand="1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(км/ч)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(кг)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860B43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сектор производства микродирижаблей.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</w:t>
      </w:r>
      <w:r w:rsidR="00170549">
        <w:rPr>
          <w:bCs/>
          <w:sz w:val="20"/>
        </w:rPr>
        <w:lastRenderedPageBreak/>
        <w:t>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предполага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NoSpacing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NoSpacing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NoSpacing"/>
        <w:ind w:firstLine="284"/>
        <w:jc w:val="both"/>
        <w:rPr>
          <w:sz w:val="20"/>
        </w:rPr>
      </w:pPr>
      <w:r w:rsidRPr="00F70658">
        <w:rPr>
          <w:bCs/>
          <w:sz w:val="20"/>
        </w:rPr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 xml:space="preserve">ся к позициям своего основного конкурента F-22 и увеличит отрыв от J-20. Диаграммы также демонстрируют улучшение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аэростаты и БПЛА частично пересекаются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 xml:space="preserve">при их применении </w:t>
      </w:r>
      <w:r w:rsidRPr="00F70658">
        <w:rPr>
          <w:bCs/>
          <w:sz w:val="20"/>
        </w:rPr>
        <w:t>предпочтение может быть отдано более дешевым микродирижаблям.</w:t>
      </w:r>
    </w:p>
    <w:p w:rsidR="001412FB" w:rsidRPr="00F70658" w:rsidRDefault="001412FB" w:rsidP="008D48A5">
      <w:pPr>
        <w:pStyle w:val="NoSpacing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медицинских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устройств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</w:t>
      </w:r>
      <w:r w:rsidRPr="00F70658">
        <w:rPr>
          <w:sz w:val="20"/>
        </w:rPr>
        <w:lastRenderedPageBreak/>
        <w:t>основу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ЦифроМед.</w:t>
      </w:r>
    </w:p>
    <w:p w:rsidR="00437726" w:rsidRPr="00FD67F8" w:rsidRDefault="00D54D66" w:rsidP="008D48A5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результаты,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дальнейших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660E7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 xml:space="preserve">Разработана методика анализа конкуренции в отрасли на основе </w:t>
      </w:r>
      <w:r w:rsidR="002B0147" w:rsidRPr="00E660E7">
        <w:rPr>
          <w:sz w:val="20"/>
        </w:rPr>
        <w:t xml:space="preserve">следующих </w:t>
      </w:r>
      <w:r w:rsidRPr="00E660E7">
        <w:rPr>
          <w:sz w:val="20"/>
        </w:rPr>
        <w:t>преобразовани</w:t>
      </w:r>
      <w:r w:rsidR="002B0147" w:rsidRPr="00E660E7">
        <w:rPr>
          <w:sz w:val="20"/>
        </w:rPr>
        <w:t>й</w:t>
      </w:r>
      <w:r w:rsidR="009C78C0" w:rsidRPr="00E660E7">
        <w:rPr>
          <w:sz w:val="20"/>
        </w:rPr>
        <w:t xml:space="preserve"> </w:t>
      </w:r>
      <w:r w:rsidR="009C2285" w:rsidRPr="00E660E7">
        <w:rPr>
          <w:sz w:val="20"/>
        </w:rPr>
        <w:t xml:space="preserve">классической модели </w:t>
      </w:r>
      <w:r w:rsidR="00782B55" w:rsidRPr="00E660E7">
        <w:rPr>
          <w:sz w:val="20"/>
        </w:rPr>
        <w:t>конкуренции</w:t>
      </w:r>
      <w:r w:rsidR="009C78C0" w:rsidRPr="00E660E7">
        <w:rPr>
          <w:sz w:val="20"/>
        </w:rPr>
        <w:t>:</w:t>
      </w:r>
      <w:r w:rsidR="002B0147" w:rsidRPr="00E660E7">
        <w:rPr>
          <w:sz w:val="20"/>
        </w:rPr>
        <w:t xml:space="preserve"> введены самоподобные иерархические рыночные подсистемы и</w:t>
      </w:r>
      <w:r w:rsidR="009C78C0" w:rsidRPr="00E660E7">
        <w:rPr>
          <w:sz w:val="20"/>
        </w:rPr>
        <w:t xml:space="preserve"> </w:t>
      </w:r>
      <w:r w:rsidR="00E064AF" w:rsidRPr="00E660E7">
        <w:rPr>
          <w:sz w:val="20"/>
        </w:rPr>
        <w:t>новы</w:t>
      </w:r>
      <w:r w:rsidR="002B0147" w:rsidRPr="00E660E7">
        <w:rPr>
          <w:sz w:val="20"/>
        </w:rPr>
        <w:t>е</w:t>
      </w:r>
      <w:r w:rsidR="00E064AF" w:rsidRPr="00E660E7">
        <w:rPr>
          <w:sz w:val="20"/>
        </w:rPr>
        <w:t xml:space="preserve"> сил</w:t>
      </w:r>
      <w:r w:rsidR="002B0147" w:rsidRPr="00E660E7">
        <w:rPr>
          <w:sz w:val="20"/>
        </w:rPr>
        <w:t>ы конкурентной борьбы –</w:t>
      </w:r>
      <w:r w:rsidR="009C78C0" w:rsidRPr="00E660E7">
        <w:rPr>
          <w:sz w:val="20"/>
        </w:rPr>
        <w:t xml:space="preserve"> комплементор</w:t>
      </w:r>
      <w:r w:rsidR="002B0147" w:rsidRPr="00E660E7">
        <w:rPr>
          <w:sz w:val="20"/>
        </w:rPr>
        <w:t xml:space="preserve">ы, инфлюенторы </w:t>
      </w:r>
      <w:r w:rsidR="001F3A0F" w:rsidRPr="00E660E7">
        <w:rPr>
          <w:sz w:val="20"/>
        </w:rPr>
        <w:t>[</w:t>
      </w:r>
      <w:r w:rsidR="00E81DE4" w:rsidRPr="00E660E7">
        <w:rPr>
          <w:sz w:val="20"/>
        </w:rPr>
        <w:t>4–</w:t>
      </w:r>
      <w:r w:rsidR="00A150D6" w:rsidRPr="00E660E7">
        <w:rPr>
          <w:sz w:val="20"/>
        </w:rPr>
        <w:t>9</w:t>
      </w:r>
      <w:r w:rsidR="00E81DE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E81DE4" w:rsidRPr="00E660E7">
        <w:rPr>
          <w:sz w:val="20"/>
        </w:rPr>
        <w:t>,2</w:t>
      </w:r>
      <w:r w:rsidR="005E7B07" w:rsidRPr="00E660E7">
        <w:rPr>
          <w:sz w:val="20"/>
        </w:rPr>
        <w:t>2</w:t>
      </w:r>
      <w:r w:rsidR="00A32E3B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1F3A0F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Разработана</w:t>
      </w:r>
      <w:r w:rsidR="00652AE4" w:rsidRPr="00E660E7">
        <w:rPr>
          <w:sz w:val="20"/>
        </w:rPr>
        <w:t xml:space="preserve"> агентная</w:t>
      </w:r>
      <w:r w:rsidRPr="00E660E7">
        <w:rPr>
          <w:sz w:val="20"/>
        </w:rPr>
        <w:t xml:space="preserve"> модель глобальной конкуренции</w:t>
      </w:r>
      <w:r w:rsidR="00E53EE1" w:rsidRPr="00E660E7">
        <w:rPr>
          <w:sz w:val="20"/>
        </w:rPr>
        <w:t>,</w:t>
      </w:r>
      <w:r w:rsidRPr="00E660E7">
        <w:rPr>
          <w:sz w:val="20"/>
        </w:rPr>
        <w:t xml:space="preserve"> </w:t>
      </w:r>
      <w:r w:rsidR="00E53EE1" w:rsidRPr="00E660E7">
        <w:rPr>
          <w:sz w:val="20"/>
        </w:rPr>
        <w:t>включающая в себя</w:t>
      </w:r>
      <w:r w:rsidRPr="00E660E7">
        <w:rPr>
          <w:sz w:val="20"/>
        </w:rPr>
        <w:t xml:space="preserve"> </w:t>
      </w:r>
      <w:r w:rsidR="009C78C0" w:rsidRPr="00E660E7">
        <w:rPr>
          <w:sz w:val="20"/>
        </w:rPr>
        <w:t>предложенны</w:t>
      </w:r>
      <w:r w:rsidR="00E53EE1" w:rsidRPr="00E660E7">
        <w:rPr>
          <w:sz w:val="20"/>
        </w:rPr>
        <w:t>е</w:t>
      </w:r>
      <w:r w:rsidR="009C78C0" w:rsidRPr="00E660E7">
        <w:rPr>
          <w:sz w:val="20"/>
        </w:rPr>
        <w:t xml:space="preserve"> </w:t>
      </w:r>
      <w:r w:rsidR="00170549" w:rsidRPr="00E660E7">
        <w:rPr>
          <w:sz w:val="20"/>
        </w:rPr>
        <w:t xml:space="preserve">автором </w:t>
      </w:r>
      <w:r w:rsidR="009C78C0" w:rsidRPr="00E660E7">
        <w:rPr>
          <w:sz w:val="20"/>
        </w:rPr>
        <w:t>модификаци</w:t>
      </w:r>
      <w:r w:rsidR="00E53EE1" w:rsidRPr="00E660E7">
        <w:rPr>
          <w:sz w:val="20"/>
        </w:rPr>
        <w:t>и</w:t>
      </w:r>
      <w:r w:rsidR="00E77C54" w:rsidRPr="00E660E7">
        <w:rPr>
          <w:sz w:val="20"/>
        </w:rPr>
        <w:t>, а также</w:t>
      </w:r>
      <w:r w:rsidR="00170549" w:rsidRPr="00E660E7">
        <w:rPr>
          <w:sz w:val="20"/>
        </w:rPr>
        <w:t xml:space="preserve"> –</w:t>
      </w:r>
      <w:r w:rsidR="00E77C54" w:rsidRPr="00E660E7">
        <w:rPr>
          <w:sz w:val="20"/>
        </w:rPr>
        <w:t xml:space="preserve"> концептуальная схема применения модели на основных этапах жизненного цикла продук</w:t>
      </w:r>
      <w:r w:rsidR="00E13905" w:rsidRPr="00E660E7">
        <w:rPr>
          <w:sz w:val="20"/>
        </w:rPr>
        <w:t>ции</w:t>
      </w:r>
      <w:r w:rsidR="00170549" w:rsidRPr="00E660E7">
        <w:rPr>
          <w:sz w:val="20"/>
        </w:rPr>
        <w:t>:</w:t>
      </w:r>
      <w:r w:rsidR="00E77C54" w:rsidRPr="00E660E7">
        <w:rPr>
          <w:sz w:val="20"/>
        </w:rPr>
        <w:t xml:space="preserve"> науч</w:t>
      </w:r>
      <w:r w:rsidR="00170549" w:rsidRPr="00E660E7">
        <w:rPr>
          <w:sz w:val="20"/>
        </w:rPr>
        <w:t xml:space="preserve">но-техническом, технологическом, </w:t>
      </w:r>
      <w:r w:rsidR="00E77C54" w:rsidRPr="00E660E7">
        <w:rPr>
          <w:sz w:val="20"/>
        </w:rPr>
        <w:t>рыночном</w:t>
      </w:r>
      <w:r w:rsidR="009D3D23" w:rsidRPr="00E660E7">
        <w:rPr>
          <w:sz w:val="20"/>
        </w:rPr>
        <w:t>. Предложен</w:t>
      </w:r>
      <w:r w:rsidR="00527F2D" w:rsidRPr="00E660E7">
        <w:rPr>
          <w:sz w:val="20"/>
        </w:rPr>
        <w:t>ы</w:t>
      </w:r>
      <w:r w:rsidR="009D3D23" w:rsidRPr="00E660E7">
        <w:rPr>
          <w:sz w:val="20"/>
        </w:rPr>
        <w:t xml:space="preserve"> метод</w:t>
      </w:r>
      <w:r w:rsidR="00527F2D" w:rsidRPr="00E660E7">
        <w:rPr>
          <w:sz w:val="20"/>
        </w:rPr>
        <w:t>ы проектирования конкурентной стратегии, прогнозирования состояния отраслевых рынков,</w:t>
      </w:r>
      <w:r w:rsidR="009D3D23" w:rsidRPr="00E660E7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E660E7">
        <w:rPr>
          <w:sz w:val="20"/>
        </w:rPr>
        <w:t xml:space="preserve"> [4</w:t>
      </w:r>
      <w:r w:rsidR="00A150D6" w:rsidRPr="00E660E7">
        <w:rPr>
          <w:sz w:val="20"/>
        </w:rPr>
        <w:t>-6</w:t>
      </w:r>
      <w:r w:rsidR="00DC2B2E" w:rsidRPr="00E660E7">
        <w:rPr>
          <w:sz w:val="20"/>
        </w:rPr>
        <w:t>,</w:t>
      </w:r>
      <w:r w:rsidR="00A150D6" w:rsidRPr="00E660E7">
        <w:rPr>
          <w:sz w:val="20"/>
        </w:rPr>
        <w:t>9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FD0E1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21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 п</w:t>
      </w:r>
      <w:r w:rsidR="00E562E7" w:rsidRPr="00E660E7">
        <w:rPr>
          <w:sz w:val="20"/>
        </w:rPr>
        <w:t>рограммно-</w:t>
      </w:r>
      <w:r w:rsidR="008F095B" w:rsidRPr="00E660E7">
        <w:rPr>
          <w:sz w:val="20"/>
        </w:rPr>
        <w:t>вычислительный</w:t>
      </w:r>
      <w:r w:rsidR="00E562E7" w:rsidRPr="00E660E7">
        <w:rPr>
          <w:sz w:val="20"/>
        </w:rPr>
        <w:t xml:space="preserve"> комплекс</w:t>
      </w:r>
      <w:r w:rsidRPr="00E660E7">
        <w:rPr>
          <w:sz w:val="20"/>
        </w:rPr>
        <w:t xml:space="preserve"> Competition</w:t>
      </w:r>
      <w:r w:rsidR="00D527DC" w:rsidRPr="00E660E7">
        <w:rPr>
          <w:sz w:val="20"/>
        </w:rPr>
        <w:t>,</w:t>
      </w:r>
      <w:r w:rsidR="00DC2B2E" w:rsidRPr="00E660E7">
        <w:rPr>
          <w:sz w:val="20"/>
        </w:rPr>
        <w:t xml:space="preserve"> </w:t>
      </w:r>
      <w:r w:rsidR="00D527DC" w:rsidRPr="00E660E7">
        <w:rPr>
          <w:sz w:val="20"/>
        </w:rPr>
        <w:t xml:space="preserve">позволяющий </w:t>
      </w:r>
      <w:r w:rsidR="00652AE4" w:rsidRPr="00E660E7">
        <w:rPr>
          <w:sz w:val="20"/>
        </w:rPr>
        <w:t>ЛПР</w:t>
      </w:r>
      <w:r w:rsidR="00D527DC" w:rsidRPr="00E660E7">
        <w:rPr>
          <w:sz w:val="20"/>
        </w:rPr>
        <w:t xml:space="preserve"> от </w:t>
      </w:r>
      <w:r w:rsidR="00170549" w:rsidRPr="00E660E7">
        <w:rPr>
          <w:sz w:val="20"/>
        </w:rPr>
        <w:t>промышленных</w:t>
      </w:r>
      <w:r w:rsidR="00D527DC" w:rsidRPr="00E660E7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поддержки принятия решений и модуль автоматизированного сбора данных </w:t>
      </w:r>
      <w:r w:rsidR="005E7B07" w:rsidRPr="00E660E7">
        <w:rPr>
          <w:sz w:val="20"/>
        </w:rPr>
        <w:t>[4</w:t>
      </w:r>
      <w:r w:rsidR="00516A9F" w:rsidRPr="00E660E7">
        <w:rPr>
          <w:sz w:val="20"/>
        </w:rPr>
        <w:t>–1</w:t>
      </w:r>
      <w:r w:rsidR="00A150D6" w:rsidRPr="00E660E7">
        <w:rPr>
          <w:sz w:val="20"/>
        </w:rPr>
        <w:t>4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9</w:t>
      </w:r>
      <w:r w:rsidR="00516A9F" w:rsidRPr="00E660E7">
        <w:rPr>
          <w:sz w:val="20"/>
        </w:rPr>
        <w:t>,</w:t>
      </w:r>
      <w:r w:rsidR="00A150D6" w:rsidRPr="00E660E7">
        <w:rPr>
          <w:sz w:val="20"/>
        </w:rPr>
        <w:t>20</w:t>
      </w:r>
      <w:r w:rsidR="00516A9F" w:rsidRPr="00E660E7">
        <w:rPr>
          <w:sz w:val="20"/>
        </w:rPr>
        <w:t>,2</w:t>
      </w:r>
      <w:r w:rsidR="00A150D6" w:rsidRPr="00E660E7">
        <w:rPr>
          <w:sz w:val="20"/>
        </w:rPr>
        <w:t>3</w:t>
      </w:r>
      <w:r w:rsidR="004B4BE8" w:rsidRPr="00E660E7">
        <w:rPr>
          <w:sz w:val="20"/>
        </w:rPr>
        <w:t>,24,26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BC252E" w:rsidRPr="00E660E7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В результате работы программно-</w:t>
      </w:r>
      <w:r w:rsidR="008F095B" w:rsidRPr="00E660E7">
        <w:rPr>
          <w:sz w:val="20"/>
        </w:rPr>
        <w:t>вычислительного</w:t>
      </w:r>
      <w:r w:rsidRPr="00E660E7">
        <w:rPr>
          <w:sz w:val="20"/>
        </w:rPr>
        <w:t xml:space="preserve"> комплекса Competition п</w:t>
      </w:r>
      <w:r w:rsidR="00BC252E" w:rsidRPr="00E660E7">
        <w:rPr>
          <w:sz w:val="20"/>
        </w:rPr>
        <w:t>олучен</w:t>
      </w:r>
      <w:r w:rsidRPr="00E660E7">
        <w:rPr>
          <w:sz w:val="20"/>
        </w:rPr>
        <w:t xml:space="preserve">ы рекомендации по </w:t>
      </w:r>
      <w:r w:rsidR="00170549" w:rsidRPr="00E660E7">
        <w:rPr>
          <w:sz w:val="20"/>
        </w:rPr>
        <w:t>повышению конкурентоспособности медицинской информационно-аналитической системы ЦифроМед</w:t>
      </w:r>
      <w:r w:rsidRPr="00E660E7">
        <w:rPr>
          <w:sz w:val="20"/>
        </w:rPr>
        <w:t xml:space="preserve"> путем </w:t>
      </w:r>
      <w:r w:rsidR="00527F2D" w:rsidRPr="00E660E7">
        <w:rPr>
          <w:sz w:val="20"/>
        </w:rPr>
        <w:t>интеграции</w:t>
      </w:r>
      <w:r w:rsidRPr="00E660E7">
        <w:rPr>
          <w:sz w:val="20"/>
        </w:rPr>
        <w:t xml:space="preserve"> в состав </w:t>
      </w:r>
      <w:r w:rsidR="00170549" w:rsidRPr="00E660E7">
        <w:rPr>
          <w:sz w:val="20"/>
        </w:rPr>
        <w:t xml:space="preserve">системы </w:t>
      </w:r>
      <w:r w:rsidRPr="00E660E7">
        <w:rPr>
          <w:sz w:val="20"/>
        </w:rPr>
        <w:t xml:space="preserve">модуля сбора и анализа показаний датчиков первичной информации </w:t>
      </w:r>
      <w:r w:rsidR="00170549" w:rsidRPr="00E660E7">
        <w:rPr>
          <w:sz w:val="20"/>
        </w:rPr>
        <w:t xml:space="preserve">– </w:t>
      </w:r>
      <w:r w:rsidR="00527F2D" w:rsidRPr="00E660E7">
        <w:rPr>
          <w:sz w:val="20"/>
        </w:rPr>
        <w:t xml:space="preserve">носимых устройств микроэлектроники </w:t>
      </w:r>
      <w:r w:rsidR="00D527DC" w:rsidRPr="00E660E7">
        <w:rPr>
          <w:sz w:val="20"/>
        </w:rPr>
        <w:t xml:space="preserve">с </w:t>
      </w:r>
      <w:r w:rsidR="00527F2D" w:rsidRPr="00E660E7">
        <w:rPr>
          <w:sz w:val="20"/>
        </w:rPr>
        <w:t>использованием</w:t>
      </w:r>
      <w:r w:rsidR="00D527DC" w:rsidRPr="00E660E7">
        <w:rPr>
          <w:sz w:val="20"/>
        </w:rPr>
        <w:t xml:space="preserve"> технологии биологической обратной связи</w:t>
      </w:r>
      <w:r w:rsidR="00527F2D" w:rsidRPr="00E660E7">
        <w:rPr>
          <w:sz w:val="20"/>
        </w:rPr>
        <w:t xml:space="preserve"> </w:t>
      </w:r>
      <w:r w:rsidR="005D2098" w:rsidRPr="00E660E7">
        <w:rPr>
          <w:sz w:val="20"/>
        </w:rPr>
        <w:t>[1–3,</w:t>
      </w:r>
      <w:r w:rsidR="00516A9F" w:rsidRPr="00E660E7">
        <w:rPr>
          <w:sz w:val="20"/>
        </w:rPr>
        <w:t>1</w:t>
      </w:r>
      <w:r w:rsidR="00A150D6" w:rsidRPr="00E660E7">
        <w:rPr>
          <w:sz w:val="20"/>
        </w:rPr>
        <w:t>5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7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8</w:t>
      </w:r>
      <w:r w:rsidR="00516A9F" w:rsidRPr="00E660E7">
        <w:rPr>
          <w:sz w:val="20"/>
        </w:rPr>
        <w:t>,</w:t>
      </w:r>
      <w:r w:rsidR="005D2098" w:rsidRPr="00E660E7">
        <w:rPr>
          <w:sz w:val="20"/>
        </w:rPr>
        <w:t>2</w:t>
      </w:r>
      <w:r w:rsidR="00A150D6" w:rsidRPr="00E660E7">
        <w:rPr>
          <w:sz w:val="20"/>
        </w:rPr>
        <w:t>2,23,25</w:t>
      </w:r>
      <w:r w:rsidR="005D2098" w:rsidRPr="00E660E7">
        <w:rPr>
          <w:sz w:val="20"/>
        </w:rPr>
        <w:t>,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5D2098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D75444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Клёнов Е.А., Кухтичев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  <w:szCs w:val="28"/>
        </w:rPr>
        <w:t>Кухтичев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</w:t>
      </w:r>
      <w:r w:rsidR="00A77CFE">
        <w:rPr>
          <w:sz w:val="20"/>
          <w:szCs w:val="28"/>
        </w:rPr>
        <w:t>С</w:t>
      </w:r>
      <w:r w:rsidRPr="00FD67F8">
        <w:rPr>
          <w:sz w:val="20"/>
          <w:szCs w:val="28"/>
        </w:rPr>
        <w:t>. 39-48.</w:t>
      </w:r>
    </w:p>
    <w:p w:rsidR="00D54D66" w:rsidRPr="00D75444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>Кухтичев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"ЦифроМед"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4E6187" w:rsidRDefault="00EC3D5D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>Бабенко, Е.А., Ершов Д.М.,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Экономика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A77CFE">
        <w:rPr>
          <w:sz w:val="20"/>
        </w:rPr>
        <w:t>С</w:t>
      </w:r>
      <w:r w:rsidR="00D40493" w:rsidRPr="00D40493">
        <w:rPr>
          <w:sz w:val="20"/>
        </w:rPr>
        <w:t>. 104-115.</w:t>
      </w:r>
    </w:p>
    <w:p w:rsidR="004E6187" w:rsidRPr="00E660E7" w:rsidRDefault="004E6187" w:rsidP="004E6187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E660E7">
        <w:rPr>
          <w:i/>
          <w:sz w:val="20"/>
        </w:rPr>
        <w:lastRenderedPageBreak/>
        <w:t>Клёнов Е.А.</w:t>
      </w:r>
      <w:r w:rsidRPr="00E660E7">
        <w:rPr>
          <w:sz w:val="20"/>
        </w:rPr>
        <w:t xml:space="preserve"> Алгоритмы и программное обеспечение конкурентного анализа (на примере </w:t>
      </w:r>
      <w:r w:rsidR="00E660E7" w:rsidRPr="00E660E7">
        <w:rPr>
          <w:sz w:val="20"/>
        </w:rPr>
        <w:t>объектов</w:t>
      </w:r>
      <w:r w:rsidRPr="00E660E7">
        <w:rPr>
          <w:sz w:val="20"/>
        </w:rPr>
        <w:t xml:space="preserve"> аэрокосмической отрасли) // Журнал «Труды МАИ». Выпуск</w:t>
      </w:r>
      <w:r w:rsidR="00EE39B9" w:rsidRPr="00E660E7">
        <w:rPr>
          <w:sz w:val="20"/>
        </w:rPr>
        <w:t xml:space="preserve"> №96</w:t>
      </w:r>
      <w:r w:rsidRPr="00E660E7">
        <w:rPr>
          <w:sz w:val="20"/>
        </w:rPr>
        <w:t>, 201</w:t>
      </w:r>
      <w:r w:rsidR="00E660E7" w:rsidRPr="00E660E7">
        <w:rPr>
          <w:sz w:val="20"/>
        </w:rPr>
        <w:t>7</w:t>
      </w:r>
    </w:p>
    <w:p w:rsidR="004E6187" w:rsidRPr="004E6187" w:rsidRDefault="004E6187" w:rsidP="004E6187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>
        <w:rPr>
          <w:i/>
          <w:color w:val="FF0000"/>
          <w:sz w:val="20"/>
        </w:rPr>
        <w:t>, Масалович А.И.</w:t>
      </w:r>
      <w:r w:rsidRPr="004E6187">
        <w:rPr>
          <w:color w:val="FF0000"/>
          <w:sz w:val="20"/>
        </w:rPr>
        <w:t xml:space="preserve"> Алгоритмы и программное обеспечение конкурентного анализа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инструментарий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этапами жизненного цикла промышленного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Competition // Материалы Х Международной конференции по неравновесным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.: </w:t>
      </w:r>
      <w:r w:rsidRPr="00D40493">
        <w:rPr>
          <w:rFonts w:ascii="Times New Roman" w:hAnsi="Times New Roman" w:cs="Times New Roman"/>
          <w:sz w:val="20"/>
          <w:szCs w:val="28"/>
        </w:rPr>
        <w:t>ил.</w:t>
      </w:r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с. 456-458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компании аэрокосмической отрасли // Сборник аннотаций конкурса научно-технических работ и проектов «Молодежь и будущее авиации и космонавтики», 17-21 ноября 2014 года, М.: МАИ (НИУ). – 2014.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управления малыми инновационными предприятиями // Материалы шестнадцатого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Pr="0067317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комплекса Competition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</w:t>
      </w:r>
      <w:r w:rsidRPr="0067317C">
        <w:rPr>
          <w:rFonts w:ascii="Times New Roman" w:hAnsi="Times New Roman"/>
          <w:sz w:val="20"/>
          <w:szCs w:val="28"/>
        </w:rPr>
        <w:lastRenderedPageBreak/>
        <w:t>вычислительной механике и современным прикладным программным системам (ВМСППС’2015), 24-31 мая 2015 г.,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Кухтичев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 xml:space="preserve">Использование носимых устройств микроэлектроники в качестве элементов биологической обратной связи в системе «ЦифроМед»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«Машинприбор», 2015,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98-107.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Кухтичев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системы в составе информационно-аналитической системы «ЦифроМед»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Кухтичев А.А., Скородумов С.В. </w:t>
      </w:r>
      <w:r w:rsidRPr="00FD67F8">
        <w:rPr>
          <w:rFonts w:ascii="Times New Roman" w:hAnsi="Times New Roman"/>
          <w:sz w:val="20"/>
          <w:szCs w:val="28"/>
        </w:rPr>
        <w:t xml:space="preserve">Интеграция сервисов цифровой медицины в экипировку пилота ЛА // Гагаринские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докладов. Т. 1: М.: Московский авиационный институт (национальный исследовательский университет), 2016.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данных в составе ПАК Competition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оценки показателей конкурентоспособности производителей высокотехнологичной продукции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A77CFE" w:rsidRDefault="0079175A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Бабенко Е.А., Клёнов Е.А., Кухтичев А.А., Скородумов С.В. </w:t>
      </w:r>
      <w:r w:rsidRPr="00A77CFE">
        <w:rPr>
          <w:rFonts w:ascii="Times New Roman" w:hAnsi="Times New Roman"/>
          <w:sz w:val="20"/>
          <w:szCs w:val="28"/>
        </w:rPr>
        <w:t xml:space="preserve">Математическое моделирование конкуренции в секторе медицинских информационных систем // </w:t>
      </w:r>
      <w:r w:rsidR="0025745A" w:rsidRPr="00A77CFE">
        <w:rPr>
          <w:rFonts w:ascii="Times New Roman" w:hAnsi="Times New Roman"/>
          <w:sz w:val="20"/>
          <w:szCs w:val="28"/>
        </w:rPr>
        <w:t>Материалы XI Международной конференции по неравновес</w:t>
      </w:r>
      <w:r w:rsidR="0025745A" w:rsidRPr="00A77CFE">
        <w:rPr>
          <w:rFonts w:ascii="Times New Roman" w:hAnsi="Times New Roman"/>
          <w:sz w:val="20"/>
          <w:szCs w:val="28"/>
        </w:rPr>
        <w:lastRenderedPageBreak/>
        <w:t>ным процессам в соплах и струях (</w:t>
      </w:r>
      <w:r w:rsidR="0025745A" w:rsidRPr="00A77CFE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A77CFE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ил.</w:t>
      </w:r>
      <w:r w:rsidR="00A77CFE" w:rsidRPr="00A77CFE">
        <w:rPr>
          <w:rFonts w:ascii="Times New Roman" w:hAnsi="Times New Roman"/>
          <w:sz w:val="20"/>
          <w:szCs w:val="28"/>
        </w:rPr>
        <w:t xml:space="preserve"> –</w:t>
      </w:r>
      <w:r w:rsidR="002E741D" w:rsidRPr="00A77CFE">
        <w:rPr>
          <w:rFonts w:ascii="Times New Roman" w:hAnsi="Times New Roman"/>
          <w:sz w:val="20"/>
          <w:szCs w:val="28"/>
        </w:rPr>
        <w:t xml:space="preserve"> </w:t>
      </w:r>
      <w:r w:rsidR="00A77CFE">
        <w:rPr>
          <w:rFonts w:ascii="Times New Roman" w:hAnsi="Times New Roman"/>
          <w:sz w:val="20"/>
          <w:szCs w:val="28"/>
        </w:rPr>
        <w:t>С</w:t>
      </w:r>
      <w:r w:rsidR="002E741D" w:rsidRPr="00A77CFE">
        <w:rPr>
          <w:rFonts w:ascii="Times New Roman" w:hAnsi="Times New Roman"/>
          <w:sz w:val="20"/>
          <w:szCs w:val="28"/>
        </w:rPr>
        <w:t xml:space="preserve">. </w:t>
      </w:r>
      <w:r w:rsidR="0025745A" w:rsidRPr="00A77CFE">
        <w:rPr>
          <w:rFonts w:ascii="Times New Roman" w:hAnsi="Times New Roman"/>
          <w:sz w:val="20"/>
          <w:szCs w:val="28"/>
        </w:rPr>
        <w:t>549-551</w:t>
      </w:r>
    </w:p>
    <w:p w:rsidR="004963A5" w:rsidRPr="002C332C" w:rsidRDefault="004963A5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Конкурентный анализ устройств цифровой медицины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>», г. Иваново, 15 июня 2016 г</w:t>
      </w:r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="00A77CFE">
        <w:rPr>
          <w:rFonts w:ascii="Times New Roman" w:hAnsi="Times New Roman"/>
          <w:sz w:val="20"/>
          <w:szCs w:val="28"/>
        </w:rPr>
        <w:t>С</w:t>
      </w:r>
      <w:r w:rsidRPr="002C332C">
        <w:rPr>
          <w:rFonts w:ascii="Times New Roman" w:hAnsi="Times New Roman"/>
          <w:sz w:val="20"/>
          <w:szCs w:val="28"/>
        </w:rPr>
        <w:t>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Моделирование и анализ конкуренции на всех этапах жизненного цикла инновационного продукта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>», г. Иваново, 15 июня 2016 г. – Ивано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="002C332C" w:rsidRPr="002C332C">
        <w:rPr>
          <w:rFonts w:ascii="Times New Roman" w:hAnsi="Times New Roman"/>
          <w:sz w:val="20"/>
          <w:szCs w:val="28"/>
        </w:rPr>
        <w:t>10-13.</w:t>
      </w:r>
    </w:p>
    <w:p w:rsidR="00AF1D8A" w:rsidRPr="00AF1D8A" w:rsidRDefault="00AF1D8A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Кухтичев А.А., Скородумов С.В. </w:t>
      </w:r>
      <w:r w:rsidRPr="00AF1D8A">
        <w:rPr>
          <w:rFonts w:ascii="Times New Roman" w:hAnsi="Times New Roman"/>
          <w:sz w:val="20"/>
          <w:szCs w:val="28"/>
        </w:rPr>
        <w:t xml:space="preserve">Конкурентный анализ интернет-вещей в отрасли цифровой медицины // Сборник трудов IX всероссийской научной конференции, 21-25 сентября 2016 года, г. Томск. – Томск: Томский государственный университет,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Pr="00AF1D8A">
        <w:rPr>
          <w:rFonts w:ascii="Times New Roman" w:hAnsi="Times New Roman"/>
          <w:sz w:val="20"/>
          <w:szCs w:val="28"/>
        </w:rPr>
        <w:t>451-454</w:t>
      </w:r>
    </w:p>
    <w:p w:rsidR="00F90742" w:rsidRPr="00EE39B9" w:rsidRDefault="00F90742" w:rsidP="00F90742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A77CFE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Pr="00A77CFE">
        <w:rPr>
          <w:rFonts w:ascii="Times New Roman" w:hAnsi="Times New Roman"/>
          <w:sz w:val="20"/>
          <w:szCs w:val="28"/>
          <w:lang w:val="en-US"/>
        </w:rPr>
        <w:t>CAD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CAM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PDM</w:t>
      </w:r>
      <w:r w:rsidRPr="00A77CFE">
        <w:rPr>
          <w:rFonts w:ascii="Times New Roman" w:hAnsi="Times New Roman"/>
          <w:sz w:val="20"/>
          <w:szCs w:val="28"/>
        </w:rPr>
        <w:t xml:space="preserve"> – 2016)», 17-19 октября 2016 года, М.: ООО «Аналитик»</w:t>
      </w:r>
      <w:r w:rsidR="00A77CFE" w:rsidRPr="00A77CFE">
        <w:rPr>
          <w:rFonts w:ascii="Times New Roman" w:hAnsi="Times New Roman"/>
          <w:sz w:val="20"/>
          <w:szCs w:val="28"/>
        </w:rPr>
        <w:t xml:space="preserve">, 2016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>. 309-314.</w:t>
      </w:r>
    </w:p>
    <w:p w:rsidR="00EE39B9" w:rsidRPr="00842FD4" w:rsidRDefault="00EE39B9" w:rsidP="00F90742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 xml:space="preserve">Клёнов Е.А. </w:t>
      </w:r>
      <w:r>
        <w:rPr>
          <w:rFonts w:ascii="Times New Roman" w:hAnsi="Times New Roman"/>
          <w:sz w:val="20"/>
          <w:szCs w:val="28"/>
        </w:rPr>
        <w:t xml:space="preserve">Математическое моделирование многоагентных систем конкуренции в аэрокосмической отрасли // </w:t>
      </w:r>
      <w:r w:rsidRPr="0067317C">
        <w:rPr>
          <w:rFonts w:ascii="Times New Roman" w:hAnsi="Times New Roman"/>
          <w:sz w:val="20"/>
          <w:szCs w:val="28"/>
        </w:rPr>
        <w:t>Материалы X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0"/>
          <w:szCs w:val="28"/>
        </w:rPr>
        <w:t xml:space="preserve">Юбилейной </w:t>
      </w:r>
      <w:r w:rsidRPr="0067317C">
        <w:rPr>
          <w:rFonts w:ascii="Times New Roman" w:hAnsi="Times New Roman"/>
          <w:sz w:val="20"/>
          <w:szCs w:val="28"/>
        </w:rPr>
        <w:t>Международной конференции по вычислительной механике и современным прикладным программным системам (ВМСППС’201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>), 24-31 мая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 г., Алушта. – М.: Издательство МАИ,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. – </w:t>
      </w:r>
      <w:r>
        <w:rPr>
          <w:rFonts w:ascii="Times New Roman" w:hAnsi="Times New Roman"/>
          <w:sz w:val="20"/>
          <w:szCs w:val="28"/>
        </w:rPr>
        <w:t>С. 148-150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842FD4" w:rsidRPr="00EC01CC" w:rsidRDefault="00842FD4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E660E7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E660E7">
        <w:rPr>
          <w:rFonts w:ascii="Times New Roman" w:hAnsi="Times New Roman"/>
          <w:sz w:val="20"/>
          <w:szCs w:val="28"/>
        </w:rPr>
        <w:t>Моделирование глобальной конкуренции отраслевого рынка</w:t>
      </w:r>
      <w:r w:rsidR="00651B17">
        <w:rPr>
          <w:rFonts w:ascii="Times New Roman" w:hAnsi="Times New Roman"/>
          <w:sz w:val="20"/>
          <w:szCs w:val="28"/>
        </w:rPr>
        <w:t xml:space="preserve"> на базе олигополии Курно</w:t>
      </w:r>
      <w:r w:rsidRPr="00E660E7">
        <w:rPr>
          <w:rFonts w:ascii="Times New Roman" w:hAnsi="Times New Roman"/>
          <w:sz w:val="20"/>
          <w:szCs w:val="28"/>
        </w:rPr>
        <w:t xml:space="preserve"> //</w:t>
      </w:r>
      <w:r w:rsidR="00E660E7" w:rsidRPr="00E660E7">
        <w:rPr>
          <w:rFonts w:ascii="Times New Roman" w:hAnsi="Times New Roman"/>
          <w:sz w:val="20"/>
          <w:szCs w:val="28"/>
        </w:rPr>
        <w:t>В трудах</w:t>
      </w:r>
      <w:r w:rsidRPr="00E660E7">
        <w:rPr>
          <w:rFonts w:ascii="Times New Roman" w:hAnsi="Times New Roman"/>
          <w:sz w:val="20"/>
          <w:szCs w:val="28"/>
        </w:rPr>
        <w:t xml:space="preserve"> </w:t>
      </w:r>
      <w:r w:rsidRPr="00E660E7">
        <w:rPr>
          <w:rFonts w:ascii="Times New Roman" w:hAnsi="Times New Roman"/>
          <w:sz w:val="20"/>
          <w:szCs w:val="28"/>
          <w:lang w:val="en-US"/>
        </w:rPr>
        <w:t>XVII</w:t>
      </w:r>
      <w:r w:rsidRPr="00E660E7">
        <w:rPr>
          <w:rFonts w:ascii="Times New Roman" w:hAnsi="Times New Roman"/>
          <w:sz w:val="20"/>
          <w:szCs w:val="28"/>
        </w:rPr>
        <w:t xml:space="preserve"> междунар</w:t>
      </w:r>
      <w:r w:rsidR="00E660E7" w:rsidRPr="00E660E7">
        <w:rPr>
          <w:rFonts w:ascii="Times New Roman" w:hAnsi="Times New Roman"/>
          <w:sz w:val="20"/>
          <w:szCs w:val="28"/>
        </w:rPr>
        <w:t>одной научно</w:t>
      </w:r>
      <w:r w:rsidRPr="00E660E7">
        <w:rPr>
          <w:rFonts w:ascii="Times New Roman" w:hAnsi="Times New Roman"/>
          <w:sz w:val="20"/>
          <w:szCs w:val="28"/>
        </w:rPr>
        <w:t>-практич</w:t>
      </w:r>
      <w:r w:rsidR="00E660E7" w:rsidRPr="00E660E7">
        <w:rPr>
          <w:rFonts w:ascii="Times New Roman" w:hAnsi="Times New Roman"/>
          <w:sz w:val="20"/>
          <w:szCs w:val="28"/>
        </w:rPr>
        <w:t>еской</w:t>
      </w:r>
      <w:r w:rsidRPr="00E660E7">
        <w:rPr>
          <w:rFonts w:ascii="Times New Roman" w:hAnsi="Times New Roman"/>
          <w:sz w:val="20"/>
          <w:szCs w:val="28"/>
        </w:rPr>
        <w:t xml:space="preserve"> конфер</w:t>
      </w:r>
      <w:r w:rsidR="00E660E7" w:rsidRPr="00E660E7">
        <w:rPr>
          <w:rFonts w:ascii="Times New Roman" w:hAnsi="Times New Roman"/>
          <w:sz w:val="20"/>
          <w:szCs w:val="28"/>
        </w:rPr>
        <w:t>енции</w:t>
      </w:r>
      <w:r w:rsidRPr="00E660E7">
        <w:rPr>
          <w:rFonts w:ascii="Times New Roman" w:hAnsi="Times New Roman"/>
          <w:sz w:val="20"/>
          <w:szCs w:val="28"/>
        </w:rPr>
        <w:t>, «Системы проектирования, технологической подготовки производства и управления этапами жизненного цикла промышленного продукта (</w:t>
      </w:r>
      <w:r w:rsidRPr="00E660E7">
        <w:rPr>
          <w:rFonts w:ascii="Times New Roman" w:hAnsi="Times New Roman"/>
          <w:sz w:val="20"/>
          <w:szCs w:val="28"/>
          <w:lang w:val="en-US"/>
        </w:rPr>
        <w:t>CAD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CAM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PDM</w:t>
      </w:r>
      <w:r w:rsidRPr="00E660E7">
        <w:rPr>
          <w:rFonts w:ascii="Times New Roman" w:hAnsi="Times New Roman"/>
          <w:sz w:val="20"/>
          <w:szCs w:val="28"/>
        </w:rPr>
        <w:t xml:space="preserve"> – 2017)», 12-14 декаб</w:t>
      </w:r>
      <w:r w:rsidR="00E660E7" w:rsidRPr="00E660E7">
        <w:rPr>
          <w:rFonts w:ascii="Times New Roman" w:hAnsi="Times New Roman"/>
          <w:sz w:val="20"/>
          <w:szCs w:val="28"/>
        </w:rPr>
        <w:t>ря 2017 года, М.: ИПУ РАН, 2017</w:t>
      </w:r>
      <w:r w:rsidRPr="00E660E7">
        <w:rPr>
          <w:rFonts w:ascii="Times New Roman" w:hAnsi="Times New Roman"/>
          <w:sz w:val="20"/>
          <w:szCs w:val="28"/>
        </w:rPr>
        <w:t xml:space="preserve"> – С. 3</w:t>
      </w:r>
      <w:r w:rsidR="00E660E7" w:rsidRPr="00E660E7">
        <w:rPr>
          <w:rFonts w:ascii="Times New Roman" w:hAnsi="Times New Roman"/>
          <w:sz w:val="20"/>
          <w:szCs w:val="28"/>
        </w:rPr>
        <w:t>35</w:t>
      </w:r>
      <w:r w:rsidRPr="00E660E7">
        <w:rPr>
          <w:rFonts w:ascii="Times New Roman" w:hAnsi="Times New Roman"/>
          <w:sz w:val="20"/>
          <w:szCs w:val="28"/>
        </w:rPr>
        <w:t>-3</w:t>
      </w:r>
      <w:r w:rsidR="00E660E7" w:rsidRPr="00E660E7">
        <w:rPr>
          <w:rFonts w:ascii="Times New Roman" w:hAnsi="Times New Roman"/>
          <w:sz w:val="20"/>
          <w:szCs w:val="28"/>
        </w:rPr>
        <w:t>39</w:t>
      </w:r>
      <w:r w:rsidRPr="00E660E7">
        <w:rPr>
          <w:rFonts w:ascii="Times New Roman" w:hAnsi="Times New Roman"/>
          <w:sz w:val="20"/>
          <w:szCs w:val="28"/>
        </w:rPr>
        <w:t>.</w:t>
      </w:r>
    </w:p>
    <w:p w:rsidR="00EC01CC" w:rsidRDefault="00EC01CC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>Алушта 18</w:t>
      </w:r>
    </w:p>
    <w:p w:rsidR="00EC01CC" w:rsidRDefault="00EC01CC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>КадКамПдм 18</w:t>
      </w:r>
    </w:p>
    <w:p w:rsidR="00EC01CC" w:rsidRPr="00E660E7" w:rsidRDefault="00EC01CC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>Алушта 19?</w:t>
      </w:r>
      <w:bookmarkStart w:id="2" w:name="_GoBack"/>
      <w:bookmarkEnd w:id="2"/>
    </w:p>
    <w:p w:rsidR="00EE39B9" w:rsidRPr="00FD67F8" w:rsidRDefault="00EE39B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«Программно-аппаратный комплекс Competition конкурентного анализа сегмента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lastRenderedPageBreak/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Государственном реестре Госстандарта России 05 сен 2014. Москва 2014.</w:t>
      </w:r>
    </w:p>
    <w:p w:rsidR="004917D9" w:rsidRPr="00D40493" w:rsidRDefault="00EC3D5D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t xml:space="preserve">Величко А.Д., Величко Е.А., Клёнов Е.А., Кухтичев А.А., Скородумов С.В., Юров И.Б. </w:t>
      </w:r>
      <w:r w:rsidRPr="00D40493">
        <w:rPr>
          <w:color w:val="FF0000"/>
          <w:sz w:val="20"/>
        </w:rPr>
        <w:t xml:space="preserve">Свидетельство о регистрации объекта интеллектуальной собственности «ЦифроМед»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NoSpacing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NoSpacing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NoSpacing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NoSpacing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Default="004917D9" w:rsidP="00D54D66">
      <w:pPr>
        <w:pStyle w:val="NoSpacing"/>
        <w:jc w:val="center"/>
        <w:rPr>
          <w:b/>
          <w:bCs/>
          <w:sz w:val="20"/>
        </w:rPr>
      </w:pPr>
    </w:p>
    <w:p w:rsidR="008D48A5" w:rsidRDefault="008D48A5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Cs/>
          <w:sz w:val="20"/>
        </w:rPr>
      </w:pP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п.л.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r w:rsidR="005F50D8" w:rsidRPr="00FD67F8">
        <w:rPr>
          <w:bCs/>
          <w:sz w:val="20"/>
          <w:lang w:val="en-US"/>
        </w:rPr>
        <w:t>CrossbillPrint</w:t>
      </w:r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r w:rsidR="005F50D8" w:rsidRPr="00FD67F8">
        <w:rPr>
          <w:bCs/>
          <w:sz w:val="20"/>
        </w:rPr>
        <w:t>Николопесковский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www.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B43" w:rsidRDefault="00860B43">
      <w:r>
        <w:separator/>
      </w:r>
    </w:p>
  </w:endnote>
  <w:endnote w:type="continuationSeparator" w:id="0">
    <w:p w:rsidR="00860B43" w:rsidRDefault="0086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FD4" w:rsidRDefault="0089515D" w:rsidP="00735B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42F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2FD4" w:rsidRDefault="00842FD4" w:rsidP="00735B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FD4" w:rsidRPr="00FC16EC" w:rsidRDefault="0089515D" w:rsidP="00CD1A0D">
    <w:pPr>
      <w:pStyle w:val="Footer"/>
      <w:jc w:val="center"/>
      <w:rPr>
        <w:sz w:val="20"/>
      </w:rPr>
    </w:pPr>
    <w:r w:rsidRPr="00FC16EC">
      <w:rPr>
        <w:sz w:val="20"/>
      </w:rPr>
      <w:fldChar w:fldCharType="begin"/>
    </w:r>
    <w:r w:rsidR="00842FD4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651B17">
      <w:rPr>
        <w:noProof/>
        <w:sz w:val="20"/>
      </w:rPr>
      <w:t>23</w:t>
    </w:r>
    <w:r w:rsidRPr="00FC16EC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B43" w:rsidRDefault="00860B43">
      <w:r>
        <w:separator/>
      </w:r>
    </w:p>
  </w:footnote>
  <w:footnote w:type="continuationSeparator" w:id="0">
    <w:p w:rsidR="00860B43" w:rsidRDefault="0086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FD4" w:rsidRDefault="0089515D" w:rsidP="00CF423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2F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2FD4" w:rsidRDefault="0084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1BFA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4BE8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6187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16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E7B07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1B17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1352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2FD4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0B43"/>
    <w:rsid w:val="00862E65"/>
    <w:rsid w:val="00865319"/>
    <w:rsid w:val="00867C34"/>
    <w:rsid w:val="00870D78"/>
    <w:rsid w:val="0087473E"/>
    <w:rsid w:val="00874CC1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9515D"/>
    <w:rsid w:val="008A0C4E"/>
    <w:rsid w:val="008A355C"/>
    <w:rsid w:val="008A4904"/>
    <w:rsid w:val="008A5DFB"/>
    <w:rsid w:val="008A684A"/>
    <w:rsid w:val="008A6BDA"/>
    <w:rsid w:val="008B1E4F"/>
    <w:rsid w:val="008B4B74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2344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21E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50D6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77CFE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3195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17F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660E7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8728C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1CC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9B9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AA156AE"/>
  <w15:docId w15:val="{CD5E52C9-0289-A441-B524-66D617BF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Heading2">
    <w:name w:val="heading 2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Heading3">
    <w:name w:val="heading 3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Title">
    <w:name w:val="Title"/>
    <w:basedOn w:val="Normal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BodyTextIndent2">
    <w:name w:val="Body Text Indent 2"/>
    <w:basedOn w:val="Normal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BodyTextIndent3">
    <w:name w:val="Body Text Indent 3"/>
    <w:basedOn w:val="Normal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A71A4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71A4D"/>
  </w:style>
  <w:style w:type="paragraph" w:styleId="BlockText">
    <w:name w:val="Block Text"/>
    <w:basedOn w:val="Normal"/>
    <w:rsid w:val="00A71A4D"/>
    <w:pPr>
      <w:spacing w:before="120" w:line="360" w:lineRule="auto"/>
      <w:ind w:left="3000" w:right="800"/>
    </w:pPr>
    <w:rPr>
      <w:sz w:val="28"/>
    </w:rPr>
  </w:style>
  <w:style w:type="character" w:styleId="Hyperlink">
    <w:name w:val="Hyperlink"/>
    <w:basedOn w:val="DefaultParagraphFont"/>
    <w:rsid w:val="00A71A4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A71A4D"/>
    <w:rPr>
      <w:rFonts w:ascii="Courier New" w:hAnsi="Courier New"/>
      <w:sz w:val="20"/>
      <w:szCs w:val="20"/>
    </w:rPr>
  </w:style>
  <w:style w:type="paragraph" w:customStyle="1" w:styleId="1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FootnoteText">
    <w:name w:val="footnote text"/>
    <w:basedOn w:val="Normal"/>
    <w:semiHidden/>
    <w:rsid w:val="00A71A4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71A4D"/>
    <w:rPr>
      <w:vertAlign w:val="superscript"/>
    </w:rPr>
  </w:style>
  <w:style w:type="paragraph" w:styleId="BodyText2">
    <w:name w:val="Body Text 2"/>
    <w:basedOn w:val="Normal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BalloonText">
    <w:name w:val="Balloon Text"/>
    <w:basedOn w:val="Normal"/>
    <w:semiHidden/>
    <w:rsid w:val="00922F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Emphasis">
    <w:name w:val="Emphasis"/>
    <w:basedOn w:val="DefaultParagraphFont"/>
    <w:qFormat/>
    <w:rsid w:val="00453581"/>
    <w:rPr>
      <w:i/>
      <w:iCs/>
    </w:rPr>
  </w:style>
  <w:style w:type="paragraph" w:customStyle="1" w:styleId="2">
    <w:name w:val="Обычный (веб)2"/>
    <w:basedOn w:val="Normal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DefaultParagraphFont"/>
    <w:rsid w:val="00E431FE"/>
  </w:style>
  <w:style w:type="paragraph" w:customStyle="1" w:styleId="11">
    <w:name w:val="Стиль1 Знак Знак Знак1"/>
    <w:basedOn w:val="Normal"/>
    <w:rsid w:val="00E431FE"/>
    <w:pPr>
      <w:spacing w:after="120"/>
      <w:ind w:firstLine="709"/>
      <w:jc w:val="both"/>
    </w:pPr>
  </w:style>
  <w:style w:type="paragraph" w:customStyle="1" w:styleId="a">
    <w:name w:val="О Знак Знак"/>
    <w:basedOn w:val="Normal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DefaultParagraphFont"/>
    <w:rsid w:val="00E431FE"/>
  </w:style>
  <w:style w:type="paragraph" w:customStyle="1" w:styleId="pubcontent1">
    <w:name w:val="pub_content1"/>
    <w:basedOn w:val="Normal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CF4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PlainTextChar">
    <w:name w:val="Plain Text Char"/>
    <w:basedOn w:val="DefaultParagraphFont"/>
    <w:link w:val="PlainText"/>
    <w:uiPriority w:val="99"/>
    <w:rsid w:val="00B24DA2"/>
    <w:rPr>
      <w:rFonts w:ascii="Courier New" w:hAnsi="Courier New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54D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97F1C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54D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Normal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DefaultParagraphFont"/>
    <w:link w:val="14"/>
    <w:rsid w:val="00572E1A"/>
    <w:rPr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40D8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4171"/>
    <w:rPr>
      <w:color w:val="808080"/>
    </w:rPr>
  </w:style>
  <w:style w:type="character" w:customStyle="1" w:styleId="Heading5Char">
    <w:name w:val="Heading 5 Char"/>
    <w:basedOn w:val="DefaultParagraphFont"/>
    <w:link w:val="Heading5"/>
    <w:rsid w:val="00606C59"/>
    <w:rPr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7413</Words>
  <Characters>42258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m24535</cp:lastModifiedBy>
  <cp:revision>6</cp:revision>
  <cp:lastPrinted>2016-07-02T13:29:00Z</cp:lastPrinted>
  <dcterms:created xsi:type="dcterms:W3CDTF">2017-11-02T13:26:00Z</dcterms:created>
  <dcterms:modified xsi:type="dcterms:W3CDTF">2019-04-18T11:11:00Z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