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>Институт Проблем Управления им. В.А.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</w:t>
      </w:r>
      <w:r>
        <w:rPr>
          <w:sz w:val="20"/>
        </w:rPr>
        <w:t>о</w:t>
      </w:r>
      <w:r>
        <w:rPr>
          <w:sz w:val="20"/>
        </w:rPr>
        <w:t>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</w:t>
      </w:r>
      <w:r w:rsidR="0074545B">
        <w:rPr>
          <w:sz w:val="20"/>
        </w:rPr>
        <w:t>с</w:t>
      </w:r>
      <w:r w:rsidR="0074545B">
        <w:rPr>
          <w:sz w:val="20"/>
        </w:rPr>
        <w:t>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</w:t>
      </w:r>
      <w:r>
        <w:rPr>
          <w:sz w:val="20"/>
        </w:rPr>
        <w:t>н</w:t>
      </w:r>
      <w:r>
        <w:rPr>
          <w:sz w:val="20"/>
        </w:rPr>
        <w:t xml:space="preserve">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 xml:space="preserve">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</w:t>
      </w:r>
      <w:r w:rsidR="002739A7" w:rsidRPr="002739A7">
        <w:rPr>
          <w:sz w:val="20"/>
        </w:rPr>
        <w:t>е</w:t>
      </w:r>
      <w:r w:rsidR="002739A7" w:rsidRPr="002739A7">
        <w:rPr>
          <w:sz w:val="20"/>
        </w:rPr>
        <w:t>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</w:t>
      </w:r>
      <w:r w:rsidR="009A29AE" w:rsidRPr="00EC2567">
        <w:rPr>
          <w:sz w:val="20"/>
        </w:rPr>
        <w:t>н</w:t>
      </w:r>
      <w:r w:rsidR="009A29AE" w:rsidRPr="00EC2567">
        <w:rPr>
          <w:sz w:val="20"/>
        </w:rPr>
        <w:t xml:space="preserve">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</w:t>
      </w:r>
      <w:r>
        <w:rPr>
          <w:sz w:val="20"/>
        </w:rPr>
        <w:t>и</w:t>
      </w:r>
      <w:r>
        <w:rPr>
          <w:sz w:val="20"/>
        </w:rPr>
        <w:t>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>и оптим</w:t>
      </w:r>
      <w:r w:rsidR="002739A7">
        <w:rPr>
          <w:sz w:val="20"/>
        </w:rPr>
        <w:t>и</w:t>
      </w:r>
      <w:r w:rsidR="002739A7">
        <w:rPr>
          <w:sz w:val="20"/>
        </w:rPr>
        <w:t xml:space="preserve">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(Ю.С.Кан,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В.В.Малышев, А.С.Рыков</w:t>
      </w:r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r w:rsidR="00AE205D">
        <w:rPr>
          <w:sz w:val="20"/>
        </w:rPr>
        <w:t>Л.А.Петросян</w:t>
      </w:r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>при стремлении достижения игроками своих целей (например, ма</w:t>
      </w:r>
      <w:r w:rsidR="0051410C" w:rsidRPr="0051410C">
        <w:rPr>
          <w:sz w:val="20"/>
          <w:szCs w:val="28"/>
        </w:rPr>
        <w:t>к</w:t>
      </w:r>
      <w:r w:rsidR="0051410C" w:rsidRPr="0051410C">
        <w:rPr>
          <w:sz w:val="20"/>
          <w:szCs w:val="28"/>
        </w:rPr>
        <w:t xml:space="preserve">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>сил, действу</w:t>
      </w:r>
      <w:r w:rsidR="00A14AE2">
        <w:rPr>
          <w:sz w:val="20"/>
        </w:rPr>
        <w:t>ю</w:t>
      </w:r>
      <w:r w:rsidR="00A14AE2">
        <w:rPr>
          <w:sz w:val="20"/>
        </w:rPr>
        <w:t xml:space="preserve">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М.Портера,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М.Портера оказывается неполной. </w:t>
      </w:r>
      <w:proofErr w:type="gramStart"/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</w:t>
      </w:r>
      <w:r w:rsidR="00EE6EFF">
        <w:rPr>
          <w:sz w:val="20"/>
        </w:rPr>
        <w:t>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>ко</w:t>
      </w:r>
      <w:r w:rsidR="00EE6EFF">
        <w:rPr>
          <w:sz w:val="20"/>
        </w:rPr>
        <w:t>с</w:t>
      </w:r>
      <w:r w:rsidR="00EE6EFF">
        <w:rPr>
          <w:sz w:val="20"/>
        </w:rPr>
        <w:t xml:space="preserve">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proofErr w:type="gramEnd"/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сил</w:t>
      </w:r>
      <w:proofErr w:type="gramStart"/>
      <w:r w:rsidR="00810D0B">
        <w:rPr>
          <w:sz w:val="20"/>
        </w:rPr>
        <w:t xml:space="preserve">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</w:t>
      </w:r>
      <w:r w:rsidR="00DB5B71">
        <w:rPr>
          <w:sz w:val="20"/>
        </w:rPr>
        <w:t>т</w:t>
      </w:r>
      <w:r w:rsidR="00DB5B71">
        <w:rPr>
          <w:sz w:val="20"/>
        </w:rPr>
        <w:t>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могут образовывать собственную структуру, в кот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 xml:space="preserve">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</w:t>
      </w:r>
      <w:r w:rsidR="00BD2C37">
        <w:rPr>
          <w:sz w:val="20"/>
        </w:rPr>
        <w:t>с</w:t>
      </w:r>
      <w:r w:rsidR="00BD2C37">
        <w:rPr>
          <w:sz w:val="20"/>
        </w:rPr>
        <w:t>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</w:t>
      </w:r>
      <w:r w:rsidRPr="00862E65">
        <w:rPr>
          <w:sz w:val="20"/>
        </w:rPr>
        <w:t>а</w:t>
      </w:r>
      <w:r w:rsidRPr="00862E65">
        <w:rPr>
          <w:sz w:val="20"/>
        </w:rPr>
        <w:t>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</w:t>
      </w:r>
      <w:r w:rsidR="009C512D" w:rsidRPr="00862E65">
        <w:rPr>
          <w:sz w:val="20"/>
        </w:rPr>
        <w:t>о</w:t>
      </w:r>
      <w:r w:rsidR="009C512D" w:rsidRPr="00862E65">
        <w:rPr>
          <w:sz w:val="20"/>
        </w:rPr>
        <w:t>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</w:t>
      </w:r>
      <w:proofErr w:type="spellStart"/>
      <w:proofErr w:type="gramStart"/>
      <w:r w:rsidR="00A67D5F" w:rsidRPr="00862E65">
        <w:rPr>
          <w:sz w:val="20"/>
        </w:rPr>
        <w:t>интернет-вещей</w:t>
      </w:r>
      <w:proofErr w:type="spellEnd"/>
      <w:proofErr w:type="gramEnd"/>
      <w:r w:rsidR="00A67D5F" w:rsidRPr="00862E65">
        <w:rPr>
          <w:sz w:val="20"/>
        </w:rPr>
        <w:t xml:space="preserve">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</w:t>
      </w:r>
      <w:r w:rsidR="009C512D" w:rsidRPr="00862E65">
        <w:rPr>
          <w:sz w:val="20"/>
        </w:rPr>
        <w:t>а</w:t>
      </w:r>
      <w:r w:rsidR="009C512D" w:rsidRPr="00862E65">
        <w:rPr>
          <w:sz w:val="20"/>
        </w:rPr>
        <w:t>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>, аэр</w:t>
      </w:r>
      <w:r w:rsidR="00A67D5F">
        <w:rPr>
          <w:sz w:val="20"/>
        </w:rPr>
        <w:t>о</w:t>
      </w:r>
      <w:r w:rsidR="00A67D5F">
        <w:rPr>
          <w:sz w:val="20"/>
        </w:rPr>
        <w:t xml:space="preserve">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 xml:space="preserve">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>цел</w:t>
      </w:r>
      <w:r w:rsidR="00882517">
        <w:rPr>
          <w:sz w:val="20"/>
        </w:rPr>
        <w:t>е</w:t>
      </w:r>
      <w:r w:rsidR="00882517">
        <w:rPr>
          <w:sz w:val="20"/>
        </w:rPr>
        <w:t xml:space="preserve">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</w:t>
      </w:r>
      <w:r w:rsidR="00A67D5F">
        <w:rPr>
          <w:sz w:val="20"/>
        </w:rPr>
        <w:t>о</w:t>
      </w:r>
      <w:r w:rsidR="00A67D5F">
        <w:rPr>
          <w:sz w:val="20"/>
        </w:rPr>
        <w:t>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</w:t>
      </w:r>
      <w:r w:rsidR="00B51559">
        <w:rPr>
          <w:sz w:val="20"/>
        </w:rPr>
        <w:t>о</w:t>
      </w:r>
      <w:r w:rsidR="00B51559">
        <w:rPr>
          <w:sz w:val="20"/>
        </w:rPr>
        <w:t>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</w:t>
      </w:r>
      <w:r w:rsidRPr="00D10F21">
        <w:rPr>
          <w:sz w:val="20"/>
        </w:rPr>
        <w:t>с</w:t>
      </w:r>
      <w:r w:rsidRPr="00D10F21">
        <w:rPr>
          <w:sz w:val="20"/>
        </w:rPr>
        <w:t>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</w:t>
      </w:r>
      <w:r w:rsidR="000E3FF0" w:rsidRPr="005A1D2D">
        <w:rPr>
          <w:sz w:val="20"/>
        </w:rPr>
        <w:t>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</w:t>
      </w:r>
      <w:r w:rsidR="000E3FF0" w:rsidRPr="005A1D2D">
        <w:rPr>
          <w:sz w:val="20"/>
        </w:rPr>
        <w:t>о</w:t>
      </w:r>
      <w:r w:rsidR="000E3FF0" w:rsidRPr="005A1D2D">
        <w:rPr>
          <w:sz w:val="20"/>
        </w:rPr>
        <w:t>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</w:t>
      </w:r>
      <w:r w:rsidRPr="005A1D2D">
        <w:rPr>
          <w:sz w:val="20"/>
        </w:rPr>
        <w:t>н</w:t>
      </w:r>
      <w:r w:rsidRPr="005A1D2D">
        <w:rPr>
          <w:sz w:val="20"/>
        </w:rPr>
        <w:t>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 xml:space="preserve">ментария конкурентного анализа, то есть </w:t>
      </w:r>
      <w:r w:rsidR="007F0B4A">
        <w:rPr>
          <w:sz w:val="20"/>
        </w:rPr>
        <w:t xml:space="preserve">методического, </w:t>
      </w:r>
      <w:r w:rsidR="00BE43E9" w:rsidRPr="002142D6">
        <w:rPr>
          <w:sz w:val="20"/>
        </w:rPr>
        <w:t xml:space="preserve">математического и программного обеспечения системы поддержки принятия решений </w:t>
      </w:r>
      <w:r w:rsidR="007F0B4A">
        <w:rPr>
          <w:sz w:val="20"/>
        </w:rPr>
        <w:t>на базе</w:t>
      </w:r>
      <w:r w:rsidR="00BE43E9" w:rsidRPr="002142D6">
        <w:rPr>
          <w:sz w:val="20"/>
        </w:rPr>
        <w:t xml:space="preserve"> моделирования глобальной конкуренции на основных этапах жизненного ци</w:t>
      </w:r>
      <w:r w:rsidR="00BE43E9" w:rsidRPr="002142D6">
        <w:rPr>
          <w:sz w:val="20"/>
        </w:rPr>
        <w:t>к</w:t>
      </w:r>
      <w:r w:rsidR="00BE43E9" w:rsidRPr="002142D6">
        <w:rPr>
          <w:sz w:val="20"/>
        </w:rPr>
        <w:t>ла высокотехнологично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</w:t>
      </w:r>
      <w:r w:rsidRPr="002142D6">
        <w:rPr>
          <w:sz w:val="20"/>
        </w:rPr>
        <w:t>о</w:t>
      </w:r>
      <w:r w:rsidRPr="002142D6">
        <w:rPr>
          <w:sz w:val="20"/>
        </w:rPr>
        <w:t xml:space="preserve">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</w:t>
      </w:r>
      <w:r w:rsidR="009F201E" w:rsidRPr="004D1A17">
        <w:rPr>
          <w:sz w:val="20"/>
        </w:rPr>
        <w:t>е</w:t>
      </w:r>
      <w:r w:rsidR="009F201E" w:rsidRPr="004D1A17">
        <w:rPr>
          <w:sz w:val="20"/>
        </w:rPr>
        <w:t>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8935F9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</w:t>
      </w:r>
      <w:r w:rsidR="00B82CAB">
        <w:rPr>
          <w:sz w:val="20"/>
        </w:rPr>
        <w:t>с</w:t>
      </w:r>
      <w:r w:rsidR="00B82CAB">
        <w:rPr>
          <w:sz w:val="20"/>
        </w:rPr>
        <w:t>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</w:t>
      </w:r>
      <w:r w:rsidR="00655588">
        <w:rPr>
          <w:sz w:val="20"/>
        </w:rPr>
        <w:t>е</w:t>
      </w:r>
      <w:r w:rsidR="00655588">
        <w:rPr>
          <w:sz w:val="20"/>
        </w:rPr>
        <w:t>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инфлюенторов</w:t>
      </w:r>
      <w:proofErr w:type="spellEnd"/>
      <w:r w:rsidR="00655588">
        <w:rPr>
          <w:sz w:val="20"/>
        </w:rPr>
        <w:t xml:space="preserve"> – 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</w:t>
      </w:r>
      <w:r w:rsidR="008036D5" w:rsidRPr="00655588">
        <w:rPr>
          <w:sz w:val="20"/>
        </w:rPr>
        <w:t>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</w:t>
      </w:r>
      <w:r w:rsidRPr="00655588">
        <w:rPr>
          <w:sz w:val="20"/>
        </w:rPr>
        <w:t>н</w:t>
      </w:r>
      <w:r w:rsidRPr="00655588">
        <w:rPr>
          <w:sz w:val="20"/>
        </w:rPr>
        <w:t>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</w:t>
      </w:r>
      <w:r w:rsidRPr="004D1A17">
        <w:rPr>
          <w:sz w:val="20"/>
        </w:rPr>
        <w:t>о</w:t>
      </w:r>
      <w:r w:rsidRPr="004D1A17">
        <w:rPr>
          <w:sz w:val="20"/>
        </w:rPr>
        <w:t>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</w:t>
      </w:r>
      <w:r w:rsidR="00125D1C" w:rsidRPr="00FD67F8">
        <w:rPr>
          <w:sz w:val="20"/>
        </w:rPr>
        <w:t>с</w:t>
      </w:r>
      <w:r w:rsidR="00125D1C" w:rsidRPr="00FD67F8">
        <w:rPr>
          <w:sz w:val="20"/>
        </w:rPr>
        <w:t>мической промышленности и показало свою эффективность.</w:t>
      </w:r>
      <w:r w:rsidR="00BD168E">
        <w:rPr>
          <w:sz w:val="20"/>
        </w:rPr>
        <w:t xml:space="preserve"> Получены свид</w:t>
      </w:r>
      <w:r w:rsidR="00BD168E">
        <w:rPr>
          <w:sz w:val="20"/>
        </w:rPr>
        <w:t>е</w:t>
      </w:r>
      <w:r w:rsidR="00BD168E">
        <w:rPr>
          <w:sz w:val="20"/>
        </w:rPr>
        <w:t>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</w:t>
      </w:r>
      <w:r w:rsidR="00D0511A" w:rsidRPr="00FD67F8">
        <w:rPr>
          <w:sz w:val="20"/>
        </w:rPr>
        <w:t>с</w:t>
      </w:r>
      <w:r w:rsidR="00D0511A" w:rsidRPr="00FD67F8">
        <w:rPr>
          <w:sz w:val="20"/>
        </w:rPr>
        <w:t>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>исследования, соотве</w:t>
      </w:r>
      <w:r w:rsidR="00FC53A8" w:rsidRPr="00FD67F8">
        <w:rPr>
          <w:sz w:val="20"/>
        </w:rPr>
        <w:t>т</w:t>
      </w:r>
      <w:r w:rsidR="00FC53A8" w:rsidRPr="00FD67F8">
        <w:rPr>
          <w:sz w:val="20"/>
        </w:rPr>
        <w:t xml:space="preserve">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</w:t>
      </w:r>
      <w:r w:rsidRPr="00FD67F8">
        <w:rPr>
          <w:sz w:val="20"/>
        </w:rPr>
        <w:t>е</w:t>
      </w:r>
      <w:r w:rsidRPr="00FD67F8">
        <w:rPr>
          <w:sz w:val="20"/>
        </w:rPr>
        <w:t>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</w:t>
      </w:r>
      <w:r w:rsidRPr="00FD67F8">
        <w:rPr>
          <w:sz w:val="20"/>
        </w:rPr>
        <w:t>а</w:t>
      </w:r>
      <w:r w:rsidRPr="00FD67F8">
        <w:rPr>
          <w:sz w:val="20"/>
        </w:rPr>
        <w:t>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</w:t>
      </w:r>
      <w:r w:rsidR="00951BBC">
        <w:rPr>
          <w:sz w:val="20"/>
        </w:rPr>
        <w:t xml:space="preserve">, </w:t>
      </w:r>
      <w:r w:rsidR="008F095B">
        <w:rPr>
          <w:sz w:val="20"/>
        </w:rPr>
        <w:t>«Исследование и разр</w:t>
      </w:r>
      <w:r w:rsidR="008F095B">
        <w:rPr>
          <w:sz w:val="20"/>
        </w:rPr>
        <w:t>а</w:t>
      </w:r>
      <w:r w:rsidR="008F095B">
        <w:rPr>
          <w:sz w:val="20"/>
        </w:rPr>
        <w:t>ботка моделей, алгоритмов и программного обеспечения конкурентного ан</w:t>
      </w:r>
      <w:r w:rsidR="008F095B">
        <w:rPr>
          <w:sz w:val="20"/>
        </w:rPr>
        <w:t>а</w:t>
      </w:r>
      <w:r w:rsidR="008F095B">
        <w:rPr>
          <w:sz w:val="20"/>
        </w:rPr>
        <w:t xml:space="preserve">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</w:t>
      </w:r>
      <w:r w:rsidR="00951BBC" w:rsidRPr="008F095B">
        <w:rPr>
          <w:color w:val="FF0000"/>
          <w:sz w:val="20"/>
        </w:rPr>
        <w:t>м</w:t>
      </w:r>
      <w:r w:rsidR="00951BBC" w:rsidRPr="008F095B">
        <w:rPr>
          <w:color w:val="FF0000"/>
          <w:sz w:val="20"/>
        </w:rPr>
        <w:t>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721F17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721F17">
        <w:rPr>
          <w:sz w:val="20"/>
        </w:rPr>
        <w:t>.)</w:t>
      </w:r>
    </w:p>
    <w:p w:rsidR="00721F17" w:rsidRPr="00721F17" w:rsidRDefault="00721F17" w:rsidP="00721F17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</w:t>
      </w:r>
      <w:r w:rsidRPr="00721F17">
        <w:rPr>
          <w:sz w:val="20"/>
        </w:rPr>
        <w:t>6</w:t>
      </w:r>
      <w:r w:rsidRPr="00FD67F8">
        <w:rPr>
          <w:sz w:val="20"/>
        </w:rPr>
        <w:t>-ой Международной конференции «Системы проектирования, техн</w:t>
      </w:r>
      <w:r w:rsidRPr="00FD67F8">
        <w:rPr>
          <w:sz w:val="20"/>
        </w:rPr>
        <w:t>о</w:t>
      </w:r>
      <w:r w:rsidRPr="00FD67F8">
        <w:rPr>
          <w:sz w:val="20"/>
        </w:rPr>
        <w:t>логической подготовки производства и управления этапами жизненного цикла промышленного продукта (CAD/CAM/PDM –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)» (Россия, Москва, </w:t>
      </w:r>
      <w:r w:rsidRPr="00F90742">
        <w:rPr>
          <w:sz w:val="20"/>
          <w:szCs w:val="28"/>
        </w:rPr>
        <w:t>17</w:t>
      </w:r>
      <w:r w:rsidRPr="00FD67F8">
        <w:rPr>
          <w:sz w:val="20"/>
          <w:szCs w:val="28"/>
        </w:rPr>
        <w:t>-</w:t>
      </w:r>
      <w:r w:rsidRPr="00F90742">
        <w:rPr>
          <w:sz w:val="20"/>
          <w:szCs w:val="28"/>
        </w:rPr>
        <w:t>19</w:t>
      </w:r>
      <w:r w:rsidRPr="00FD67F8">
        <w:rPr>
          <w:sz w:val="20"/>
        </w:rPr>
        <w:t xml:space="preserve"> октября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>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</w:t>
      </w:r>
      <w:r w:rsidR="00A208CF" w:rsidRPr="00FD67F8">
        <w:rPr>
          <w:sz w:val="20"/>
        </w:rPr>
        <w:t>о</w:t>
      </w:r>
      <w:r w:rsidR="00A208CF" w:rsidRPr="00FD67F8">
        <w:rPr>
          <w:sz w:val="20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>РХТУ им. Д.И.</w:t>
      </w:r>
      <w:r w:rsidR="0044491B" w:rsidRPr="0044491B">
        <w:rPr>
          <w:sz w:val="20"/>
        </w:rPr>
        <w:t>Менделеева</w:t>
      </w:r>
      <w:r w:rsidR="0044491B">
        <w:rPr>
          <w:sz w:val="20"/>
        </w:rPr>
        <w:t xml:space="preserve">, </w:t>
      </w:r>
      <w:r w:rsidR="00A208CF" w:rsidRPr="00FD67F8">
        <w:rPr>
          <w:sz w:val="20"/>
        </w:rPr>
        <w:t xml:space="preserve">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</w:t>
      </w:r>
      <w:r w:rsidR="001D0866">
        <w:rPr>
          <w:sz w:val="20"/>
        </w:rPr>
        <w:t xml:space="preserve">диссертационной работы </w:t>
      </w:r>
      <w:r w:rsidR="00DC4969" w:rsidRPr="00FD67F8">
        <w:rPr>
          <w:sz w:val="20"/>
        </w:rPr>
        <w:t>опублик</w:t>
      </w:r>
      <w:r w:rsidR="00DC4969" w:rsidRPr="00FD67F8">
        <w:rPr>
          <w:sz w:val="20"/>
        </w:rPr>
        <w:t>о</w:t>
      </w:r>
      <w:r w:rsidR="00DC4969" w:rsidRPr="00FD67F8">
        <w:rPr>
          <w:sz w:val="20"/>
        </w:rPr>
        <w:t xml:space="preserve">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9B1E46" w:rsidRPr="009B1E46">
        <w:rPr>
          <w:sz w:val="20"/>
        </w:rPr>
        <w:t>7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9B1E46" w:rsidRPr="009B1E46">
        <w:rPr>
          <w:sz w:val="20"/>
        </w:rPr>
        <w:t>3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</w:t>
      </w:r>
      <w:r w:rsidR="00DC4969" w:rsidRPr="00FD67F8">
        <w:rPr>
          <w:sz w:val="20"/>
        </w:rPr>
        <w:t>и</w:t>
      </w:r>
      <w:r w:rsidR="00DC4969" w:rsidRPr="00FD67F8">
        <w:rPr>
          <w:sz w:val="20"/>
        </w:rPr>
        <w:t>ках тезисов докладов конференций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9B1E46" w:rsidRPr="009B1E46">
        <w:rPr>
          <w:sz w:val="20"/>
        </w:rPr>
        <w:t>4</w:t>
      </w:r>
      <w:r w:rsidR="00DC4969" w:rsidRPr="00FD67F8">
        <w:rPr>
          <w:sz w:val="20"/>
        </w:rPr>
        <w:t>–2</w:t>
      </w:r>
      <w:r w:rsidR="009B1E46" w:rsidRPr="009B1E46">
        <w:rPr>
          <w:sz w:val="20"/>
        </w:rPr>
        <w:t>6</w:t>
      </w:r>
      <w:r w:rsidR="00DC4969" w:rsidRPr="00FD67F8">
        <w:rPr>
          <w:sz w:val="20"/>
        </w:rPr>
        <w:t>].</w:t>
      </w:r>
    </w:p>
    <w:p w:rsidR="00D54D66" w:rsidRPr="00655588" w:rsidRDefault="004C461A" w:rsidP="00FD67F8">
      <w:pPr>
        <w:pStyle w:val="af6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 xml:space="preserve">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</w:t>
      </w:r>
      <w:r w:rsidR="00932F68" w:rsidRPr="00655588">
        <w:rPr>
          <w:sz w:val="20"/>
        </w:rPr>
        <w:t>а</w:t>
      </w:r>
      <w:r w:rsidR="00932F68" w:rsidRPr="00655588">
        <w:rPr>
          <w:sz w:val="20"/>
        </w:rPr>
        <w:t>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10D0B">
        <w:rPr>
          <w:sz w:val="20"/>
        </w:rPr>
        <w:t>комплементоров</w:t>
      </w:r>
      <w:proofErr w:type="spellEnd"/>
      <w:r w:rsidR="00810D0B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</w:t>
      </w:r>
      <w:proofErr w:type="spellStart"/>
      <w:r w:rsidR="00810D0B">
        <w:rPr>
          <w:sz w:val="20"/>
        </w:rPr>
        <w:t>инфлюенторов</w:t>
      </w:r>
      <w:proofErr w:type="spellEnd"/>
      <w:r w:rsidR="00810D0B">
        <w:rPr>
          <w:sz w:val="20"/>
        </w:rPr>
        <w:t>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>е</w:t>
      </w:r>
      <w:r w:rsidR="00BD135E">
        <w:rPr>
          <w:sz w:val="20"/>
        </w:rPr>
        <w:t xml:space="preserve">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</w:t>
      </w:r>
      <w:r w:rsidRPr="0089234D">
        <w:rPr>
          <w:bCs/>
          <w:sz w:val="20"/>
        </w:rPr>
        <w:t>о</w:t>
      </w:r>
      <w:r w:rsidRPr="0089234D">
        <w:rPr>
          <w:bCs/>
          <w:sz w:val="20"/>
        </w:rPr>
        <w:t>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4506ED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4506ED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af6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lastRenderedPageBreak/>
        <w:t>Утверждение 2.</w:t>
      </w:r>
      <w:r w:rsidRPr="00E8330B">
        <w:rPr>
          <w:bCs/>
          <w:sz w:val="20"/>
        </w:rPr>
        <w:t xml:space="preserve"> В новом кортеже сил</w:t>
      </w:r>
      <w:proofErr w:type="gramStart"/>
      <w:r w:rsidRPr="00E8330B">
        <w:rPr>
          <w:bCs/>
          <w:sz w:val="20"/>
        </w:rPr>
        <w:t xml:space="preserve">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proofErr w:type="gramEnd"/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="00107C8B">
        <w:rPr>
          <w:sz w:val="20"/>
        </w:rPr>
        <w:t>что та</w:t>
      </w:r>
      <w:r w:rsidR="00107C8B">
        <w:rPr>
          <w:sz w:val="20"/>
        </w:rPr>
        <w:t>к</w:t>
      </w:r>
      <w:r w:rsidR="00107C8B">
        <w:rPr>
          <w:sz w:val="20"/>
        </w:rPr>
        <w:t xml:space="preserve">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</w:t>
      </w:r>
      <w:r w:rsidRPr="00FE5A20">
        <w:rPr>
          <w:sz w:val="20"/>
        </w:rPr>
        <w:t>н</w:t>
      </w:r>
      <w:r w:rsidRPr="00FE5A20">
        <w:rPr>
          <w:sz w:val="20"/>
        </w:rPr>
        <w:t>ный граф, вершинами которого являются элементы системы (игроки), а ре</w:t>
      </w:r>
      <w:r w:rsidRPr="00FE5A20">
        <w:rPr>
          <w:sz w:val="20"/>
        </w:rPr>
        <w:t>б</w:t>
      </w:r>
      <w:r w:rsidRPr="00FE5A20">
        <w:rPr>
          <w:sz w:val="20"/>
        </w:rPr>
        <w:t>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>. Ресурсами, перемещаемыми во вр</w:t>
      </w:r>
      <w:r w:rsidRPr="00FE5A20">
        <w:rPr>
          <w:sz w:val="20"/>
        </w:rPr>
        <w:t>е</w:t>
      </w:r>
      <w:r w:rsidRPr="00FE5A20">
        <w:rPr>
          <w:sz w:val="20"/>
        </w:rPr>
        <w:t xml:space="preserve">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</w:t>
      </w:r>
      <w:r w:rsidRPr="004D1A17">
        <w:rPr>
          <w:sz w:val="20"/>
        </w:rPr>
        <w:t>о</w:t>
      </w:r>
      <w:r w:rsidRPr="004D1A17">
        <w:rPr>
          <w:sz w:val="20"/>
        </w:rPr>
        <w:t xml:space="preserve">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</w:t>
      </w:r>
      <w:r w:rsidRPr="004D1A17">
        <w:rPr>
          <w:sz w:val="20"/>
        </w:rPr>
        <w:t>о</w:t>
      </w:r>
      <w:r w:rsidRPr="004D1A17">
        <w:rPr>
          <w:sz w:val="20"/>
        </w:rPr>
        <w:t>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lastRenderedPageBreak/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</w:t>
      </w:r>
      <w:r w:rsidR="008810B4" w:rsidRPr="00FD4BBF">
        <w:rPr>
          <w:sz w:val="20"/>
          <w:szCs w:val="28"/>
        </w:rPr>
        <w:t>й</w:t>
      </w:r>
      <w:r w:rsidR="008810B4" w:rsidRPr="00FD4BBF">
        <w:rPr>
          <w:sz w:val="20"/>
          <w:szCs w:val="28"/>
        </w:rPr>
        <w:t>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</w:t>
      </w:r>
      <w:r w:rsidR="0084695B" w:rsidRPr="00E4542E">
        <w:rPr>
          <w:sz w:val="20"/>
          <w:szCs w:val="28"/>
        </w:rPr>
        <w:t>н</w:t>
      </w:r>
      <w:r w:rsidR="0084695B" w:rsidRPr="00E4542E">
        <w:rPr>
          <w:sz w:val="20"/>
          <w:szCs w:val="28"/>
        </w:rPr>
        <w:t>ная на основе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</w:t>
      </w:r>
      <w:proofErr w:type="gramStart"/>
      <w:r w:rsidRPr="00C908A8">
        <w:rPr>
          <w:bCs/>
          <w:sz w:val="20"/>
        </w:rPr>
        <w:t>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 xml:space="preserve">уммарный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</w:t>
      </w:r>
      <w:r w:rsidR="00C908A8" w:rsidRPr="00C908A8">
        <w:rPr>
          <w:sz w:val="20"/>
        </w:rPr>
        <w:t>т</w:t>
      </w:r>
      <w:r w:rsidR="00C908A8" w:rsidRPr="00C908A8">
        <w:rPr>
          <w:sz w:val="20"/>
        </w:rPr>
        <w:t>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</w:t>
      </w:r>
      <w:proofErr w:type="gramEnd"/>
      <w:r w:rsidR="00514D2D" w:rsidRPr="00C908A8">
        <w:rPr>
          <w:sz w:val="20"/>
        </w:rPr>
        <w:t xml:space="preserve">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4506ED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</w:t>
      </w:r>
      <w:r w:rsidR="00956FA4" w:rsidRPr="007C5A57">
        <w:rPr>
          <w:sz w:val="20"/>
        </w:rPr>
        <w:t>и</w:t>
      </w:r>
      <w:r w:rsidR="00956FA4" w:rsidRPr="007C5A57">
        <w:rPr>
          <w:sz w:val="20"/>
        </w:rPr>
        <w:t xml:space="preserve">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4506ED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af6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4506ED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lastRenderedPageBreak/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>онцепт</w:t>
      </w:r>
      <w:r w:rsidR="00920952" w:rsidRPr="00FE5A20">
        <w:rPr>
          <w:sz w:val="20"/>
        </w:rPr>
        <w:t>у</w:t>
      </w:r>
      <w:r w:rsidR="00920952" w:rsidRPr="00FE5A20">
        <w:rPr>
          <w:sz w:val="20"/>
        </w:rPr>
        <w:t xml:space="preserve">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</w:t>
      </w:r>
      <w:r w:rsidR="00236A1D" w:rsidRPr="00FE5A20">
        <w:rPr>
          <w:sz w:val="20"/>
        </w:rPr>
        <w:t>в</w:t>
      </w:r>
      <w:r w:rsidR="00236A1D" w:rsidRPr="00FE5A20">
        <w:rPr>
          <w:sz w:val="20"/>
        </w:rPr>
        <w:t>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</w:t>
      </w:r>
      <w:r w:rsidR="001B56B6">
        <w:rPr>
          <w:sz w:val="20"/>
          <w:szCs w:val="28"/>
        </w:rPr>
        <w:t>и</w:t>
      </w:r>
      <w:r w:rsidR="001B56B6">
        <w:rPr>
          <w:sz w:val="20"/>
          <w:szCs w:val="28"/>
        </w:rPr>
        <w:t>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</w:t>
      </w:r>
      <w:r w:rsidRPr="00FE5A20">
        <w:rPr>
          <w:sz w:val="20"/>
        </w:rPr>
        <w:t>с</w:t>
      </w:r>
      <w:r w:rsidRPr="00FE5A20">
        <w:rPr>
          <w:sz w:val="20"/>
        </w:rPr>
        <w:t>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9642CB" w:rsidRDefault="009642CB" w:rsidP="001B56B6">
      <w:pPr>
        <w:pStyle w:val="af6"/>
        <w:spacing w:line="360" w:lineRule="auto"/>
        <w:jc w:val="center"/>
        <w:rPr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781022" cy="3411110"/>
            <wp:effectExtent l="19050" t="0" r="0" b="0"/>
            <wp:docPr id="4" name="Рисунок 1" descr="D:\science\Защита\Автореферат\done-image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Защита\Автореферат\done-images\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87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</w:t>
      </w:r>
      <w:r w:rsidR="00370389">
        <w:rPr>
          <w:sz w:val="20"/>
        </w:rPr>
        <w:t>у</w:t>
      </w:r>
      <w:r w:rsidR="00370389">
        <w:rPr>
          <w:sz w:val="20"/>
        </w:rPr>
        <w:t>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 xml:space="preserve">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</w:t>
      </w:r>
      <w:r w:rsidR="00571DB2" w:rsidRPr="00C63C0E">
        <w:rPr>
          <w:sz w:val="20"/>
        </w:rPr>
        <w:t>т</w:t>
      </w:r>
      <w:r w:rsidR="00571DB2" w:rsidRPr="00C63C0E">
        <w:rPr>
          <w:sz w:val="20"/>
        </w:rPr>
        <w:t>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12"/>
        <w:gridCol w:w="1473"/>
        <w:gridCol w:w="4417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4506ED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af6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4506E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4506ED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4506E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r>
              <w:rPr>
                <w:bCs/>
                <w:sz w:val="20"/>
                <w:lang w:val="en-US"/>
              </w:rPr>
              <w:t>дополняющей продукции</w:t>
            </w:r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4506ED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63B9C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</w:t>
      </w:r>
      <w:r w:rsidR="00B41CF1" w:rsidRPr="00C63C0E">
        <w:rPr>
          <w:sz w:val="20"/>
          <w:szCs w:val="28"/>
        </w:rPr>
        <w:t>к</w:t>
      </w:r>
      <w:r w:rsidR="00B41CF1" w:rsidRPr="00C63C0E">
        <w:rPr>
          <w:sz w:val="20"/>
          <w:szCs w:val="28"/>
        </w:rPr>
        <w:t>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7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D34C18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  <w:r w:rsidR="00773ADD" w:rsidRPr="00D34C18">
        <w:rPr>
          <w:sz w:val="20"/>
          <w:szCs w:val="28"/>
        </w:rPr>
        <w:t>.</w:t>
      </w:r>
    </w:p>
    <w:p w:rsidR="00FA1F7C" w:rsidRPr="00773ADD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</w:t>
      </w:r>
      <w:r w:rsidR="00370389">
        <w:rPr>
          <w:sz w:val="20"/>
          <w:szCs w:val="28"/>
        </w:rPr>
        <w:t>у</w:t>
      </w:r>
      <w:r w:rsidR="00370389">
        <w:rPr>
          <w:sz w:val="20"/>
          <w:szCs w:val="28"/>
        </w:rPr>
        <w:t>гих</w:t>
      </w:r>
      <w:r w:rsidRPr="00C63C0E">
        <w:rPr>
          <w:sz w:val="20"/>
          <w:szCs w:val="28"/>
        </w:rPr>
        <w:t xml:space="preserve">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</w:t>
      </w:r>
      <w:r w:rsidRPr="00C63C0E">
        <w:rPr>
          <w:sz w:val="20"/>
          <w:szCs w:val="28"/>
        </w:rPr>
        <w:t>а</w:t>
      </w:r>
      <w:r w:rsidRPr="00C63C0E">
        <w:rPr>
          <w:sz w:val="20"/>
          <w:szCs w:val="28"/>
        </w:rPr>
        <w:t xml:space="preserve">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773ADD" w:rsidRDefault="00BF6CC6" w:rsidP="00BF6CC6">
      <w:pPr>
        <w:jc w:val="both"/>
        <w:rPr>
          <w:sz w:val="20"/>
          <w:szCs w:val="28"/>
          <w:lang w:val="en-US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</m:oMath>
      <w:r w:rsidR="00773ADD">
        <w:rPr>
          <w:sz w:val="20"/>
          <w:szCs w:val="28"/>
          <w:lang w:val="en-US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>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af6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</w:t>
            </w:r>
            <w:proofErr w:type="spellStart"/>
            <w:r w:rsidRPr="00BB0884">
              <w:rPr>
                <w:sz w:val="20"/>
                <w:szCs w:val="28"/>
              </w:rPr>
              <w:t>ым</w:t>
            </w:r>
            <w:proofErr w:type="spellEnd"/>
            <w:r w:rsidRPr="00BB0884">
              <w:rPr>
                <w:sz w:val="20"/>
                <w:szCs w:val="28"/>
              </w:rPr>
              <w:t xml:space="preserve"> агентом</w:t>
            </w:r>
          </w:p>
          <w:p w:rsidR="00C63C0E" w:rsidRPr="00BB0884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</w:t>
      </w:r>
      <w:r w:rsidR="00C02B17" w:rsidRPr="00C63C0E">
        <w:rPr>
          <w:bCs/>
          <w:sz w:val="20"/>
        </w:rPr>
        <w:t>е</w:t>
      </w:r>
      <w:r w:rsidR="00C02B17" w:rsidRPr="00C63C0E">
        <w:rPr>
          <w:bCs/>
          <w:sz w:val="20"/>
        </w:rPr>
        <w:t>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</w:t>
      </w:r>
      <w:r>
        <w:rPr>
          <w:bCs/>
          <w:sz w:val="20"/>
        </w:rPr>
        <w:t>р</w:t>
      </w:r>
      <w:r>
        <w:rPr>
          <w:bCs/>
          <w:sz w:val="20"/>
        </w:rPr>
        <w:t>муле</w:t>
      </w:r>
      <w:r w:rsidR="00C02B17" w:rsidRPr="00C63C0E">
        <w:rPr>
          <w:bCs/>
          <w:sz w:val="20"/>
        </w:rPr>
        <w:t>:</w:t>
      </w:r>
    </w:p>
    <w:p w:rsidR="00C02B17" w:rsidRPr="00C63C0E" w:rsidRDefault="004506E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af6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4506E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4506E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4506E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4506ED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lastRenderedPageBreak/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>комплектующих, задающих такие хара</w:t>
      </w:r>
      <w:r w:rsidR="00C2088E" w:rsidRPr="00C63C0E">
        <w:rPr>
          <w:bCs/>
          <w:sz w:val="20"/>
        </w:rPr>
        <w:t>к</w:t>
      </w:r>
      <w:r w:rsidR="00C2088E" w:rsidRPr="00C63C0E">
        <w:rPr>
          <w:bCs/>
          <w:sz w:val="20"/>
        </w:rPr>
        <w:t xml:space="preserve">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proofErr w:type="gramStart"/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</w:t>
      </w:r>
      <w:r w:rsidR="00101877" w:rsidRPr="00097F56">
        <w:rPr>
          <w:bCs/>
          <w:sz w:val="20"/>
        </w:rPr>
        <w:t>о</w:t>
      </w:r>
      <w:r w:rsidR="00101877" w:rsidRPr="00097F56">
        <w:rPr>
          <w:bCs/>
          <w:sz w:val="20"/>
        </w:rPr>
        <w:t>технологичной продукции</w:t>
      </w:r>
      <w:proofErr w:type="gramEnd"/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 xml:space="preserve">. В качестве системы управления базами данных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</w:t>
      </w:r>
      <w:r w:rsidRPr="00F70658">
        <w:rPr>
          <w:bCs/>
          <w:sz w:val="20"/>
        </w:rPr>
        <w:t>у</w:t>
      </w:r>
      <w:r w:rsidRPr="00F70658">
        <w:rPr>
          <w:bCs/>
          <w:sz w:val="20"/>
        </w:rPr>
        <w:t>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>системах аэрокосмической о</w:t>
      </w:r>
      <w:r w:rsidRPr="00F70658">
        <w:rPr>
          <w:bCs/>
          <w:sz w:val="20"/>
        </w:rPr>
        <w:t>т</w:t>
      </w:r>
      <w:r w:rsidRPr="00F70658">
        <w:rPr>
          <w:bCs/>
          <w:sz w:val="20"/>
        </w:rPr>
        <w:t xml:space="preserve">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</w:t>
      </w:r>
      <w:r w:rsidRPr="00F70658">
        <w:rPr>
          <w:bCs/>
          <w:sz w:val="20"/>
        </w:rPr>
        <w:t>и</w:t>
      </w:r>
      <w:r w:rsidRPr="00F70658">
        <w:rPr>
          <w:bCs/>
          <w:sz w:val="20"/>
        </w:rPr>
        <w:t>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</w:t>
      </w:r>
      <w:r w:rsidR="001C7107" w:rsidRPr="00F70658">
        <w:rPr>
          <w:bCs/>
          <w:sz w:val="20"/>
        </w:rPr>
        <w:t>к</w:t>
      </w:r>
      <w:r w:rsidR="001C7107" w:rsidRPr="00F70658">
        <w:rPr>
          <w:bCs/>
          <w:sz w:val="20"/>
        </w:rPr>
        <w:t>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af6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>– осно</w:t>
      </w:r>
      <w:r w:rsidR="0010422B" w:rsidRPr="00F70658">
        <w:rPr>
          <w:sz w:val="20"/>
          <w:szCs w:val="28"/>
        </w:rPr>
        <w:t>в</w:t>
      </w:r>
      <w:r w:rsidR="0010422B" w:rsidRPr="00F70658">
        <w:rPr>
          <w:sz w:val="20"/>
          <w:szCs w:val="28"/>
        </w:rPr>
        <w:t xml:space="preserve">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4506ED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</w:t>
      </w:r>
      <w:r w:rsidR="003C6ACB" w:rsidRPr="00F70658">
        <w:rPr>
          <w:bCs/>
          <w:sz w:val="20"/>
        </w:rPr>
        <w:t>к</w:t>
      </w:r>
      <w:r w:rsidR="003C6ACB" w:rsidRPr="00F70658">
        <w:rPr>
          <w:bCs/>
          <w:sz w:val="20"/>
        </w:rPr>
        <w:t xml:space="preserve">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>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>ся к позициям своего основного конкурента F-22 и увеличит отрыв от J-20. Диаграммы также д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</w:t>
      </w:r>
      <w:r w:rsidRPr="00F70658">
        <w:rPr>
          <w:bCs/>
          <w:sz w:val="20"/>
        </w:rPr>
        <w:t>б</w:t>
      </w:r>
      <w:r w:rsidRPr="00F70658">
        <w:rPr>
          <w:bCs/>
          <w:sz w:val="20"/>
        </w:rPr>
        <w:t>ления позиций беспилотных летательный аппаратов. Подобные изменения объясняются тем, что рассматриваемые аэростаты и БПЛА частично перес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>при их примен</w:t>
      </w:r>
      <w:r w:rsidR="00170549">
        <w:rPr>
          <w:bCs/>
          <w:sz w:val="20"/>
        </w:rPr>
        <w:t>е</w:t>
      </w:r>
      <w:r w:rsidR="00170549">
        <w:rPr>
          <w:bCs/>
          <w:sz w:val="20"/>
        </w:rPr>
        <w:t xml:space="preserve">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о</w:t>
      </w:r>
      <w:r w:rsidRPr="00F70658">
        <w:rPr>
          <w:sz w:val="20"/>
        </w:rPr>
        <w:t>с</w:t>
      </w:r>
      <w:r w:rsidRPr="00F70658">
        <w:rPr>
          <w:sz w:val="20"/>
        </w:rPr>
        <w:t>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>
        <w:rPr>
          <w:sz w:val="20"/>
        </w:rPr>
        <w:t xml:space="preserve">Разработана методика анализа конкуренции в отрасли на основе </w:t>
      </w:r>
      <w:r w:rsidR="002B0147">
        <w:rPr>
          <w:sz w:val="20"/>
        </w:rPr>
        <w:t>следу</w:t>
      </w:r>
      <w:r w:rsidR="002B0147">
        <w:rPr>
          <w:sz w:val="20"/>
        </w:rPr>
        <w:t>ю</w:t>
      </w:r>
      <w:r w:rsidR="002B0147">
        <w:rPr>
          <w:sz w:val="20"/>
        </w:rPr>
        <w:t xml:space="preserve">щих </w:t>
      </w:r>
      <w:r>
        <w:rPr>
          <w:sz w:val="20"/>
        </w:rPr>
        <w:t>преобразовани</w:t>
      </w:r>
      <w:r w:rsidR="002B0147">
        <w:rPr>
          <w:sz w:val="20"/>
        </w:rPr>
        <w:t>й</w:t>
      </w:r>
      <w:r w:rsidR="009C78C0" w:rsidRPr="00E77C54">
        <w:rPr>
          <w:sz w:val="20"/>
        </w:rPr>
        <w:t xml:space="preserve"> </w:t>
      </w:r>
      <w:r w:rsidR="009C2285" w:rsidRPr="00E77C54">
        <w:rPr>
          <w:sz w:val="20"/>
        </w:rPr>
        <w:t xml:space="preserve">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>:</w:t>
      </w:r>
      <w:r w:rsidR="002B0147">
        <w:rPr>
          <w:sz w:val="20"/>
        </w:rPr>
        <w:t xml:space="preserve"> </w:t>
      </w:r>
      <w:r w:rsidR="002B0147" w:rsidRPr="00E77C54">
        <w:rPr>
          <w:sz w:val="20"/>
        </w:rPr>
        <w:t>введен</w:t>
      </w:r>
      <w:r w:rsidR="002B0147">
        <w:rPr>
          <w:sz w:val="20"/>
        </w:rPr>
        <w:t>ы</w:t>
      </w:r>
      <w:r w:rsidR="002B0147" w:rsidRPr="00E77C54">
        <w:rPr>
          <w:sz w:val="20"/>
        </w:rPr>
        <w:t xml:space="preserve"> </w:t>
      </w:r>
      <w:proofErr w:type="spellStart"/>
      <w:r w:rsidR="002B0147" w:rsidRPr="00E77C54">
        <w:rPr>
          <w:sz w:val="20"/>
        </w:rPr>
        <w:t>самоп</w:t>
      </w:r>
      <w:r w:rsidR="002B0147" w:rsidRPr="00E77C54">
        <w:rPr>
          <w:sz w:val="20"/>
        </w:rPr>
        <w:t>о</w:t>
      </w:r>
      <w:r w:rsidR="002B0147" w:rsidRPr="00E77C54">
        <w:rPr>
          <w:sz w:val="20"/>
        </w:rPr>
        <w:t>добны</w:t>
      </w:r>
      <w:r w:rsidR="002B0147">
        <w:rPr>
          <w:sz w:val="20"/>
        </w:rPr>
        <w:t>е</w:t>
      </w:r>
      <w:proofErr w:type="spellEnd"/>
      <w:r w:rsidR="002B0147" w:rsidRPr="00E77C54">
        <w:rPr>
          <w:sz w:val="20"/>
        </w:rPr>
        <w:t xml:space="preserve"> иерархически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рыночны</w:t>
      </w:r>
      <w:r w:rsidR="002B0147">
        <w:rPr>
          <w:sz w:val="20"/>
        </w:rPr>
        <w:t>е</w:t>
      </w:r>
      <w:r w:rsidR="002B0147" w:rsidRPr="00E77C54">
        <w:rPr>
          <w:sz w:val="20"/>
        </w:rPr>
        <w:t xml:space="preserve"> подсистем</w:t>
      </w:r>
      <w:r w:rsidR="002B0147">
        <w:rPr>
          <w:sz w:val="20"/>
        </w:rPr>
        <w:t>ы и</w:t>
      </w:r>
      <w:r w:rsidR="009C78C0" w:rsidRPr="00E77C54">
        <w:rPr>
          <w:sz w:val="20"/>
        </w:rPr>
        <w:t xml:space="preserve"> </w:t>
      </w:r>
      <w:r w:rsidR="00E064AF">
        <w:rPr>
          <w:sz w:val="20"/>
        </w:rPr>
        <w:t>новы</w:t>
      </w:r>
      <w:r w:rsidR="002B0147">
        <w:rPr>
          <w:sz w:val="20"/>
        </w:rPr>
        <w:t>е</w:t>
      </w:r>
      <w:r w:rsidR="00E064AF">
        <w:rPr>
          <w:sz w:val="20"/>
        </w:rPr>
        <w:t xml:space="preserve"> сил</w:t>
      </w:r>
      <w:r w:rsidR="002B0147">
        <w:rPr>
          <w:sz w:val="20"/>
        </w:rPr>
        <w:t>ы конкурентной борьбы –</w:t>
      </w:r>
      <w:r w:rsidR="009C78C0" w:rsidRPr="00E77C54">
        <w:rPr>
          <w:sz w:val="20"/>
        </w:rPr>
        <w:t xml:space="preserve"> </w:t>
      </w:r>
      <w:proofErr w:type="spellStart"/>
      <w:r w:rsidR="009C78C0" w:rsidRPr="00E77C54">
        <w:rPr>
          <w:sz w:val="20"/>
        </w:rPr>
        <w:t>комплементор</w:t>
      </w:r>
      <w:r w:rsidR="002B0147">
        <w:rPr>
          <w:sz w:val="20"/>
        </w:rPr>
        <w:t>ы</w:t>
      </w:r>
      <w:proofErr w:type="spellEnd"/>
      <w:r w:rsidR="002B0147">
        <w:rPr>
          <w:sz w:val="20"/>
        </w:rPr>
        <w:t xml:space="preserve">, </w:t>
      </w:r>
      <w:proofErr w:type="spellStart"/>
      <w:r w:rsidR="002B0147">
        <w:rPr>
          <w:sz w:val="20"/>
        </w:rPr>
        <w:t>инфлюенторы</w:t>
      </w:r>
      <w:proofErr w:type="spellEnd"/>
      <w:r w:rsidR="002B0147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EC2CD9" w:rsidRPr="00EC2CD9">
        <w:rPr>
          <w:sz w:val="20"/>
        </w:rPr>
        <w:t>5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</w:t>
      </w:r>
      <w:r w:rsidR="00170549">
        <w:rPr>
          <w:sz w:val="20"/>
        </w:rPr>
        <w:t xml:space="preserve">автором </w:t>
      </w:r>
      <w:r w:rsidR="009C78C0" w:rsidRPr="00E77C54">
        <w:rPr>
          <w:sz w:val="20"/>
        </w:rPr>
        <w:t>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170549">
        <w:rPr>
          <w:sz w:val="20"/>
        </w:rPr>
        <w:t xml:space="preserve"> –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170549">
        <w:rPr>
          <w:sz w:val="20"/>
        </w:rPr>
        <w:t>:</w:t>
      </w:r>
      <w:r w:rsidR="00E77C54" w:rsidRPr="00E77C54">
        <w:rPr>
          <w:sz w:val="20"/>
        </w:rPr>
        <w:t xml:space="preserve"> н</w:t>
      </w:r>
      <w:r w:rsidR="00E77C54" w:rsidRPr="00E77C54">
        <w:rPr>
          <w:sz w:val="20"/>
        </w:rPr>
        <w:t>а</w:t>
      </w:r>
      <w:r w:rsidR="00E77C54" w:rsidRPr="00E77C54">
        <w:rPr>
          <w:sz w:val="20"/>
        </w:rPr>
        <w:t>уч</w:t>
      </w:r>
      <w:r w:rsidR="00170549">
        <w:rPr>
          <w:sz w:val="20"/>
        </w:rPr>
        <w:t xml:space="preserve">но-техническом, технологическом, </w:t>
      </w:r>
      <w:r w:rsidR="00E77C54" w:rsidRPr="00E77C54">
        <w:rPr>
          <w:sz w:val="20"/>
        </w:rPr>
        <w:t>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</w:t>
      </w:r>
      <w:r w:rsidR="00527F2D" w:rsidRPr="00527F2D">
        <w:rPr>
          <w:sz w:val="20"/>
        </w:rPr>
        <w:t>о</w:t>
      </w:r>
      <w:r w:rsidR="00527F2D" w:rsidRPr="00527F2D">
        <w:rPr>
          <w:sz w:val="20"/>
        </w:rPr>
        <w:t>ектирования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</w:t>
      </w:r>
      <w:r w:rsidR="00527F2D" w:rsidRPr="00527F2D">
        <w:rPr>
          <w:sz w:val="20"/>
        </w:rPr>
        <w:t>е</w:t>
      </w:r>
      <w:r w:rsidR="00527F2D" w:rsidRPr="00527F2D">
        <w:rPr>
          <w:sz w:val="20"/>
        </w:rPr>
        <w:t>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</w:t>
      </w:r>
      <w:r w:rsidR="008F095B">
        <w:rPr>
          <w:sz w:val="20"/>
        </w:rPr>
        <w:t>вычислительный</w:t>
      </w:r>
      <w:r w:rsidR="00E562E7" w:rsidRPr="00527F2D">
        <w:rPr>
          <w:sz w:val="20"/>
        </w:rPr>
        <w:t xml:space="preserve">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>позв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</w:t>
      </w:r>
      <w:r w:rsidR="00170549">
        <w:rPr>
          <w:sz w:val="20"/>
        </w:rPr>
        <w:t>промышленных</w:t>
      </w:r>
      <w:r w:rsidR="00D527DC" w:rsidRPr="00527F2D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</w:t>
      </w:r>
      <w:r w:rsidR="00D527DC" w:rsidRPr="00527F2D">
        <w:rPr>
          <w:sz w:val="20"/>
        </w:rPr>
        <w:t>м</w:t>
      </w:r>
      <w:r w:rsidR="00D527DC" w:rsidRPr="00527F2D">
        <w:rPr>
          <w:sz w:val="20"/>
        </w:rPr>
        <w:t>плекса входит система поддержки принятия решений и модуль автомат</w:t>
      </w:r>
      <w:r w:rsidR="00D527DC" w:rsidRPr="00527F2D">
        <w:rPr>
          <w:sz w:val="20"/>
        </w:rPr>
        <w:t>и</w:t>
      </w:r>
      <w:r w:rsidR="00D527DC" w:rsidRPr="00527F2D">
        <w:rPr>
          <w:sz w:val="20"/>
        </w:rPr>
        <w:t xml:space="preserve">зированного сбора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EC2CD9" w:rsidRPr="00EC2CD9">
        <w:rPr>
          <w:sz w:val="20"/>
        </w:rPr>
        <w:t>5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В результате работы программно-</w:t>
      </w:r>
      <w:r w:rsidR="008F095B">
        <w:rPr>
          <w:sz w:val="20"/>
        </w:rPr>
        <w:t>вычислительного</w:t>
      </w:r>
      <w:r w:rsidRPr="00527F2D">
        <w:rPr>
          <w:sz w:val="20"/>
        </w:rPr>
        <w:t xml:space="preserve">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олучен</w:t>
      </w:r>
      <w:r w:rsidRPr="00527F2D">
        <w:rPr>
          <w:sz w:val="20"/>
        </w:rPr>
        <w:t xml:space="preserve">ы рекомендации по </w:t>
      </w:r>
      <w:r w:rsidR="00170549">
        <w:rPr>
          <w:sz w:val="20"/>
        </w:rPr>
        <w:t xml:space="preserve">повышению конкурентоспособности </w:t>
      </w:r>
      <w:r w:rsidR="00170549" w:rsidRPr="00F70658">
        <w:rPr>
          <w:sz w:val="20"/>
        </w:rPr>
        <w:t>медици</w:t>
      </w:r>
      <w:r w:rsidR="00170549" w:rsidRPr="00F70658">
        <w:rPr>
          <w:sz w:val="20"/>
        </w:rPr>
        <w:t>н</w:t>
      </w:r>
      <w:r w:rsidR="00170549" w:rsidRPr="00F70658">
        <w:rPr>
          <w:sz w:val="20"/>
        </w:rPr>
        <w:t xml:space="preserve">ской информационно-аналитической системы </w:t>
      </w:r>
      <w:proofErr w:type="spellStart"/>
      <w:r w:rsidR="00170549" w:rsidRPr="00F70658">
        <w:rPr>
          <w:sz w:val="20"/>
        </w:rPr>
        <w:t>ЦифроМед</w:t>
      </w:r>
      <w:proofErr w:type="spellEnd"/>
      <w:r w:rsidRPr="00527F2D">
        <w:rPr>
          <w:sz w:val="20"/>
        </w:rPr>
        <w:t xml:space="preserve"> путем </w:t>
      </w:r>
      <w:r w:rsidR="00527F2D" w:rsidRPr="00527F2D">
        <w:rPr>
          <w:sz w:val="20"/>
        </w:rPr>
        <w:t>интегр</w:t>
      </w:r>
      <w:r w:rsidR="00527F2D" w:rsidRPr="00527F2D">
        <w:rPr>
          <w:sz w:val="20"/>
        </w:rPr>
        <w:t>а</w:t>
      </w:r>
      <w:r w:rsidR="00527F2D" w:rsidRPr="00527F2D">
        <w:rPr>
          <w:sz w:val="20"/>
        </w:rPr>
        <w:t>ции</w:t>
      </w:r>
      <w:r w:rsidRPr="00527F2D">
        <w:rPr>
          <w:sz w:val="20"/>
        </w:rPr>
        <w:t xml:space="preserve"> в состав </w:t>
      </w:r>
      <w:r w:rsidR="00170549">
        <w:rPr>
          <w:sz w:val="20"/>
        </w:rPr>
        <w:t xml:space="preserve">системы </w:t>
      </w:r>
      <w:r w:rsidRPr="00527F2D">
        <w:rPr>
          <w:sz w:val="20"/>
        </w:rPr>
        <w:t>модуля сбора и анализа показаний датчиков перви</w:t>
      </w:r>
      <w:r w:rsidRPr="00527F2D">
        <w:rPr>
          <w:sz w:val="20"/>
        </w:rPr>
        <w:t>ч</w:t>
      </w:r>
      <w:r w:rsidRPr="00527F2D">
        <w:rPr>
          <w:sz w:val="20"/>
        </w:rPr>
        <w:t xml:space="preserve">ной информации </w:t>
      </w:r>
      <w:r w:rsidR="00170549">
        <w:rPr>
          <w:sz w:val="20"/>
        </w:rPr>
        <w:t xml:space="preserve">– </w:t>
      </w:r>
      <w:r w:rsidR="00527F2D" w:rsidRPr="00527F2D">
        <w:rPr>
          <w:sz w:val="20"/>
        </w:rPr>
        <w:t xml:space="preserve">носимых устройств микроэлектроники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</w:t>
      </w:r>
      <w:r w:rsidR="00527F2D">
        <w:rPr>
          <w:sz w:val="20"/>
        </w:rPr>
        <w:t>и</w:t>
      </w:r>
      <w:r w:rsidR="00527F2D">
        <w:rPr>
          <w:sz w:val="20"/>
        </w:rPr>
        <w:t>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 xml:space="preserve"> </w:t>
      </w:r>
      <w:r w:rsidR="005D2098" w:rsidRPr="00527F2D">
        <w:rPr>
          <w:sz w:val="20"/>
        </w:rPr>
        <w:t>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EC2CD9" w:rsidRPr="00EC2CD9">
        <w:rPr>
          <w:sz w:val="20"/>
        </w:rPr>
        <w:t>6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8F095B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8F095B">
        <w:rPr>
          <w:i/>
          <w:color w:val="FF0000"/>
          <w:sz w:val="20"/>
        </w:rPr>
        <w:t>Бабенко, Е.А., Ершов Д.М., Клёнов Е.А., Скородумов С.В.</w:t>
      </w:r>
      <w:r w:rsidRPr="008F095B">
        <w:rPr>
          <w:color w:val="FF0000"/>
          <w:sz w:val="20"/>
        </w:rPr>
        <w:t xml:space="preserve"> Инструментарий проектирования стратегии авиастроительной компании // Ж</w:t>
      </w:r>
      <w:r w:rsidR="008E697F" w:rsidRPr="008F095B">
        <w:rPr>
          <w:color w:val="FF0000"/>
          <w:sz w:val="20"/>
        </w:rPr>
        <w:t>урнал</w:t>
      </w:r>
      <w:r w:rsidRPr="008F095B">
        <w:rPr>
          <w:color w:val="FF0000"/>
          <w:sz w:val="20"/>
        </w:rPr>
        <w:t xml:space="preserve"> "</w:t>
      </w:r>
      <w:r w:rsidR="008E697F" w:rsidRPr="008F095B">
        <w:rPr>
          <w:color w:val="FF0000"/>
          <w:sz w:val="20"/>
        </w:rPr>
        <w:t>Инфо</w:t>
      </w:r>
      <w:r w:rsidR="008E697F" w:rsidRPr="008F095B">
        <w:rPr>
          <w:color w:val="FF0000"/>
          <w:sz w:val="20"/>
        </w:rPr>
        <w:t>р</w:t>
      </w:r>
      <w:r w:rsidR="008E697F" w:rsidRPr="008F095B">
        <w:rPr>
          <w:color w:val="FF0000"/>
          <w:sz w:val="20"/>
        </w:rPr>
        <w:t>мационные технологии</w:t>
      </w:r>
      <w:r w:rsidRPr="008F095B">
        <w:rPr>
          <w:color w:val="FF0000"/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90742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F90742" w:rsidRPr="00F90742" w:rsidRDefault="00F90742" w:rsidP="00F90742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90742">
        <w:rPr>
          <w:rFonts w:ascii="Times New Roman" w:hAnsi="Times New Roman"/>
          <w:sz w:val="20"/>
          <w:szCs w:val="28"/>
        </w:rPr>
        <w:t>Моделирование глобальной конкуренции с учетом влияния новых агентов отраслевого рынка</w:t>
      </w:r>
      <w:r w:rsidRPr="00FD67F8">
        <w:rPr>
          <w:rFonts w:ascii="Times New Roman" w:hAnsi="Times New Roman"/>
          <w:sz w:val="20"/>
          <w:szCs w:val="28"/>
        </w:rPr>
        <w:t xml:space="preserve"> // В трудах 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>-ой международной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«Системы проектирования, технологической подготовки произво</w:t>
      </w:r>
      <w:r w:rsidRPr="00FD67F8">
        <w:rPr>
          <w:rFonts w:ascii="Times New Roman" w:hAnsi="Times New Roman"/>
          <w:sz w:val="20"/>
          <w:szCs w:val="28"/>
        </w:rPr>
        <w:t>д</w:t>
      </w:r>
      <w:r w:rsidRPr="00FD67F8">
        <w:rPr>
          <w:rFonts w:ascii="Times New Roman" w:hAnsi="Times New Roman"/>
          <w:sz w:val="20"/>
          <w:szCs w:val="28"/>
        </w:rPr>
        <w:t>ства и управления этапами жизненного цикла промышленного продукта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 xml:space="preserve">)», </w:t>
      </w:r>
      <w:r w:rsidRPr="00F90742">
        <w:rPr>
          <w:rFonts w:ascii="Times New Roman" w:hAnsi="Times New Roman"/>
          <w:sz w:val="20"/>
          <w:szCs w:val="28"/>
        </w:rPr>
        <w:t>17</w:t>
      </w:r>
      <w:r w:rsidRPr="00FD67F8">
        <w:rPr>
          <w:rFonts w:ascii="Times New Roman" w:hAnsi="Times New Roman"/>
          <w:sz w:val="20"/>
          <w:szCs w:val="28"/>
        </w:rPr>
        <w:t>-</w:t>
      </w:r>
      <w:r w:rsidRPr="00F90742">
        <w:rPr>
          <w:rFonts w:ascii="Times New Roman" w:hAnsi="Times New Roman"/>
          <w:sz w:val="20"/>
          <w:szCs w:val="28"/>
        </w:rPr>
        <w:t>19</w:t>
      </w:r>
      <w:r w:rsidRPr="00FD67F8">
        <w:rPr>
          <w:rFonts w:ascii="Times New Roman" w:hAnsi="Times New Roman"/>
          <w:sz w:val="20"/>
          <w:szCs w:val="28"/>
        </w:rPr>
        <w:t xml:space="preserve"> октября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 xml:space="preserve"> года, М.: ООО «Аналитик». – 201</w:t>
      </w:r>
      <w:r w:rsidRPr="00F90742">
        <w:rPr>
          <w:rFonts w:ascii="Times New Roman" w:hAnsi="Times New Roman"/>
          <w:sz w:val="20"/>
          <w:szCs w:val="28"/>
        </w:rPr>
        <w:t>6</w:t>
      </w:r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A3608B" w:rsidRPr="00721F17" w:rsidRDefault="00A3608B" w:rsidP="008D48A5">
      <w:pPr>
        <w:pStyle w:val="af6"/>
        <w:spacing w:before="120"/>
        <w:jc w:val="both"/>
        <w:rPr>
          <w:sz w:val="20"/>
        </w:rPr>
        <w:sectPr w:rsidR="00A3608B" w:rsidRPr="00721F17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F94" w:rsidRDefault="00607F94">
      <w:r>
        <w:separator/>
      </w:r>
    </w:p>
  </w:endnote>
  <w:endnote w:type="continuationSeparator" w:id="0">
    <w:p w:rsidR="00607F94" w:rsidRDefault="00607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4506ED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Pr="00FC16EC" w:rsidRDefault="004506ED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810D0B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D34C18">
      <w:rPr>
        <w:noProof/>
        <w:sz w:val="20"/>
      </w:rPr>
      <w:t>13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F94" w:rsidRDefault="00607F94">
      <w:r>
        <w:separator/>
      </w:r>
    </w:p>
  </w:footnote>
  <w:footnote w:type="continuationSeparator" w:id="0">
    <w:p w:rsidR="00607F94" w:rsidRDefault="00607F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D0B" w:rsidRDefault="004506ED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810D0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0D0B" w:rsidRDefault="00810D0B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833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3B9C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6ED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07F94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5588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1F17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3AD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460E4"/>
    <w:rsid w:val="00951922"/>
    <w:rsid w:val="00951BBC"/>
    <w:rsid w:val="009530AA"/>
    <w:rsid w:val="00953550"/>
    <w:rsid w:val="0095492E"/>
    <w:rsid w:val="00956FA4"/>
    <w:rsid w:val="009627C4"/>
    <w:rsid w:val="00963A0C"/>
    <w:rsid w:val="009642CB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1E46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387B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657E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2628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273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18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2BA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2CD9"/>
    <w:rsid w:val="00EC39BE"/>
    <w:rsid w:val="00EC3D5D"/>
    <w:rsid w:val="00EC4DFF"/>
    <w:rsid w:val="00EC6139"/>
    <w:rsid w:val="00ED0165"/>
    <w:rsid w:val="00ED2646"/>
    <w:rsid w:val="00EE3208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7141</Words>
  <Characters>40706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47752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5</cp:revision>
  <cp:lastPrinted>2016-07-02T13:29:00Z</cp:lastPrinted>
  <dcterms:created xsi:type="dcterms:W3CDTF">2016-12-09T14:17:00Z</dcterms:created>
  <dcterms:modified xsi:type="dcterms:W3CDTF">2016-12-09T14:37:00Z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