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647BC8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47BC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647BC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647BC8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647BC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647BC8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647BC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647BC8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647BC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647BC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647BC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647BC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647BC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647BC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647BC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47BC8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 xml:space="preserve">Клёнов Е.А., </w:t>
      </w: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с.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</w:t>
      </w:r>
      <w:proofErr w:type="spellStart"/>
      <w:r w:rsidRPr="00D75444">
        <w:rPr>
          <w:sz w:val="20"/>
        </w:rPr>
        <w:t>ЦифроМед</w:t>
      </w:r>
      <w:proofErr w:type="spellEnd"/>
      <w:r w:rsidRPr="00D75444">
        <w:rPr>
          <w:sz w:val="20"/>
        </w:rPr>
        <w:t>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D40493" w:rsidRPr="00D40493">
        <w:rPr>
          <w:sz w:val="20"/>
        </w:rPr>
        <w:t>с. 104-115.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с.: </w:t>
      </w:r>
      <w:r w:rsidRPr="00D40493">
        <w:rPr>
          <w:rFonts w:ascii="Times New Roman" w:hAnsi="Times New Roman" w:cs="Times New Roman"/>
          <w:sz w:val="20"/>
          <w:szCs w:val="28"/>
        </w:rPr>
        <w:t>ил</w:t>
      </w:r>
      <w:proofErr w:type="gramStart"/>
      <w:r w:rsidRPr="00D40493">
        <w:rPr>
          <w:rFonts w:ascii="Times New Roman" w:hAnsi="Times New Roman" w:cs="Times New Roman"/>
          <w:sz w:val="20"/>
          <w:szCs w:val="28"/>
        </w:rPr>
        <w:t>.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</w:t>
      </w:r>
      <w:proofErr w:type="gramStart"/>
      <w:r w:rsidR="00D40493" w:rsidRPr="00D40493">
        <w:rPr>
          <w:rFonts w:ascii="Times New Roman" w:hAnsi="Times New Roman" w:cs="Times New Roman"/>
          <w:sz w:val="20"/>
          <w:szCs w:val="28"/>
        </w:rPr>
        <w:t>с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>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lastRenderedPageBreak/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</w:t>
      </w:r>
      <w:proofErr w:type="gramStart"/>
      <w:r w:rsidRPr="00D40493">
        <w:rPr>
          <w:rFonts w:ascii="Times New Roman" w:hAnsi="Times New Roman"/>
          <w:color w:val="00B0F0"/>
          <w:sz w:val="20"/>
          <w:szCs w:val="28"/>
        </w:rPr>
        <w:t>ии аэ</w:t>
      </w:r>
      <w:proofErr w:type="gramEnd"/>
      <w:r w:rsidRPr="00D40493">
        <w:rPr>
          <w:rFonts w:ascii="Times New Roman" w:hAnsi="Times New Roman"/>
          <w:color w:val="00B0F0"/>
          <w:sz w:val="20"/>
          <w:szCs w:val="28"/>
        </w:rPr>
        <w:t>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67317C">
        <w:rPr>
          <w:rFonts w:ascii="Times New Roman" w:hAnsi="Times New Roman"/>
          <w:sz w:val="20"/>
          <w:szCs w:val="28"/>
        </w:rPr>
        <w:t>Competition</w:t>
      </w:r>
      <w:proofErr w:type="spellEnd"/>
      <w:r w:rsidRPr="0067317C">
        <w:rPr>
          <w:rFonts w:ascii="Times New Roman" w:hAnsi="Times New Roman"/>
          <w:sz w:val="20"/>
          <w:szCs w:val="28"/>
        </w:rPr>
        <w:t xml:space="preserve">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Pr="0067317C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</w:rPr>
        <w:t>ЦифроМед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D40493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2C332C">
        <w:rPr>
          <w:rFonts w:ascii="Times New Roman" w:hAnsi="Times New Roman"/>
          <w:sz w:val="20"/>
          <w:szCs w:val="28"/>
        </w:rPr>
        <w:t>Competition</w:t>
      </w:r>
      <w:proofErr w:type="spellEnd"/>
      <w:r w:rsidRPr="002C332C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2C332C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2C332C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D40493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ское моделирование конкуренции в секторе медицинских информацио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ных систем //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Материалы XI Международной конференции по неравнове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с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ным процессам в соплах и струях (</w:t>
      </w:r>
      <w:r w:rsidR="0025745A" w:rsidRPr="00D40493">
        <w:rPr>
          <w:rFonts w:ascii="Times New Roman" w:hAnsi="Times New Roman"/>
          <w:color w:val="00B0F0"/>
          <w:sz w:val="20"/>
          <w:szCs w:val="28"/>
          <w:lang w:val="en-US"/>
        </w:rPr>
        <w:t>NPNJ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D40493">
        <w:rPr>
          <w:rFonts w:ascii="Times New Roman" w:hAnsi="Times New Roman"/>
          <w:color w:val="00B0F0"/>
          <w:sz w:val="20"/>
          <w:szCs w:val="28"/>
        </w:rPr>
        <w:t>.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proofErr w:type="gramStart"/>
      <w:r w:rsidR="002E741D" w:rsidRPr="00D40493">
        <w:rPr>
          <w:rFonts w:ascii="Times New Roman" w:hAnsi="Times New Roman"/>
          <w:color w:val="00B0F0"/>
          <w:sz w:val="20"/>
          <w:szCs w:val="28"/>
        </w:rPr>
        <w:t>с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.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10-13.</w:t>
      </w:r>
    </w:p>
    <w:p w:rsidR="00F90742" w:rsidRPr="00D40493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ренции «Системы проектирования, технологической подготовки произво</w:t>
      </w:r>
      <w:r w:rsidRPr="00D40493">
        <w:rPr>
          <w:rFonts w:ascii="Times New Roman" w:hAnsi="Times New Roman"/>
          <w:color w:val="00B0F0"/>
          <w:sz w:val="20"/>
          <w:szCs w:val="28"/>
        </w:rPr>
        <w:t>д</w:t>
      </w:r>
      <w:r w:rsidRPr="00D40493">
        <w:rPr>
          <w:rFonts w:ascii="Times New Roman" w:hAnsi="Times New Roman"/>
          <w:color w:val="00B0F0"/>
          <w:sz w:val="20"/>
          <w:szCs w:val="28"/>
        </w:rPr>
        <w:t>ства и управления этапами жизненного цикла промышленного продукта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2016)», 17-19 октября 2016 года, М.: ООО «Аналитик». – 2016.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t xml:space="preserve">Величко А.Д., Величко Е.А., Клёнов Е.А., </w:t>
      </w:r>
      <w:proofErr w:type="spellStart"/>
      <w:r w:rsidRPr="00D40493">
        <w:rPr>
          <w:i/>
          <w:color w:val="FF0000"/>
          <w:sz w:val="20"/>
        </w:rPr>
        <w:t>Кухтичев</w:t>
      </w:r>
      <w:proofErr w:type="spellEnd"/>
      <w:r w:rsidRPr="00D40493">
        <w:rPr>
          <w:i/>
          <w:color w:val="FF0000"/>
          <w:sz w:val="20"/>
        </w:rPr>
        <w:t xml:space="preserve">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>венности «</w:t>
      </w:r>
      <w:proofErr w:type="spellStart"/>
      <w:r w:rsidRPr="00D40493">
        <w:rPr>
          <w:color w:val="FF0000"/>
          <w:sz w:val="20"/>
        </w:rPr>
        <w:t>ЦифроМед</w:t>
      </w:r>
      <w:proofErr w:type="spellEnd"/>
      <w:r w:rsidRPr="00D40493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8AA" w:rsidRDefault="007068AA">
      <w:r>
        <w:separator/>
      </w:r>
    </w:p>
  </w:endnote>
  <w:endnote w:type="continuationSeparator" w:id="0">
    <w:p w:rsidR="007068AA" w:rsidRDefault="0070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647BC8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647BC8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F9789E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8AA" w:rsidRDefault="007068AA">
      <w:r>
        <w:separator/>
      </w:r>
    </w:p>
  </w:footnote>
  <w:footnote w:type="continuationSeparator" w:id="0">
    <w:p w:rsidR="007068AA" w:rsidRDefault="00706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647BC8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7154</Words>
  <Characters>40781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2016-07-02T13:29:00Z</cp:lastPrinted>
  <dcterms:created xsi:type="dcterms:W3CDTF">2016-12-16T13:01:00Z</dcterms:created>
  <dcterms:modified xsi:type="dcterms:W3CDTF">2016-12-16T13:01:00Z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