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7B" w:rsidRDefault="00626D98">
      <w:pPr>
        <w:pStyle w:val="af6"/>
        <w:tabs>
          <w:tab w:val="center" w:pos="3062"/>
          <w:tab w:val="right" w:pos="6124"/>
        </w:tabs>
        <w:spacing w:before="480"/>
      </w:pPr>
      <w:r>
        <w:t>Математическое моделирование и инструме</w:t>
      </w:r>
      <w:r>
        <w:t>н</w:t>
      </w:r>
      <w:r>
        <w:t>тарий конкурентного анализа высокотехнол</w:t>
      </w:r>
      <w:r>
        <w:t>о</w:t>
      </w:r>
      <w:r>
        <w:t>гичного бизнеса</w:t>
      </w:r>
      <w:r w:rsidR="00673E7B">
        <w:tab/>
      </w:r>
    </w:p>
    <w:p w:rsidR="00673E7B" w:rsidRPr="00626D98" w:rsidRDefault="00626D98">
      <w:pPr>
        <w:pStyle w:val="aa"/>
        <w:spacing w:after="240"/>
      </w:pPr>
      <w:r>
        <w:t>Е.А. Бабенко, Е.А. Клёнов</w:t>
      </w:r>
      <w:r w:rsidR="00673E7B">
        <w:t>,</w:t>
      </w:r>
      <w:r w:rsidR="00673E7B">
        <w:br/>
        <w:t xml:space="preserve"> </w:t>
      </w:r>
      <w:r>
        <w:t xml:space="preserve">аспиранты, </w:t>
      </w:r>
      <w:r w:rsidRPr="00626D98">
        <w:t xml:space="preserve">dewdroping@gmail.com, </w:t>
      </w:r>
      <w:r w:rsidRPr="00AB446B">
        <w:t>eaklenov</w:t>
      </w:r>
      <w:r w:rsidRPr="00626D98">
        <w:t>@</w:t>
      </w:r>
      <w:r w:rsidRPr="00AB446B">
        <w:t>gmail</w:t>
      </w:r>
      <w:r w:rsidRPr="00626D98">
        <w:t>.</w:t>
      </w:r>
      <w:r w:rsidRPr="00AB446B">
        <w:t>com</w:t>
      </w:r>
      <w:r w:rsidR="00673E7B">
        <w:br/>
      </w:r>
      <w:r>
        <w:t>МАИ, Москва</w:t>
      </w:r>
    </w:p>
    <w:p w:rsidR="00E23016" w:rsidRPr="00E23016" w:rsidRDefault="00E23016">
      <w:pPr>
        <w:rPr>
          <w:sz w:val="18"/>
        </w:rPr>
      </w:pPr>
      <w:r w:rsidRPr="00E23016">
        <w:rPr>
          <w:sz w:val="18"/>
        </w:rPr>
        <w:t>В работе излагается метод</w:t>
      </w:r>
      <w:r w:rsidR="005F0027">
        <w:rPr>
          <w:sz w:val="18"/>
        </w:rPr>
        <w:t>ика</w:t>
      </w:r>
      <w:r w:rsidRPr="00E23016">
        <w:rPr>
          <w:sz w:val="18"/>
        </w:rPr>
        <w:t xml:space="preserve"> </w:t>
      </w:r>
      <w:r w:rsidR="005F0027">
        <w:rPr>
          <w:sz w:val="18"/>
        </w:rPr>
        <w:t>конкурентного анализа</w:t>
      </w:r>
      <w:r w:rsidRPr="00E23016">
        <w:rPr>
          <w:sz w:val="18"/>
        </w:rPr>
        <w:t xml:space="preserve"> высокотехнол</w:t>
      </w:r>
      <w:r w:rsidRPr="00E23016">
        <w:rPr>
          <w:sz w:val="18"/>
        </w:rPr>
        <w:t>о</w:t>
      </w:r>
      <w:r w:rsidRPr="00E23016">
        <w:rPr>
          <w:sz w:val="18"/>
        </w:rPr>
        <w:t>гичного бизнеса, а также предлагается средство решения данной з</w:t>
      </w:r>
      <w:r w:rsidRPr="00E23016">
        <w:rPr>
          <w:sz w:val="18"/>
        </w:rPr>
        <w:t>а</w:t>
      </w:r>
      <w:r w:rsidRPr="00E23016">
        <w:rPr>
          <w:sz w:val="18"/>
        </w:rPr>
        <w:t xml:space="preserve">дачи – программно-вычислительный комплекс (ПВК) </w:t>
      </w:r>
      <w:r w:rsidR="005F0027">
        <w:rPr>
          <w:sz w:val="18"/>
        </w:rPr>
        <w:t>«</w:t>
      </w:r>
      <w:r w:rsidRPr="00E23016">
        <w:rPr>
          <w:b/>
          <w:sz w:val="18"/>
          <w:lang w:val="en-US"/>
        </w:rPr>
        <w:t>Competition</w:t>
      </w:r>
      <w:r w:rsidR="005F0027">
        <w:rPr>
          <w:b/>
          <w:sz w:val="18"/>
        </w:rPr>
        <w:t>»</w:t>
      </w:r>
      <w:r>
        <w:rPr>
          <w:b/>
          <w:sz w:val="18"/>
        </w:rPr>
        <w:t xml:space="preserve"> </w:t>
      </w:r>
      <w:r w:rsidRPr="00E23016">
        <w:rPr>
          <w:sz w:val="18"/>
        </w:rPr>
        <w:t>[</w:t>
      </w:r>
      <w:r>
        <w:rPr>
          <w:sz w:val="18"/>
        </w:rPr>
        <w:t>4</w:t>
      </w:r>
      <w:r w:rsidRPr="00E23016">
        <w:rPr>
          <w:sz w:val="18"/>
        </w:rPr>
        <w:t>], в основе которого лежит принцип математического моделирования анализ</w:t>
      </w:r>
      <w:r w:rsidRPr="00E23016">
        <w:rPr>
          <w:sz w:val="18"/>
        </w:rPr>
        <w:t>и</w:t>
      </w:r>
      <w:r w:rsidRPr="00E23016">
        <w:rPr>
          <w:sz w:val="18"/>
        </w:rPr>
        <w:t xml:space="preserve">руемого сегмента рынка и прогнозирования основных этапов его развития. Область применения ПВК </w:t>
      </w:r>
      <w:r w:rsidR="005F0027">
        <w:rPr>
          <w:sz w:val="18"/>
        </w:rPr>
        <w:t>«</w:t>
      </w:r>
      <w:r w:rsidRPr="00E23016">
        <w:rPr>
          <w:b/>
          <w:sz w:val="18"/>
        </w:rPr>
        <w:t>Competition</w:t>
      </w:r>
      <w:r w:rsidR="005F0027">
        <w:rPr>
          <w:b/>
          <w:sz w:val="18"/>
        </w:rPr>
        <w:t>»</w:t>
      </w:r>
      <w:r w:rsidRPr="00E23016">
        <w:rPr>
          <w:b/>
          <w:sz w:val="18"/>
        </w:rPr>
        <w:t xml:space="preserve"> </w:t>
      </w:r>
      <w:r w:rsidRPr="00E23016">
        <w:rPr>
          <w:sz w:val="18"/>
        </w:rPr>
        <w:t>распространяется на любые рынки олиг</w:t>
      </w:r>
      <w:r w:rsidRPr="00E23016">
        <w:rPr>
          <w:sz w:val="18"/>
        </w:rPr>
        <w:t>о</w:t>
      </w:r>
      <w:r w:rsidRPr="00E23016">
        <w:rPr>
          <w:sz w:val="18"/>
        </w:rPr>
        <w:t>полистического типа</w:t>
      </w:r>
      <w:r w:rsidRPr="00E23016">
        <w:rPr>
          <w:rStyle w:val="ad"/>
          <w:sz w:val="18"/>
        </w:rPr>
        <w:footnoteReference w:id="2"/>
      </w:r>
      <w:r w:rsidRPr="00E23016">
        <w:rPr>
          <w:sz w:val="18"/>
        </w:rPr>
        <w:t>.</w:t>
      </w:r>
    </w:p>
    <w:p w:rsidR="00E23016" w:rsidRDefault="00A8395A">
      <w:pPr>
        <w:rPr>
          <w:sz w:val="18"/>
        </w:rPr>
      </w:pPr>
      <w:r w:rsidRPr="00A8395A">
        <w:rPr>
          <w:sz w:val="18"/>
        </w:rPr>
        <w:t>В ходе исследования реш</w:t>
      </w:r>
      <w:r w:rsidR="00B8108B">
        <w:rPr>
          <w:sz w:val="18"/>
        </w:rPr>
        <w:t>ается</w:t>
      </w:r>
      <w:r w:rsidRPr="00A8395A">
        <w:rPr>
          <w:sz w:val="18"/>
        </w:rPr>
        <w:t xml:space="preserve"> ряд задач, а именно: выбор пула комп</w:t>
      </w:r>
      <w:r w:rsidRPr="00A8395A">
        <w:rPr>
          <w:sz w:val="18"/>
        </w:rPr>
        <w:t>а</w:t>
      </w:r>
      <w:r w:rsidRPr="00A8395A">
        <w:rPr>
          <w:sz w:val="18"/>
        </w:rPr>
        <w:t>ний</w:t>
      </w:r>
      <w:r w:rsidR="00E23016">
        <w:rPr>
          <w:sz w:val="18"/>
        </w:rPr>
        <w:t>-представителей высокотехнологичного бизнеса</w:t>
      </w:r>
      <w:r w:rsidRPr="00A8395A">
        <w:rPr>
          <w:sz w:val="18"/>
        </w:rPr>
        <w:t>, сбор информ</w:t>
      </w:r>
      <w:r w:rsidRPr="00A8395A">
        <w:rPr>
          <w:sz w:val="18"/>
        </w:rPr>
        <w:t>а</w:t>
      </w:r>
      <w:r w:rsidRPr="00A8395A">
        <w:rPr>
          <w:sz w:val="18"/>
        </w:rPr>
        <w:t>ции об их взаимодействии при помощи специальных поисковых роботов (напр</w:t>
      </w:r>
      <w:r>
        <w:rPr>
          <w:sz w:val="18"/>
        </w:rPr>
        <w:t>.</w:t>
      </w:r>
      <w:r w:rsidRPr="00A8395A">
        <w:rPr>
          <w:sz w:val="18"/>
        </w:rPr>
        <w:t xml:space="preserve">, </w:t>
      </w:r>
      <w:proofErr w:type="spellStart"/>
      <w:r w:rsidRPr="00A8395A">
        <w:rPr>
          <w:sz w:val="18"/>
        </w:rPr>
        <w:t>Avalanche</w:t>
      </w:r>
      <w:proofErr w:type="spellEnd"/>
      <w:r>
        <w:rPr>
          <w:rStyle w:val="ad"/>
          <w:sz w:val="18"/>
        </w:rPr>
        <w:footnoteReference w:id="3"/>
      </w:r>
      <w:r w:rsidRPr="00A8395A">
        <w:rPr>
          <w:sz w:val="18"/>
        </w:rPr>
        <w:t>), изучени</w:t>
      </w:r>
      <w:r w:rsidR="005F0027">
        <w:rPr>
          <w:sz w:val="18"/>
        </w:rPr>
        <w:t>е</w:t>
      </w:r>
      <w:r w:rsidRPr="00A8395A">
        <w:rPr>
          <w:sz w:val="18"/>
        </w:rPr>
        <w:t xml:space="preserve"> возможных внешних влияний; анализ конк</w:t>
      </w:r>
      <w:r w:rsidRPr="00A8395A">
        <w:rPr>
          <w:sz w:val="18"/>
        </w:rPr>
        <w:t>у</w:t>
      </w:r>
      <w:r w:rsidRPr="00A8395A">
        <w:rPr>
          <w:sz w:val="18"/>
        </w:rPr>
        <w:t>ренции внутри пула компаний</w:t>
      </w:r>
      <w:r w:rsidR="00E23016">
        <w:rPr>
          <w:sz w:val="18"/>
        </w:rPr>
        <w:t>.</w:t>
      </w:r>
    </w:p>
    <w:p w:rsidR="009C7721" w:rsidRDefault="00E23016">
      <w:pPr>
        <w:rPr>
          <w:sz w:val="18"/>
        </w:rPr>
      </w:pPr>
      <w:r w:rsidRPr="00E23016">
        <w:rPr>
          <w:sz w:val="18"/>
        </w:rPr>
        <w:t>В соответствии с модифицированной моделью конкуренции [</w:t>
      </w:r>
      <w:r>
        <w:rPr>
          <w:sz w:val="18"/>
        </w:rPr>
        <w:t>1</w:t>
      </w:r>
      <w:r w:rsidRPr="00E23016">
        <w:rPr>
          <w:sz w:val="18"/>
        </w:rPr>
        <w:t>] на осн</w:t>
      </w:r>
      <w:r w:rsidRPr="00E23016">
        <w:rPr>
          <w:sz w:val="18"/>
        </w:rPr>
        <w:t>о</w:t>
      </w:r>
      <w:r w:rsidRPr="00E23016">
        <w:rPr>
          <w:sz w:val="18"/>
        </w:rPr>
        <w:t>ве модели М. Портера [</w:t>
      </w:r>
      <w:r>
        <w:rPr>
          <w:sz w:val="18"/>
        </w:rPr>
        <w:t>2</w:t>
      </w:r>
      <w:r w:rsidRPr="00E23016">
        <w:rPr>
          <w:sz w:val="18"/>
        </w:rPr>
        <w:t xml:space="preserve">] </w:t>
      </w:r>
      <w:r w:rsidR="00D25CDE">
        <w:rPr>
          <w:sz w:val="18"/>
        </w:rPr>
        <w:t>пул</w:t>
      </w:r>
      <w:r>
        <w:rPr>
          <w:sz w:val="18"/>
        </w:rPr>
        <w:t xml:space="preserve"> компаний является совокупностью основных игроков рынка, на котором представлено множество агентов. К</w:t>
      </w:r>
      <w:r w:rsidRPr="00E23016">
        <w:rPr>
          <w:sz w:val="18"/>
        </w:rPr>
        <w:t xml:space="preserve"> ним отн</w:t>
      </w:r>
      <w:r w:rsidRPr="00E23016">
        <w:rPr>
          <w:sz w:val="18"/>
        </w:rPr>
        <w:t>о</w:t>
      </w:r>
      <w:r w:rsidRPr="00E23016">
        <w:rPr>
          <w:sz w:val="18"/>
        </w:rPr>
        <w:t>сятся</w:t>
      </w:r>
      <w:r w:rsidR="009C7721">
        <w:rPr>
          <w:sz w:val="18"/>
        </w:rPr>
        <w:t>:</w:t>
      </w:r>
    </w:p>
    <w:p w:rsidR="009C7721" w:rsidRDefault="00E23016" w:rsidP="009C7721">
      <w:pPr>
        <w:pStyle w:val="2"/>
        <w:tabs>
          <w:tab w:val="clear" w:pos="-31680"/>
          <w:tab w:val="num" w:pos="-32767"/>
        </w:tabs>
        <w:rPr>
          <w:sz w:val="18"/>
        </w:rPr>
      </w:pPr>
      <w:r>
        <w:rPr>
          <w:sz w:val="18"/>
        </w:rPr>
        <w:t>основны</w:t>
      </w:r>
      <w:r w:rsidR="009C7721">
        <w:rPr>
          <w:sz w:val="18"/>
        </w:rPr>
        <w:t>е</w:t>
      </w:r>
      <w:r>
        <w:rPr>
          <w:sz w:val="18"/>
        </w:rPr>
        <w:t xml:space="preserve"> игрок</w:t>
      </w:r>
      <w:r w:rsidR="009C7721">
        <w:rPr>
          <w:sz w:val="18"/>
        </w:rPr>
        <w:t>и</w:t>
      </w:r>
      <w:r w:rsidR="00D25CDE">
        <w:rPr>
          <w:sz w:val="18"/>
        </w:rPr>
        <w:t>;</w:t>
      </w:r>
      <w:r>
        <w:rPr>
          <w:sz w:val="18"/>
        </w:rPr>
        <w:t xml:space="preserve"> </w:t>
      </w:r>
    </w:p>
    <w:p w:rsidR="009C7721" w:rsidRDefault="00E23016" w:rsidP="009C7721">
      <w:pPr>
        <w:pStyle w:val="2"/>
        <w:tabs>
          <w:tab w:val="clear" w:pos="-31680"/>
          <w:tab w:val="num" w:pos="-32767"/>
        </w:tabs>
        <w:rPr>
          <w:sz w:val="18"/>
        </w:rPr>
      </w:pPr>
      <w:r w:rsidRPr="00E23016">
        <w:rPr>
          <w:sz w:val="18"/>
        </w:rPr>
        <w:t>п</w:t>
      </w:r>
      <w:r>
        <w:rPr>
          <w:sz w:val="18"/>
        </w:rPr>
        <w:t>оставщики товаров и услуг, взаимодействующие с основными игр</w:t>
      </w:r>
      <w:r>
        <w:rPr>
          <w:sz w:val="18"/>
        </w:rPr>
        <w:t>о</w:t>
      </w:r>
      <w:r>
        <w:rPr>
          <w:sz w:val="18"/>
        </w:rPr>
        <w:t>ка</w:t>
      </w:r>
      <w:r w:rsidR="00D25CDE">
        <w:rPr>
          <w:sz w:val="18"/>
        </w:rPr>
        <w:t>ми;</w:t>
      </w:r>
      <w:r>
        <w:rPr>
          <w:sz w:val="18"/>
        </w:rPr>
        <w:t xml:space="preserve"> </w:t>
      </w:r>
    </w:p>
    <w:p w:rsidR="009C7721" w:rsidRDefault="00D25CDE" w:rsidP="009C7721">
      <w:pPr>
        <w:pStyle w:val="2"/>
        <w:tabs>
          <w:tab w:val="clear" w:pos="-31680"/>
          <w:tab w:val="num" w:pos="-32767"/>
        </w:tabs>
        <w:rPr>
          <w:sz w:val="18"/>
        </w:rPr>
      </w:pPr>
      <w:r>
        <w:rPr>
          <w:sz w:val="18"/>
        </w:rPr>
        <w:t>покупатели;</w:t>
      </w:r>
      <w:r w:rsidR="00E23016">
        <w:rPr>
          <w:sz w:val="18"/>
        </w:rPr>
        <w:t xml:space="preserve"> </w:t>
      </w:r>
    </w:p>
    <w:p w:rsidR="009C7721" w:rsidRDefault="00E23016" w:rsidP="009C7721">
      <w:pPr>
        <w:pStyle w:val="2"/>
        <w:tabs>
          <w:tab w:val="clear" w:pos="-31680"/>
          <w:tab w:val="num" w:pos="-32767"/>
        </w:tabs>
        <w:rPr>
          <w:sz w:val="18"/>
        </w:rPr>
      </w:pPr>
      <w:r>
        <w:rPr>
          <w:sz w:val="18"/>
        </w:rPr>
        <w:t>новые участники рынка</w:t>
      </w:r>
      <w:r w:rsidR="00D25CDE">
        <w:rPr>
          <w:sz w:val="18"/>
        </w:rPr>
        <w:t>;</w:t>
      </w:r>
      <w:r>
        <w:rPr>
          <w:sz w:val="18"/>
        </w:rPr>
        <w:t xml:space="preserve"> </w:t>
      </w:r>
    </w:p>
    <w:p w:rsidR="009C7721" w:rsidRDefault="00E23016" w:rsidP="009C7721">
      <w:pPr>
        <w:pStyle w:val="2"/>
        <w:tabs>
          <w:tab w:val="clear" w:pos="-31680"/>
          <w:tab w:val="num" w:pos="-32767"/>
        </w:tabs>
        <w:rPr>
          <w:sz w:val="18"/>
        </w:rPr>
      </w:pPr>
      <w:r>
        <w:rPr>
          <w:sz w:val="18"/>
        </w:rPr>
        <w:t xml:space="preserve">продукты-заменители </w:t>
      </w:r>
      <w:r w:rsidRPr="00E23016">
        <w:rPr>
          <w:sz w:val="18"/>
        </w:rPr>
        <w:t>(субститу</w:t>
      </w:r>
      <w:r>
        <w:rPr>
          <w:sz w:val="18"/>
        </w:rPr>
        <w:t>ты</w:t>
      </w:r>
      <w:r w:rsidRPr="00E23016">
        <w:rPr>
          <w:sz w:val="18"/>
        </w:rPr>
        <w:t xml:space="preserve">). </w:t>
      </w:r>
    </w:p>
    <w:p w:rsidR="00E23016" w:rsidRDefault="00E23016">
      <w:pPr>
        <w:rPr>
          <w:sz w:val="18"/>
        </w:rPr>
      </w:pPr>
      <w:r w:rsidRPr="00E23016">
        <w:rPr>
          <w:sz w:val="18"/>
        </w:rPr>
        <w:t>Для выработки оптимальной страт</w:t>
      </w:r>
      <w:r w:rsidRPr="00E23016">
        <w:rPr>
          <w:sz w:val="18"/>
        </w:rPr>
        <w:t>е</w:t>
      </w:r>
      <w:r w:rsidRPr="00E23016">
        <w:rPr>
          <w:sz w:val="18"/>
        </w:rPr>
        <w:t>гии компании необходимо учесть не только поз</w:t>
      </w:r>
      <w:r w:rsidRPr="00E23016">
        <w:rPr>
          <w:sz w:val="18"/>
        </w:rPr>
        <w:t>и</w:t>
      </w:r>
      <w:r w:rsidRPr="00E23016">
        <w:rPr>
          <w:sz w:val="18"/>
        </w:rPr>
        <w:t>ции главных соперников, но также рыночную силу покупателей, поставщиков, угрозу появления продуктов-заменителей, а также новых и</w:t>
      </w:r>
      <w:r w:rsidRPr="00E23016">
        <w:rPr>
          <w:sz w:val="18"/>
        </w:rPr>
        <w:t>г</w:t>
      </w:r>
      <w:r w:rsidRPr="00E23016">
        <w:rPr>
          <w:sz w:val="18"/>
        </w:rPr>
        <w:t xml:space="preserve">роков и </w:t>
      </w:r>
      <w:proofErr w:type="spellStart"/>
      <w:r w:rsidRPr="00E23016">
        <w:rPr>
          <w:b/>
          <w:sz w:val="18"/>
        </w:rPr>
        <w:t>комплементоров</w:t>
      </w:r>
      <w:proofErr w:type="spellEnd"/>
      <w:r w:rsidRPr="00E23016">
        <w:rPr>
          <w:sz w:val="18"/>
        </w:rPr>
        <w:t xml:space="preserve"> (участников рынка, потенциально увеличива</w:t>
      </w:r>
      <w:r w:rsidRPr="00E23016">
        <w:rPr>
          <w:sz w:val="18"/>
        </w:rPr>
        <w:t>ю</w:t>
      </w:r>
      <w:r w:rsidRPr="00E23016">
        <w:rPr>
          <w:sz w:val="18"/>
        </w:rPr>
        <w:t xml:space="preserve">щих конкурентоспособность </w:t>
      </w:r>
      <w:r>
        <w:rPr>
          <w:sz w:val="18"/>
        </w:rPr>
        <w:t xml:space="preserve">товаров </w:t>
      </w:r>
      <w:r w:rsidRPr="00E23016">
        <w:rPr>
          <w:sz w:val="18"/>
        </w:rPr>
        <w:t xml:space="preserve">услуг </w:t>
      </w:r>
      <w:r>
        <w:rPr>
          <w:sz w:val="18"/>
        </w:rPr>
        <w:t>представителя конкретного би</w:t>
      </w:r>
      <w:r>
        <w:rPr>
          <w:sz w:val="18"/>
        </w:rPr>
        <w:t>з</w:t>
      </w:r>
      <w:r>
        <w:rPr>
          <w:sz w:val="18"/>
        </w:rPr>
        <w:t>неса</w:t>
      </w:r>
      <w:r w:rsidRPr="00E23016">
        <w:rPr>
          <w:sz w:val="18"/>
        </w:rPr>
        <w:t>).</w:t>
      </w:r>
    </w:p>
    <w:p w:rsidR="00A8395A" w:rsidRPr="00B078D1" w:rsidRDefault="00E23016">
      <w:pPr>
        <w:rPr>
          <w:sz w:val="18"/>
        </w:rPr>
      </w:pPr>
      <w:r w:rsidRPr="00E23016">
        <w:rPr>
          <w:sz w:val="18"/>
        </w:rPr>
        <w:t>Для определения взаимодействий между агентами используе</w:t>
      </w:r>
      <w:r w:rsidR="002159A0">
        <w:rPr>
          <w:sz w:val="18"/>
        </w:rPr>
        <w:t>тся</w:t>
      </w:r>
      <w:r w:rsidRPr="00E23016">
        <w:rPr>
          <w:sz w:val="18"/>
        </w:rPr>
        <w:t xml:space="preserve"> апп</w:t>
      </w:r>
      <w:r w:rsidRPr="00E23016">
        <w:rPr>
          <w:sz w:val="18"/>
        </w:rPr>
        <w:t>а</w:t>
      </w:r>
      <w:r w:rsidRPr="00E23016">
        <w:rPr>
          <w:sz w:val="18"/>
        </w:rPr>
        <w:t>рат теории игр [</w:t>
      </w:r>
      <w:r>
        <w:rPr>
          <w:sz w:val="18"/>
        </w:rPr>
        <w:t>3</w:t>
      </w:r>
      <w:r w:rsidRPr="00E23016">
        <w:rPr>
          <w:sz w:val="18"/>
        </w:rPr>
        <w:t>]. Вначале определяются функции спроса и предлож</w:t>
      </w:r>
      <w:r w:rsidRPr="00E23016">
        <w:rPr>
          <w:sz w:val="18"/>
        </w:rPr>
        <w:t>е</w:t>
      </w:r>
      <w:r w:rsidRPr="00E23016">
        <w:rPr>
          <w:sz w:val="18"/>
        </w:rPr>
        <w:t xml:space="preserve">ния </w:t>
      </w:r>
      <w:r w:rsidRPr="00E23016">
        <w:rPr>
          <w:sz w:val="18"/>
        </w:rPr>
        <w:lastRenderedPageBreak/>
        <w:t>на рынке. Доходы основных участников рынка зависят от стоимости услуг, объема производства, дополнительных затрат. Затем исследуется состо</w:t>
      </w:r>
      <w:r w:rsidRPr="00E23016">
        <w:rPr>
          <w:sz w:val="18"/>
        </w:rPr>
        <w:t>я</w:t>
      </w:r>
      <w:r w:rsidRPr="00E23016">
        <w:rPr>
          <w:sz w:val="18"/>
        </w:rPr>
        <w:t>ние равновесия данной модели – максимум целевой функции при уч</w:t>
      </w:r>
      <w:r w:rsidRPr="00E23016">
        <w:rPr>
          <w:sz w:val="18"/>
        </w:rPr>
        <w:t>е</w:t>
      </w:r>
      <w:r w:rsidRPr="00E23016">
        <w:rPr>
          <w:sz w:val="18"/>
        </w:rPr>
        <w:t>те действий других игроков. Находим оптимальные значения параметров м</w:t>
      </w:r>
      <w:r w:rsidRPr="00E23016">
        <w:rPr>
          <w:sz w:val="18"/>
        </w:rPr>
        <w:t>о</w:t>
      </w:r>
      <w:r w:rsidRPr="00E23016">
        <w:rPr>
          <w:sz w:val="18"/>
        </w:rPr>
        <w:t xml:space="preserve">дели для формирования рекомендаций по выбору </w:t>
      </w:r>
      <w:r w:rsidR="00111CA4">
        <w:rPr>
          <w:sz w:val="18"/>
        </w:rPr>
        <w:t xml:space="preserve">конкурентной </w:t>
      </w:r>
      <w:r w:rsidRPr="00E23016">
        <w:rPr>
          <w:sz w:val="18"/>
        </w:rPr>
        <w:t xml:space="preserve">стратегии фирмы. При этом в разрабатываемой </w:t>
      </w:r>
      <w:proofErr w:type="spellStart"/>
      <w:proofErr w:type="gramStart"/>
      <w:r w:rsidRPr="00E23016">
        <w:rPr>
          <w:sz w:val="18"/>
        </w:rPr>
        <w:t>бизнес-модели</w:t>
      </w:r>
      <w:proofErr w:type="spellEnd"/>
      <w:proofErr w:type="gramEnd"/>
      <w:r w:rsidRPr="00E23016">
        <w:rPr>
          <w:sz w:val="18"/>
        </w:rPr>
        <w:t xml:space="preserve"> учитыва</w:t>
      </w:r>
      <w:r w:rsidR="00111CA4">
        <w:rPr>
          <w:sz w:val="18"/>
        </w:rPr>
        <w:t>ется</w:t>
      </w:r>
      <w:r w:rsidRPr="00E23016">
        <w:rPr>
          <w:sz w:val="18"/>
        </w:rPr>
        <w:t>, что ср</w:t>
      </w:r>
      <w:r w:rsidRPr="00E23016">
        <w:rPr>
          <w:sz w:val="18"/>
        </w:rPr>
        <w:t>е</w:t>
      </w:r>
      <w:r w:rsidRPr="00E23016">
        <w:rPr>
          <w:sz w:val="18"/>
        </w:rPr>
        <w:t>ди поставщиков (а также покупателей, новых участников рынка и субстит</w:t>
      </w:r>
      <w:r w:rsidRPr="00E23016">
        <w:rPr>
          <w:sz w:val="18"/>
        </w:rPr>
        <w:t>у</w:t>
      </w:r>
      <w:r w:rsidRPr="00E23016">
        <w:rPr>
          <w:sz w:val="18"/>
        </w:rPr>
        <w:t xml:space="preserve">тов) тоже </w:t>
      </w:r>
      <w:r w:rsidR="00111CA4">
        <w:rPr>
          <w:sz w:val="18"/>
        </w:rPr>
        <w:t xml:space="preserve">может </w:t>
      </w:r>
      <w:r w:rsidRPr="00E23016">
        <w:rPr>
          <w:sz w:val="18"/>
        </w:rPr>
        <w:t>име</w:t>
      </w:r>
      <w:r w:rsidR="00111CA4">
        <w:rPr>
          <w:sz w:val="18"/>
        </w:rPr>
        <w:t>ть</w:t>
      </w:r>
      <w:r w:rsidRPr="00E23016">
        <w:rPr>
          <w:sz w:val="18"/>
        </w:rPr>
        <w:t xml:space="preserve"> место конкуренция, что говорит о </w:t>
      </w:r>
      <w:proofErr w:type="spellStart"/>
      <w:r w:rsidRPr="00E23016">
        <w:rPr>
          <w:sz w:val="18"/>
        </w:rPr>
        <w:t>самоподобии</w:t>
      </w:r>
      <w:proofErr w:type="spellEnd"/>
      <w:r w:rsidRPr="00E23016">
        <w:rPr>
          <w:sz w:val="18"/>
        </w:rPr>
        <w:t xml:space="preserve"> эл</w:t>
      </w:r>
      <w:r w:rsidRPr="00E23016">
        <w:rPr>
          <w:sz w:val="18"/>
        </w:rPr>
        <w:t>е</w:t>
      </w:r>
      <w:r w:rsidRPr="00E23016">
        <w:rPr>
          <w:sz w:val="18"/>
        </w:rPr>
        <w:t xml:space="preserve">ментов рынка и дает возможность перейти к </w:t>
      </w:r>
      <w:r w:rsidRPr="00E23016">
        <w:rPr>
          <w:b/>
          <w:sz w:val="18"/>
        </w:rPr>
        <w:t>модели глобальной конк</w:t>
      </w:r>
      <w:r w:rsidRPr="00E23016">
        <w:rPr>
          <w:b/>
          <w:sz w:val="18"/>
        </w:rPr>
        <w:t>у</w:t>
      </w:r>
      <w:r w:rsidRPr="00E23016">
        <w:rPr>
          <w:b/>
          <w:sz w:val="18"/>
        </w:rPr>
        <w:t>ренции</w:t>
      </w:r>
      <w:r w:rsidRPr="00E23016">
        <w:rPr>
          <w:sz w:val="18"/>
        </w:rPr>
        <w:t xml:space="preserve"> [</w:t>
      </w:r>
      <w:r>
        <w:rPr>
          <w:sz w:val="18"/>
        </w:rPr>
        <w:t>1</w:t>
      </w:r>
      <w:r w:rsidRPr="00E23016">
        <w:rPr>
          <w:sz w:val="18"/>
        </w:rPr>
        <w:t>].</w:t>
      </w:r>
    </w:p>
    <w:p w:rsidR="00E23016" w:rsidRDefault="00E23016">
      <w:pPr>
        <w:rPr>
          <w:sz w:val="18"/>
        </w:rPr>
      </w:pPr>
      <w:r w:rsidRPr="00E23016">
        <w:rPr>
          <w:sz w:val="18"/>
        </w:rPr>
        <w:t xml:space="preserve">В основе </w:t>
      </w:r>
      <w:r>
        <w:rPr>
          <w:sz w:val="18"/>
        </w:rPr>
        <w:t xml:space="preserve">ПВК </w:t>
      </w:r>
      <w:r w:rsidRPr="00E23016">
        <w:rPr>
          <w:b/>
          <w:sz w:val="18"/>
        </w:rPr>
        <w:t>Competition</w:t>
      </w:r>
      <w:r w:rsidRPr="00E23016">
        <w:rPr>
          <w:sz w:val="18"/>
        </w:rPr>
        <w:t xml:space="preserve"> лежит шаблон проектирования MVC, разд</w:t>
      </w:r>
      <w:r w:rsidRPr="00E23016">
        <w:rPr>
          <w:sz w:val="18"/>
        </w:rPr>
        <w:t>е</w:t>
      </w:r>
      <w:r w:rsidRPr="00E23016">
        <w:rPr>
          <w:sz w:val="18"/>
        </w:rPr>
        <w:t xml:space="preserve">ляющий </w:t>
      </w:r>
      <w:proofErr w:type="gramStart"/>
      <w:r w:rsidRPr="00E23016">
        <w:rPr>
          <w:sz w:val="18"/>
        </w:rPr>
        <w:t>ПО</w:t>
      </w:r>
      <w:proofErr w:type="gramEnd"/>
      <w:r w:rsidRPr="00E23016">
        <w:rPr>
          <w:sz w:val="18"/>
        </w:rPr>
        <w:t xml:space="preserve"> </w:t>
      </w:r>
      <w:proofErr w:type="gramStart"/>
      <w:r w:rsidRPr="00E23016">
        <w:rPr>
          <w:sz w:val="18"/>
        </w:rPr>
        <w:t>на</w:t>
      </w:r>
      <w:proofErr w:type="gramEnd"/>
      <w:r w:rsidRPr="00E23016">
        <w:rPr>
          <w:sz w:val="18"/>
        </w:rPr>
        <w:t xml:space="preserve"> следующие компоненты: база данных (на основе СУБД </w:t>
      </w:r>
      <w:proofErr w:type="spellStart"/>
      <w:r w:rsidRPr="00E23016">
        <w:rPr>
          <w:sz w:val="18"/>
        </w:rPr>
        <w:t>MySQL</w:t>
      </w:r>
      <w:proofErr w:type="spellEnd"/>
      <w:r w:rsidRPr="00E23016">
        <w:rPr>
          <w:sz w:val="18"/>
        </w:rPr>
        <w:t xml:space="preserve">) и набор функций, обеспечивающих связь с ней, формы ввода-вывода данных (HTML5, CSS3, </w:t>
      </w:r>
      <w:proofErr w:type="spellStart"/>
      <w:r w:rsidRPr="00E23016">
        <w:rPr>
          <w:sz w:val="18"/>
        </w:rPr>
        <w:t>JavaScript</w:t>
      </w:r>
      <w:proofErr w:type="spellEnd"/>
      <w:r w:rsidRPr="00E23016">
        <w:rPr>
          <w:sz w:val="18"/>
        </w:rPr>
        <w:t xml:space="preserve">, </w:t>
      </w:r>
      <w:proofErr w:type="spellStart"/>
      <w:r w:rsidRPr="00E23016">
        <w:rPr>
          <w:sz w:val="18"/>
        </w:rPr>
        <w:t>jQuery</w:t>
      </w:r>
      <w:proofErr w:type="spellEnd"/>
      <w:r w:rsidRPr="00E23016">
        <w:rPr>
          <w:sz w:val="18"/>
        </w:rPr>
        <w:t>, AJAX), а также вычисл</w:t>
      </w:r>
      <w:r w:rsidRPr="00E23016">
        <w:rPr>
          <w:sz w:val="18"/>
        </w:rPr>
        <w:t>и</w:t>
      </w:r>
      <w:r w:rsidRPr="00E23016">
        <w:rPr>
          <w:sz w:val="18"/>
        </w:rPr>
        <w:t>тельный модуль (PHP/</w:t>
      </w:r>
      <w:proofErr w:type="spellStart"/>
      <w:r w:rsidRPr="00E23016">
        <w:rPr>
          <w:sz w:val="18"/>
        </w:rPr>
        <w:t>Python</w:t>
      </w:r>
      <w:proofErr w:type="spellEnd"/>
      <w:r w:rsidRPr="00E23016">
        <w:rPr>
          <w:sz w:val="18"/>
        </w:rPr>
        <w:t xml:space="preserve">). Используемые технологии обеспечивают кроссбраузерность приложения, а построение форм </w:t>
      </w:r>
      <w:r w:rsidR="008C7398">
        <w:rPr>
          <w:sz w:val="18"/>
        </w:rPr>
        <w:t xml:space="preserve">пользовательского </w:t>
      </w:r>
      <w:r w:rsidRPr="00E23016">
        <w:rPr>
          <w:sz w:val="18"/>
        </w:rPr>
        <w:t>и</w:t>
      </w:r>
      <w:r w:rsidRPr="00E23016">
        <w:rPr>
          <w:sz w:val="18"/>
        </w:rPr>
        <w:t>н</w:t>
      </w:r>
      <w:r w:rsidRPr="00E23016">
        <w:rPr>
          <w:sz w:val="18"/>
        </w:rPr>
        <w:t>терфейса (GUI) поддерживают возможность глобальной и гибкой настройки выв</w:t>
      </w:r>
      <w:r w:rsidRPr="00E23016">
        <w:rPr>
          <w:sz w:val="18"/>
        </w:rPr>
        <w:t>о</w:t>
      </w:r>
      <w:r w:rsidRPr="00E23016">
        <w:rPr>
          <w:sz w:val="18"/>
        </w:rPr>
        <w:t>димых информационных блоков. Результат работы вычислительного мод</w:t>
      </w:r>
      <w:r w:rsidRPr="00E23016">
        <w:rPr>
          <w:sz w:val="18"/>
        </w:rPr>
        <w:t>у</w:t>
      </w:r>
      <w:r w:rsidRPr="00E23016">
        <w:rPr>
          <w:sz w:val="18"/>
        </w:rPr>
        <w:t xml:space="preserve">ля дает прогноз положения фирм-конкурентов в </w:t>
      </w:r>
      <w:r>
        <w:rPr>
          <w:sz w:val="18"/>
        </w:rPr>
        <w:t>исследуемой области</w:t>
      </w:r>
      <w:r w:rsidRPr="00E23016">
        <w:rPr>
          <w:sz w:val="18"/>
        </w:rPr>
        <w:t>, сравнение основных параметров производства конкурирующих компаний, а также рекомендации для</w:t>
      </w:r>
      <w:r>
        <w:rPr>
          <w:sz w:val="18"/>
        </w:rPr>
        <w:t xml:space="preserve"> лиц, принимающих решения</w:t>
      </w:r>
      <w:r w:rsidRPr="00E23016">
        <w:rPr>
          <w:sz w:val="18"/>
        </w:rPr>
        <w:t xml:space="preserve"> </w:t>
      </w:r>
      <w:r>
        <w:rPr>
          <w:sz w:val="18"/>
        </w:rPr>
        <w:t>(</w:t>
      </w:r>
      <w:r w:rsidRPr="00E23016">
        <w:rPr>
          <w:sz w:val="18"/>
        </w:rPr>
        <w:t>ЛПР</w:t>
      </w:r>
      <w:r>
        <w:rPr>
          <w:sz w:val="18"/>
        </w:rPr>
        <w:t>)</w:t>
      </w:r>
      <w:r w:rsidRPr="00E23016">
        <w:rPr>
          <w:sz w:val="18"/>
        </w:rPr>
        <w:t xml:space="preserve"> при выборе ко</w:t>
      </w:r>
      <w:r w:rsidRPr="00E23016">
        <w:rPr>
          <w:sz w:val="18"/>
        </w:rPr>
        <w:t>н</w:t>
      </w:r>
      <w:r w:rsidRPr="00E23016">
        <w:rPr>
          <w:sz w:val="18"/>
        </w:rPr>
        <w:t>курентной стратегии</w:t>
      </w:r>
      <w:r w:rsidR="008C7398">
        <w:rPr>
          <w:sz w:val="18"/>
        </w:rPr>
        <w:t xml:space="preserve"> компании высокотехнологичного бизнеса</w:t>
      </w:r>
      <w:r w:rsidRPr="00E23016">
        <w:rPr>
          <w:sz w:val="18"/>
        </w:rPr>
        <w:t>.</w:t>
      </w:r>
    </w:p>
    <w:p w:rsidR="00673E7B" w:rsidRDefault="00673E7B">
      <w:pPr>
        <w:pStyle w:val="1"/>
        <w:tabs>
          <w:tab w:val="left" w:pos="1700"/>
        </w:tabs>
        <w:spacing w:before="240" w:after="100"/>
        <w:rPr>
          <w:sz w:val="20"/>
        </w:rPr>
      </w:pPr>
      <w:r>
        <w:rPr>
          <w:sz w:val="20"/>
        </w:rPr>
        <w:t>Литература</w:t>
      </w:r>
    </w:p>
    <w:p w:rsidR="009604BE" w:rsidRDefault="00E23016" w:rsidP="00E23016">
      <w:pPr>
        <w:rPr>
          <w:sz w:val="18"/>
        </w:rPr>
      </w:pPr>
      <w:r>
        <w:rPr>
          <w:sz w:val="18"/>
        </w:rPr>
        <w:t>1</w:t>
      </w:r>
      <w:r w:rsidRPr="00E23016">
        <w:rPr>
          <w:sz w:val="18"/>
        </w:rPr>
        <w:t xml:space="preserve">. Бабенко Е.А. Разработка SaaS-приложения конкурентного анализа в секторе объектов авиационной техники. </w:t>
      </w:r>
      <w:r w:rsidR="009604BE" w:rsidRPr="009604BE">
        <w:rPr>
          <w:sz w:val="18"/>
        </w:rPr>
        <w:t>Журнал «Вестник МАИ» - 2013. - № 1, т. 20 – с. 242-253.</w:t>
      </w:r>
    </w:p>
    <w:p w:rsidR="00E23016" w:rsidRPr="00E23016" w:rsidRDefault="00E23016" w:rsidP="00E23016">
      <w:pPr>
        <w:rPr>
          <w:sz w:val="18"/>
        </w:rPr>
      </w:pPr>
      <w:r>
        <w:rPr>
          <w:sz w:val="18"/>
        </w:rPr>
        <w:t>2</w:t>
      </w:r>
      <w:r w:rsidRPr="00E23016">
        <w:rPr>
          <w:sz w:val="18"/>
        </w:rPr>
        <w:t xml:space="preserve">. Портер М.  Конкуренция. – М.: Издательский дом «Вильямс», 2005. – 608 </w:t>
      </w:r>
      <w:proofErr w:type="gramStart"/>
      <w:r w:rsidRPr="00E23016">
        <w:rPr>
          <w:sz w:val="18"/>
        </w:rPr>
        <w:t>с</w:t>
      </w:r>
      <w:proofErr w:type="gramEnd"/>
      <w:r w:rsidRPr="00E23016">
        <w:rPr>
          <w:sz w:val="18"/>
        </w:rPr>
        <w:t>.</w:t>
      </w:r>
    </w:p>
    <w:p w:rsidR="00E23016" w:rsidRPr="00E23016" w:rsidRDefault="00E23016" w:rsidP="00E23016">
      <w:pPr>
        <w:rPr>
          <w:sz w:val="18"/>
        </w:rPr>
      </w:pPr>
      <w:r>
        <w:rPr>
          <w:sz w:val="18"/>
        </w:rPr>
        <w:t>3</w:t>
      </w:r>
      <w:r w:rsidRPr="00E23016">
        <w:rPr>
          <w:sz w:val="18"/>
        </w:rPr>
        <w:t xml:space="preserve">. Нейман </w:t>
      </w:r>
      <w:proofErr w:type="gramStart"/>
      <w:r w:rsidRPr="00E23016">
        <w:rPr>
          <w:sz w:val="18"/>
        </w:rPr>
        <w:t>Дж</w:t>
      </w:r>
      <w:proofErr w:type="gramEnd"/>
      <w:r w:rsidRPr="00E23016">
        <w:rPr>
          <w:sz w:val="18"/>
        </w:rPr>
        <w:t>. фон,  Моргенштерн О.  Теория игр и экономическое пов</w:t>
      </w:r>
      <w:r w:rsidRPr="00E23016">
        <w:rPr>
          <w:sz w:val="18"/>
        </w:rPr>
        <w:t>е</w:t>
      </w:r>
      <w:r w:rsidRPr="00E23016">
        <w:rPr>
          <w:sz w:val="18"/>
        </w:rPr>
        <w:t>дение. Перев</w:t>
      </w:r>
      <w:proofErr w:type="gramStart"/>
      <w:r w:rsidRPr="00E23016">
        <w:rPr>
          <w:sz w:val="18"/>
        </w:rPr>
        <w:t>.</w:t>
      </w:r>
      <w:proofErr w:type="gramEnd"/>
      <w:r w:rsidRPr="00E23016">
        <w:rPr>
          <w:sz w:val="18"/>
        </w:rPr>
        <w:t xml:space="preserve"> </w:t>
      </w:r>
      <w:proofErr w:type="gramStart"/>
      <w:r w:rsidRPr="00E23016">
        <w:rPr>
          <w:sz w:val="18"/>
        </w:rPr>
        <w:t>с</w:t>
      </w:r>
      <w:proofErr w:type="gramEnd"/>
      <w:r w:rsidRPr="00E23016">
        <w:rPr>
          <w:sz w:val="18"/>
        </w:rPr>
        <w:t xml:space="preserve"> англ.-М.: Наука, 1970.-707 с.  </w:t>
      </w:r>
    </w:p>
    <w:p w:rsidR="00673E7B" w:rsidRPr="00E23016" w:rsidRDefault="00E23016" w:rsidP="00E23016">
      <w:pPr>
        <w:rPr>
          <w:sz w:val="18"/>
        </w:rPr>
      </w:pPr>
      <w:r>
        <w:rPr>
          <w:sz w:val="18"/>
        </w:rPr>
        <w:t>4</w:t>
      </w:r>
      <w:r w:rsidRPr="00E23016">
        <w:rPr>
          <w:sz w:val="18"/>
        </w:rPr>
        <w:t>. Бабенко Е.А., Клёнов Е.А., Ершов Д.М., Скородумов В.С. Свидетел</w:t>
      </w:r>
      <w:r w:rsidRPr="00E23016">
        <w:rPr>
          <w:sz w:val="18"/>
        </w:rPr>
        <w:t>ь</w:t>
      </w:r>
      <w:r w:rsidRPr="00E23016">
        <w:rPr>
          <w:sz w:val="18"/>
        </w:rPr>
        <w:t>ство № 12-416 о регистрации объекта интеллектуальной собственности «Программно-аппаратный комплекс Competition конкурентного анализа се</w:t>
      </w:r>
      <w:r w:rsidRPr="00E23016">
        <w:rPr>
          <w:sz w:val="18"/>
        </w:rPr>
        <w:t>г</w:t>
      </w:r>
      <w:r w:rsidRPr="00E23016">
        <w:rPr>
          <w:sz w:val="18"/>
        </w:rPr>
        <w:t>мента рынка» / Зарегистрирован в Государственном реестре Госстандарта России 25 дек 2012. Москва 2012.</w:t>
      </w:r>
    </w:p>
    <w:sectPr w:rsidR="00673E7B" w:rsidRPr="00E23016" w:rsidSect="00883675">
      <w:footerReference w:type="even" r:id="rId7"/>
      <w:footerReference w:type="default" r:id="rId8"/>
      <w:footnotePr>
        <w:numRestart w:val="eachPage"/>
      </w:footnotePr>
      <w:pgSz w:w="8392" w:h="11907" w:code="11"/>
      <w:pgMar w:top="851" w:right="964" w:bottom="567" w:left="9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A0F" w:rsidRDefault="00343A0F">
      <w:r>
        <w:separator/>
      </w:r>
    </w:p>
  </w:endnote>
  <w:endnote w:type="continuationSeparator" w:id="0">
    <w:p w:rsidR="00343A0F" w:rsidRDefault="0034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170" w:rsidRDefault="00883675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5517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55170" w:rsidRDefault="00855170">
    <w:pPr>
      <w:pStyle w:val="a5"/>
    </w:pPr>
  </w:p>
  <w:p w:rsidR="00855170" w:rsidRDefault="0085517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170" w:rsidRDefault="00883675">
    <w:pPr>
      <w:pStyle w:val="a5"/>
      <w:ind w:firstLine="0"/>
      <w:jc w:val="center"/>
      <w:rPr>
        <w:sz w:val="14"/>
      </w:rPr>
    </w:pPr>
    <w:r>
      <w:rPr>
        <w:rStyle w:val="a4"/>
        <w:rFonts w:ascii="Arial" w:hAnsi="Arial"/>
        <w:sz w:val="14"/>
      </w:rPr>
      <w:fldChar w:fldCharType="begin"/>
    </w:r>
    <w:r w:rsidR="00855170">
      <w:rPr>
        <w:rStyle w:val="a4"/>
        <w:rFonts w:ascii="Arial" w:hAnsi="Arial"/>
        <w:sz w:val="14"/>
      </w:rPr>
      <w:instrText xml:space="preserve"> PAGE </w:instrText>
    </w:r>
    <w:r>
      <w:rPr>
        <w:rStyle w:val="a4"/>
        <w:rFonts w:ascii="Arial" w:hAnsi="Arial"/>
        <w:sz w:val="14"/>
      </w:rPr>
      <w:fldChar w:fldCharType="separate"/>
    </w:r>
    <w:r w:rsidR="00D25CDE">
      <w:rPr>
        <w:rStyle w:val="a4"/>
        <w:rFonts w:ascii="Arial" w:hAnsi="Arial"/>
        <w:noProof/>
        <w:sz w:val="14"/>
      </w:rPr>
      <w:t>2</w:t>
    </w:r>
    <w:r>
      <w:rPr>
        <w:rStyle w:val="a4"/>
        <w:rFonts w:ascii="Arial" w:hAnsi="Arial"/>
        <w:sz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A0F" w:rsidRDefault="00343A0F">
      <w:pPr>
        <w:ind w:firstLine="0"/>
      </w:pPr>
      <w:r>
        <w:separator/>
      </w:r>
    </w:p>
  </w:footnote>
  <w:footnote w:type="continuationSeparator" w:id="0">
    <w:p w:rsidR="00343A0F" w:rsidRDefault="00343A0F">
      <w:pPr>
        <w:ind w:firstLine="0"/>
      </w:pPr>
      <w:r>
        <w:continuationSeparator/>
      </w:r>
    </w:p>
  </w:footnote>
  <w:footnote w:type="continuationNotice" w:id="1">
    <w:p w:rsidR="00343A0F" w:rsidRDefault="00343A0F">
      <w:pPr>
        <w:ind w:firstLine="0"/>
        <w:rPr>
          <w:sz w:val="2"/>
        </w:rPr>
      </w:pPr>
    </w:p>
  </w:footnote>
  <w:footnote w:id="2">
    <w:p w:rsidR="00855170" w:rsidRDefault="00855170" w:rsidP="00E23016">
      <w:pPr>
        <w:pStyle w:val="a9"/>
      </w:pPr>
      <w:r>
        <w:rPr>
          <w:rStyle w:val="ad"/>
        </w:rPr>
        <w:footnoteRef/>
      </w:r>
      <w:r>
        <w:t xml:space="preserve"> Олигополия – тип рыночной структуры конкуренции, в которой доминирует крайне </w:t>
      </w:r>
      <w:r w:rsidR="00320591">
        <w:t xml:space="preserve">небольшое </w:t>
      </w:r>
      <w:r>
        <w:t>количество фирм.</w:t>
      </w:r>
    </w:p>
  </w:footnote>
  <w:footnote w:id="3">
    <w:p w:rsidR="00855170" w:rsidRDefault="00855170" w:rsidP="00A8395A">
      <w:pPr>
        <w:pStyle w:val="a9"/>
      </w:pPr>
      <w:r>
        <w:rPr>
          <w:rStyle w:val="ad"/>
        </w:rPr>
        <w:footnoteRef/>
      </w:r>
      <w:r>
        <w:t xml:space="preserve"> </w:t>
      </w:r>
      <w:proofErr w:type="spellStart"/>
      <w:r w:rsidRPr="00A8395A">
        <w:t>Avalanche</w:t>
      </w:r>
      <w:proofErr w:type="spellEnd"/>
      <w:r w:rsidRPr="00A8395A">
        <w:t xml:space="preserve"> </w:t>
      </w:r>
      <w:r>
        <w:t>–</w:t>
      </w:r>
      <w:r w:rsidRPr="00A8395A">
        <w:t xml:space="preserve"> система </w:t>
      </w:r>
      <w:proofErr w:type="spellStart"/>
      <w:proofErr w:type="gramStart"/>
      <w:r w:rsidRPr="00A8395A">
        <w:t>интернет-мониторинга</w:t>
      </w:r>
      <w:proofErr w:type="spellEnd"/>
      <w:proofErr w:type="gramEnd"/>
      <w:r w:rsidRPr="00A8395A">
        <w:t xml:space="preserve"> и конкурентной разведки. URL: http://www.tora-centre.ru/avl3.htm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71DC"/>
    <w:multiLevelType w:val="hybridMultilevel"/>
    <w:tmpl w:val="C09A823E"/>
    <w:lvl w:ilvl="0" w:tplc="5336B8B4">
      <w:start w:val="1"/>
      <w:numFmt w:val="bullet"/>
      <w:pStyle w:val="2"/>
      <w:lvlText w:val=""/>
      <w:lvlJc w:val="left"/>
      <w:pPr>
        <w:tabs>
          <w:tab w:val="num" w:pos="-31680"/>
        </w:tabs>
        <w:ind w:left="567" w:hanging="283"/>
      </w:pPr>
      <w:rPr>
        <w:rFonts w:ascii="Symbol" w:hAnsi="Symbol" w:hint="default"/>
      </w:rPr>
    </w:lvl>
    <w:lvl w:ilvl="1" w:tplc="415273B8">
      <w:start w:val="1"/>
      <w:numFmt w:val="decimal"/>
      <w:pStyle w:val="a"/>
      <w:lvlText w:val="%2."/>
      <w:lvlJc w:val="left"/>
      <w:pPr>
        <w:tabs>
          <w:tab w:val="num" w:pos="-31680"/>
        </w:tabs>
        <w:ind w:left="340" w:hanging="340"/>
      </w:pPr>
      <w:rPr>
        <w:rFonts w:ascii="Arial" w:hAnsi="Arial" w:hint="default"/>
        <w:b w:val="0"/>
        <w:i w:val="0"/>
        <w:sz w:val="18"/>
        <w:szCs w:val="18"/>
      </w:rPr>
    </w:lvl>
    <w:lvl w:ilvl="2" w:tplc="F6E8DB8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C17C6BF4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8846186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DDACD0E8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7E8AAF2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71CC1D84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AC388E82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autoHyphenation/>
  <w:hyphenationZone w:val="357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numRestart w:val="eachPage"/>
    <w:footnote w:id="-1"/>
    <w:footnote w:id="0"/>
    <w:footnote w:id="1"/>
  </w:footnotePr>
  <w:endnotePr>
    <w:endnote w:id="-1"/>
    <w:endnote w:id="0"/>
  </w:endnotePr>
  <w:compat/>
  <w:rsids>
    <w:rsidRoot w:val="00626D98"/>
    <w:rsid w:val="00111CA4"/>
    <w:rsid w:val="002159A0"/>
    <w:rsid w:val="002F344C"/>
    <w:rsid w:val="00320591"/>
    <w:rsid w:val="00343A0F"/>
    <w:rsid w:val="005006F0"/>
    <w:rsid w:val="005F0027"/>
    <w:rsid w:val="00626D98"/>
    <w:rsid w:val="00673E7B"/>
    <w:rsid w:val="00855170"/>
    <w:rsid w:val="00883675"/>
    <w:rsid w:val="008C7398"/>
    <w:rsid w:val="009604BE"/>
    <w:rsid w:val="009C7721"/>
    <w:rsid w:val="00A8395A"/>
    <w:rsid w:val="00AB446B"/>
    <w:rsid w:val="00AF1E5F"/>
    <w:rsid w:val="00B078D1"/>
    <w:rsid w:val="00B8108B"/>
    <w:rsid w:val="00D25CDE"/>
    <w:rsid w:val="00E23016"/>
    <w:rsid w:val="00F4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3675"/>
    <w:pPr>
      <w:ind w:firstLine="284"/>
      <w:jc w:val="both"/>
    </w:pPr>
    <w:rPr>
      <w:rFonts w:ascii="Arial" w:hAnsi="Arial"/>
      <w:lang w:eastAsia="en-US"/>
    </w:rPr>
  </w:style>
  <w:style w:type="paragraph" w:styleId="1">
    <w:name w:val="heading 1"/>
    <w:next w:val="a0"/>
    <w:qFormat/>
    <w:rsid w:val="00883675"/>
    <w:pPr>
      <w:spacing w:before="360" w:after="120"/>
      <w:jc w:val="center"/>
      <w:outlineLvl w:val="0"/>
    </w:pPr>
    <w:rPr>
      <w:rFonts w:ascii="Arial" w:hAnsi="Arial" w:cs="Arial"/>
      <w:b/>
      <w:w w:val="90"/>
      <w:sz w:val="22"/>
      <w:lang w:eastAsia="en-US"/>
    </w:rPr>
  </w:style>
  <w:style w:type="paragraph" w:styleId="20">
    <w:name w:val="heading 2"/>
    <w:basedOn w:val="a0"/>
    <w:next w:val="a0"/>
    <w:qFormat/>
    <w:rsid w:val="00883675"/>
    <w:pPr>
      <w:keepNext/>
      <w:spacing w:before="240" w:after="120"/>
      <w:ind w:firstLine="0"/>
      <w:jc w:val="left"/>
      <w:outlineLvl w:val="1"/>
    </w:pPr>
    <w:rPr>
      <w:rFonts w:cs="Arial"/>
      <w:b/>
      <w:w w:val="90"/>
      <w:sz w:val="22"/>
    </w:rPr>
  </w:style>
  <w:style w:type="paragraph" w:styleId="3">
    <w:name w:val="heading 3"/>
    <w:basedOn w:val="a0"/>
    <w:next w:val="a0"/>
    <w:qFormat/>
    <w:rsid w:val="00883675"/>
    <w:pPr>
      <w:keepNext/>
      <w:spacing w:before="120" w:after="120"/>
      <w:ind w:firstLine="0"/>
      <w:outlineLvl w:val="2"/>
    </w:pPr>
    <w:rPr>
      <w:rFonts w:cs="Arial"/>
      <w:b/>
      <w:bCs/>
      <w:iCs/>
      <w:w w:val="90"/>
    </w:rPr>
  </w:style>
  <w:style w:type="paragraph" w:styleId="6">
    <w:name w:val="heading 6"/>
    <w:basedOn w:val="a0"/>
    <w:next w:val="a0"/>
    <w:qFormat/>
    <w:rsid w:val="00883675"/>
    <w:pPr>
      <w:keepNext/>
      <w:ind w:firstLine="567"/>
      <w:outlineLvl w:val="5"/>
    </w:pPr>
    <w:rPr>
      <w:rFonts w:ascii="Times New Roman" w:hAnsi="Times New Roman"/>
      <w:b/>
      <w:sz w:val="26"/>
      <w:lang w:val="en-US" w:eastAsia="ru-RU"/>
    </w:rPr>
  </w:style>
  <w:style w:type="paragraph" w:styleId="9">
    <w:name w:val="heading 9"/>
    <w:basedOn w:val="a0"/>
    <w:next w:val="a0"/>
    <w:qFormat/>
    <w:rsid w:val="00883675"/>
    <w:pPr>
      <w:keepNext/>
      <w:ind w:firstLine="0"/>
      <w:outlineLvl w:val="8"/>
    </w:pPr>
    <w:rPr>
      <w:rFonts w:ascii="Times New Roman" w:hAnsi="Times New Roman"/>
      <w:sz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semiHidden/>
    <w:rsid w:val="00883675"/>
    <w:rPr>
      <w:rFonts w:ascii="Georgia" w:hAnsi="Georgia"/>
      <w:spacing w:val="0"/>
      <w:w w:val="100"/>
      <w:sz w:val="16"/>
    </w:rPr>
  </w:style>
  <w:style w:type="paragraph" w:styleId="a5">
    <w:name w:val="footer"/>
    <w:basedOn w:val="a0"/>
    <w:semiHidden/>
    <w:rsid w:val="00883675"/>
    <w:pPr>
      <w:tabs>
        <w:tab w:val="center" w:pos="4677"/>
        <w:tab w:val="right" w:pos="9355"/>
      </w:tabs>
    </w:pPr>
  </w:style>
  <w:style w:type="paragraph" w:styleId="a6">
    <w:name w:val="header"/>
    <w:basedOn w:val="a0"/>
    <w:semiHidden/>
    <w:rsid w:val="00883675"/>
    <w:pPr>
      <w:tabs>
        <w:tab w:val="center" w:pos="4677"/>
        <w:tab w:val="right" w:pos="9355"/>
      </w:tabs>
    </w:pPr>
  </w:style>
  <w:style w:type="paragraph" w:styleId="a7">
    <w:name w:val="Body Text Indent"/>
    <w:basedOn w:val="a0"/>
    <w:semiHidden/>
    <w:rsid w:val="00883675"/>
    <w:pPr>
      <w:ind w:firstLine="567"/>
    </w:pPr>
    <w:rPr>
      <w:rFonts w:ascii="Times New Roman" w:hAnsi="Times New Roman"/>
      <w:sz w:val="26"/>
    </w:rPr>
  </w:style>
  <w:style w:type="paragraph" w:styleId="a8">
    <w:name w:val="Normal (Web)"/>
    <w:basedOn w:val="a0"/>
    <w:rsid w:val="00883675"/>
    <w:pPr>
      <w:spacing w:before="100" w:after="100"/>
      <w:ind w:firstLine="0"/>
    </w:pPr>
    <w:rPr>
      <w:rFonts w:ascii="Times New Roman" w:hAnsi="Times New Roman"/>
      <w:sz w:val="24"/>
    </w:rPr>
  </w:style>
  <w:style w:type="paragraph" w:styleId="a9">
    <w:name w:val="footnote text"/>
    <w:basedOn w:val="a0"/>
    <w:semiHidden/>
    <w:rsid w:val="00883675"/>
    <w:pPr>
      <w:spacing w:before="120"/>
      <w:ind w:firstLine="0"/>
    </w:pPr>
    <w:rPr>
      <w:rFonts w:cs="Arial"/>
      <w:spacing w:val="14"/>
      <w:sz w:val="14"/>
      <w:szCs w:val="14"/>
    </w:rPr>
  </w:style>
  <w:style w:type="paragraph" w:customStyle="1" w:styleId="aa">
    <w:name w:val="Автор"/>
    <w:rsid w:val="00883675"/>
    <w:pPr>
      <w:spacing w:before="240" w:after="480"/>
      <w:jc w:val="right"/>
    </w:pPr>
    <w:rPr>
      <w:rFonts w:ascii="Arial" w:hAnsi="Arial" w:cs="Arial"/>
      <w:i/>
      <w:iCs/>
      <w:sz w:val="18"/>
      <w:lang w:eastAsia="en-US"/>
    </w:rPr>
  </w:style>
  <w:style w:type="paragraph" w:styleId="30">
    <w:name w:val="Body Text Indent 3"/>
    <w:basedOn w:val="a0"/>
    <w:semiHidden/>
    <w:rsid w:val="00883675"/>
    <w:pPr>
      <w:ind w:firstLine="425"/>
    </w:pPr>
    <w:rPr>
      <w:rFonts w:ascii="Times New Roman" w:hAnsi="Times New Roman"/>
      <w:sz w:val="24"/>
    </w:rPr>
  </w:style>
  <w:style w:type="paragraph" w:styleId="ab">
    <w:name w:val="Document Map"/>
    <w:basedOn w:val="a0"/>
    <w:semiHidden/>
    <w:rsid w:val="00883675"/>
    <w:pPr>
      <w:shd w:val="clear" w:color="auto" w:fill="000080"/>
    </w:pPr>
    <w:rPr>
      <w:rFonts w:ascii="Tahoma" w:hAnsi="Tahoma" w:cs="Tahoma"/>
    </w:rPr>
  </w:style>
  <w:style w:type="character" w:styleId="ac">
    <w:name w:val="Hyperlink"/>
    <w:semiHidden/>
    <w:rsid w:val="00883675"/>
    <w:rPr>
      <w:color w:val="0000FF"/>
      <w:u w:val="single"/>
    </w:rPr>
  </w:style>
  <w:style w:type="character" w:styleId="ad">
    <w:name w:val="footnote reference"/>
    <w:semiHidden/>
    <w:rsid w:val="00883675"/>
    <w:rPr>
      <w:vertAlign w:val="superscript"/>
    </w:rPr>
  </w:style>
  <w:style w:type="character" w:styleId="ae">
    <w:name w:val="FollowedHyperlink"/>
    <w:semiHidden/>
    <w:rsid w:val="00883675"/>
    <w:rPr>
      <w:color w:val="800080"/>
      <w:u w:val="single"/>
    </w:rPr>
  </w:style>
  <w:style w:type="paragraph" w:styleId="af">
    <w:name w:val="Body Text"/>
    <w:basedOn w:val="a7"/>
    <w:semiHidden/>
    <w:rsid w:val="00883675"/>
    <w:pPr>
      <w:spacing w:line="220" w:lineRule="exact"/>
      <w:ind w:firstLine="284"/>
    </w:pPr>
    <w:rPr>
      <w:rFonts w:ascii="Arial" w:hAnsi="Arial" w:cs="Arial"/>
      <w:sz w:val="20"/>
    </w:rPr>
  </w:style>
  <w:style w:type="paragraph" w:styleId="af0">
    <w:name w:val="Normal Indent"/>
    <w:basedOn w:val="a0"/>
    <w:semiHidden/>
    <w:rsid w:val="00883675"/>
    <w:pPr>
      <w:ind w:left="720" w:firstLine="0"/>
    </w:pPr>
    <w:rPr>
      <w:lang w:eastAsia="ru-RU"/>
    </w:rPr>
  </w:style>
  <w:style w:type="paragraph" w:styleId="21">
    <w:name w:val="Body Text Indent 2"/>
    <w:basedOn w:val="a0"/>
    <w:semiHidden/>
    <w:rsid w:val="00883675"/>
    <w:pPr>
      <w:ind w:firstLine="720"/>
    </w:pPr>
    <w:rPr>
      <w:rFonts w:ascii="Times New Roman" w:hAnsi="Times New Roman"/>
      <w:sz w:val="24"/>
      <w:szCs w:val="24"/>
      <w:lang w:eastAsia="ru-RU"/>
    </w:rPr>
  </w:style>
  <w:style w:type="paragraph" w:styleId="af1">
    <w:name w:val="Plain Text"/>
    <w:basedOn w:val="a0"/>
    <w:semiHidden/>
    <w:rsid w:val="00883675"/>
    <w:pPr>
      <w:ind w:firstLine="0"/>
    </w:pPr>
    <w:rPr>
      <w:rFonts w:ascii="Courier New" w:hAnsi="Courier New"/>
      <w:lang w:eastAsia="ru-RU"/>
    </w:rPr>
  </w:style>
  <w:style w:type="paragraph" w:styleId="af2">
    <w:name w:val="Title"/>
    <w:basedOn w:val="a0"/>
    <w:qFormat/>
    <w:rsid w:val="00883675"/>
    <w:pPr>
      <w:ind w:firstLine="0"/>
      <w:jc w:val="center"/>
    </w:pPr>
    <w:rPr>
      <w:rFonts w:ascii="Times New Roman" w:hAnsi="Times New Roman"/>
      <w:sz w:val="28"/>
    </w:rPr>
  </w:style>
  <w:style w:type="paragraph" w:styleId="2">
    <w:name w:val="List Bullet 2"/>
    <w:basedOn w:val="a0"/>
    <w:autoRedefine/>
    <w:semiHidden/>
    <w:rsid w:val="00883675"/>
    <w:pPr>
      <w:numPr>
        <w:numId w:val="1"/>
      </w:numPr>
    </w:pPr>
  </w:style>
  <w:style w:type="paragraph" w:styleId="22">
    <w:name w:val="Body Text 2"/>
    <w:basedOn w:val="a0"/>
    <w:semiHidden/>
    <w:rsid w:val="00883675"/>
    <w:pPr>
      <w:tabs>
        <w:tab w:val="left" w:pos="426"/>
      </w:tabs>
      <w:ind w:firstLine="0"/>
    </w:pPr>
    <w:rPr>
      <w:rFonts w:ascii="Times New Roman" w:hAnsi="Times New Roman"/>
      <w:sz w:val="24"/>
    </w:rPr>
  </w:style>
  <w:style w:type="paragraph" w:styleId="af3">
    <w:name w:val="Block Text"/>
    <w:basedOn w:val="a0"/>
    <w:semiHidden/>
    <w:rsid w:val="00883675"/>
    <w:pPr>
      <w:ind w:left="-67" w:right="-72" w:firstLine="49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af4">
    <w:name w:val="Рисунок"/>
    <w:basedOn w:val="a0"/>
    <w:rsid w:val="00883675"/>
    <w:pPr>
      <w:keepNext/>
      <w:spacing w:before="240"/>
      <w:ind w:firstLine="0"/>
      <w:jc w:val="center"/>
    </w:pPr>
  </w:style>
  <w:style w:type="paragraph" w:customStyle="1" w:styleId="af5">
    <w:name w:val="Название рисунка"/>
    <w:basedOn w:val="a0"/>
    <w:rsid w:val="00883675"/>
    <w:pPr>
      <w:spacing w:before="120" w:after="240"/>
      <w:ind w:left="1134" w:right="1134" w:firstLine="0"/>
      <w:jc w:val="center"/>
    </w:pPr>
    <w:rPr>
      <w:sz w:val="18"/>
      <w:szCs w:val="18"/>
    </w:rPr>
  </w:style>
  <w:style w:type="paragraph" w:customStyle="1" w:styleId="af6">
    <w:name w:val="Название доклада"/>
    <w:basedOn w:val="1"/>
    <w:rsid w:val="00883675"/>
    <w:pPr>
      <w:spacing w:before="1440"/>
    </w:pPr>
    <w:rPr>
      <w:sz w:val="30"/>
    </w:rPr>
  </w:style>
  <w:style w:type="paragraph" w:styleId="a">
    <w:name w:val="List Number"/>
    <w:basedOn w:val="a0"/>
    <w:semiHidden/>
    <w:rsid w:val="00883675"/>
    <w:pPr>
      <w:numPr>
        <w:ilvl w:val="1"/>
        <w:numId w:val="1"/>
      </w:numPr>
    </w:pPr>
  </w:style>
  <w:style w:type="paragraph" w:customStyle="1" w:styleId="af7">
    <w:name w:val="Название таблицы"/>
    <w:basedOn w:val="a0"/>
    <w:rsid w:val="00883675"/>
    <w:pPr>
      <w:spacing w:after="120"/>
      <w:ind w:firstLine="0"/>
      <w:jc w:val="center"/>
    </w:pPr>
    <w:rPr>
      <w:b/>
    </w:rPr>
  </w:style>
  <w:style w:type="paragraph" w:customStyle="1" w:styleId="af8">
    <w:name w:val="Номер таблицы"/>
    <w:basedOn w:val="a0"/>
    <w:rsid w:val="00883675"/>
    <w:pPr>
      <w:spacing w:before="240"/>
      <w:ind w:firstLine="0"/>
      <w:jc w:val="right"/>
    </w:pPr>
    <w:rPr>
      <w:b/>
      <w:i/>
      <w:sz w:val="18"/>
    </w:rPr>
  </w:style>
  <w:style w:type="paragraph" w:customStyle="1" w:styleId="af9">
    <w:name w:val="Формула"/>
    <w:basedOn w:val="a0"/>
    <w:rsid w:val="00883675"/>
    <w:pPr>
      <w:tabs>
        <w:tab w:val="center" w:pos="3262"/>
        <w:tab w:val="right" w:pos="6500"/>
      </w:tabs>
      <w:spacing w:before="120" w:after="120"/>
      <w:ind w:firstLine="0"/>
    </w:pPr>
  </w:style>
  <w:style w:type="paragraph" w:styleId="afa">
    <w:name w:val="Balloon Text"/>
    <w:basedOn w:val="a0"/>
    <w:link w:val="afb"/>
    <w:uiPriority w:val="99"/>
    <w:semiHidden/>
    <w:unhideWhenUsed/>
    <w:rsid w:val="00AB446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B446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 тезисов или доклада</vt:lpstr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 тезисов или доклада</dc:title>
  <dc:subject/>
  <dc:creator>n</dc:creator>
  <cp:keywords/>
  <dc:description/>
  <cp:lastModifiedBy>EBessmertnaya</cp:lastModifiedBy>
  <cp:revision>10</cp:revision>
  <cp:lastPrinted>2007-03-22T10:54:00Z</cp:lastPrinted>
  <dcterms:created xsi:type="dcterms:W3CDTF">2013-09-23T13:37:00Z</dcterms:created>
  <dcterms:modified xsi:type="dcterms:W3CDTF">2013-09-23T13:44:00Z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-1898378020</vt:i4>
  </property>
  <property fmtid="{D5CDD505-2E9C-101B-9397-08002B2CF9AE}" pid="3" name="_EmailSubject">
    <vt:lpwstr>Шаблон</vt:lpwstr>
  </property>
  <property fmtid="{D5CDD505-2E9C-101B-9397-08002B2CF9AE}" pid="4" name="_AuthorEmail">
    <vt:lpwstr>max@ipu.ru</vt:lpwstr>
  </property>
  <property fmtid="{D5CDD505-2E9C-101B-9397-08002B2CF9AE}" pid="5" name="_AuthorEmailDisplayName">
    <vt:lpwstr>IPU RAN</vt:lpwstr>
  </property>
  <property fmtid="{D5CDD505-2E9C-101B-9397-08002B2CF9AE}" pid="6" name="_ReviewingToolsShownOnce">
    <vt:lpwstr/>
  </property>
</Properties>
</file>