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3F667C">
        <w:rPr>
          <w:sz w:val="28"/>
        </w:rPr>
        <w:t>2</w:t>
      </w:r>
      <w:r w:rsidR="00DC4969" w:rsidRPr="00DC4969">
        <w:rPr>
          <w:sz w:val="28"/>
        </w:rPr>
        <w:t>–2</w:t>
      </w:r>
      <w:r w:rsidR="003F667C">
        <w:rPr>
          <w:sz w:val="28"/>
        </w:rPr>
        <w:t>4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780A2F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780A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8E4771" w:rsidRPr="00442201" w:rsidRDefault="008E477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442201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</w:t>
      </w:r>
      <w:r w:rsidR="00442201">
        <w:rPr>
          <w:bCs/>
          <w:sz w:val="28"/>
        </w:rPr>
        <w:t>а</w:t>
      </w:r>
      <w:r w:rsidR="00442201">
        <w:rPr>
          <w:bCs/>
          <w:sz w:val="28"/>
        </w:rPr>
        <w:t>ко</w:t>
      </w:r>
      <w:r w:rsidR="00442201" w:rsidRPr="00084C48">
        <w:rPr>
          <w:bCs/>
          <w:sz w:val="28"/>
        </w:rPr>
        <w:t xml:space="preserve"> в дальнейшем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</w:t>
      </w:r>
      <w:r w:rsidR="00442201" w:rsidRPr="00084C48">
        <w:rPr>
          <w:bCs/>
          <w:sz w:val="28"/>
        </w:rPr>
        <w:t>я</w:t>
      </w:r>
      <w:r w:rsidR="00442201" w:rsidRPr="00084C48">
        <w:rPr>
          <w:bCs/>
          <w:sz w:val="28"/>
        </w:rPr>
        <w:t>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конкуренции и выр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ботки стратегии.</w:t>
      </w:r>
      <w:r w:rsidR="00442201">
        <w:rPr>
          <w:bCs/>
          <w:sz w:val="28"/>
        </w:rPr>
        <w:t xml:space="preserve"> К таким идеям о</w:t>
      </w:r>
      <w:r w:rsidR="00442201">
        <w:rPr>
          <w:bCs/>
          <w:sz w:val="28"/>
        </w:rPr>
        <w:t>т</w:t>
      </w:r>
      <w:r w:rsidR="00442201">
        <w:rPr>
          <w:bCs/>
          <w:sz w:val="28"/>
        </w:rPr>
        <w:t xml:space="preserve">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2E443B" w:rsidRDefault="002A68CF" w:rsidP="004F1109">
      <w:pPr>
        <w:pStyle w:val="af6"/>
        <w:ind w:firstLine="720"/>
        <w:jc w:val="both"/>
        <w:rPr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исследуются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0F3D4F" w:rsidRPr="00B706B9">
        <w:rPr>
          <w:bCs/>
          <w:color w:val="FF0000"/>
          <w:sz w:val="28"/>
        </w:rPr>
        <w:t xml:space="preserve">В частности, </w:t>
      </w:r>
      <w:r w:rsidR="000F3D4F" w:rsidRPr="00B706B9">
        <w:rPr>
          <w:color w:val="FF0000"/>
          <w:sz w:val="28"/>
        </w:rPr>
        <w:t>в аэрокосмической отрасли используется модель олигоп</w:t>
      </w:r>
      <w:r w:rsidR="000F3D4F" w:rsidRPr="00B706B9">
        <w:rPr>
          <w:color w:val="FF0000"/>
          <w:sz w:val="28"/>
        </w:rPr>
        <w:t>о</w:t>
      </w:r>
      <w:r w:rsidR="000F3D4F" w:rsidRPr="00B706B9">
        <w:rPr>
          <w:color w:val="FF0000"/>
          <w:sz w:val="28"/>
        </w:rPr>
        <w:t xml:space="preserve">лии </w:t>
      </w:r>
      <w:proofErr w:type="spellStart"/>
      <w:r w:rsidR="000F3D4F" w:rsidRPr="00B706B9">
        <w:rPr>
          <w:color w:val="FF0000"/>
          <w:sz w:val="28"/>
        </w:rPr>
        <w:t>О.Курно</w:t>
      </w:r>
      <w:proofErr w:type="spellEnd"/>
      <w:r w:rsidR="000F3D4F" w:rsidRPr="00B706B9">
        <w:rPr>
          <w:color w:val="FF0000"/>
          <w:sz w:val="28"/>
        </w:rPr>
        <w:t>.</w:t>
      </w:r>
      <w:r w:rsidR="00C3174F" w:rsidRPr="000F3D4F">
        <w:rPr>
          <w:sz w:val="32"/>
          <w:szCs w:val="28"/>
        </w:rPr>
        <w:t xml:space="preserve">           </w:t>
      </w:r>
    </w:p>
    <w:p w:rsidR="00851C16" w:rsidRPr="00423153" w:rsidRDefault="002E4C6D" w:rsidP="004F1109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 xml:space="preserve">, </w:t>
      </w:r>
      <w:r w:rsidR="00155340">
        <w:rPr>
          <w:color w:val="FF0000"/>
          <w:sz w:val="28"/>
          <w:szCs w:val="28"/>
        </w:rPr>
        <w:t xml:space="preserve">где </w:t>
      </w:r>
      <w:proofErr w:type="spellStart"/>
      <w:r w:rsidR="00155340">
        <w:rPr>
          <w:color w:val="FF0000"/>
          <w:sz w:val="28"/>
          <w:szCs w:val="28"/>
        </w:rPr>
        <w:t>c</w:t>
      </w:r>
      <w:proofErr w:type="spellEnd"/>
      <w:r w:rsidR="00155340">
        <w:rPr>
          <w:color w:val="FF0000"/>
          <w:sz w:val="28"/>
          <w:szCs w:val="28"/>
        </w:rPr>
        <w:t xml:space="preserve"> – издержки производителя, </w:t>
      </w:r>
      <w:r w:rsidRPr="00423153">
        <w:rPr>
          <w:color w:val="FF0000"/>
          <w:sz w:val="28"/>
          <w:szCs w:val="28"/>
        </w:rPr>
        <w:t>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функцией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</w:t>
      </w:r>
      <w:r w:rsidR="00C01F92" w:rsidRPr="00423153">
        <w:rPr>
          <w:color w:val="FF0000"/>
          <w:sz w:val="28"/>
        </w:rPr>
        <w:t>ы</w:t>
      </w:r>
      <w:r w:rsidR="00C01F92" w:rsidRPr="00423153">
        <w:rPr>
          <w:color w:val="FF0000"/>
          <w:sz w:val="28"/>
        </w:rPr>
        <w:t>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изменения спроса от изменения цены</w:t>
      </w:r>
      <w:proofErr w:type="gramEnd"/>
      <w:r w:rsidR="00804374" w:rsidRPr="00423153">
        <w:rPr>
          <w:color w:val="FF0000"/>
          <w:sz w:val="28"/>
        </w:rPr>
        <w:t xml:space="preserve">.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4F1109">
      <w:pPr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AB727C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Из условия (</w:t>
      </w:r>
      <w:r w:rsidR="002E4C6D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можно получить зависимость объема предложения ка</w:t>
      </w:r>
      <w:r w:rsidRPr="00423153">
        <w:rPr>
          <w:color w:val="FF0000"/>
          <w:sz w:val="28"/>
        </w:rPr>
        <w:t>ж</w:t>
      </w:r>
      <w:r w:rsidRPr="00423153">
        <w:rPr>
          <w:color w:val="FF0000"/>
          <w:sz w:val="28"/>
        </w:rPr>
        <w:t xml:space="preserve">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lastRenderedPageBreak/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4F1109">
      <w:pPr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4F1109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780A2F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 (</w:t>
      </w:r>
      <w:r w:rsidR="00726D0B" w:rsidRPr="002110E8">
        <w:rPr>
          <w:color w:val="FF0000"/>
          <w:sz w:val="28"/>
        </w:rPr>
        <w:t xml:space="preserve">по модели </w:t>
      </w:r>
      <w:proofErr w:type="spellStart"/>
      <w:r w:rsidR="00F64C6A" w:rsidRPr="002110E8">
        <w:rPr>
          <w:color w:val="FF0000"/>
          <w:sz w:val="28"/>
        </w:rPr>
        <w:t>О.</w:t>
      </w:r>
      <w:r w:rsidR="00726D0B" w:rsidRPr="002110E8">
        <w:rPr>
          <w:color w:val="FF0000"/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</w:t>
      </w:r>
      <w:r w:rsidRPr="002110E8">
        <w:rPr>
          <w:color w:val="FF0000"/>
          <w:sz w:val="28"/>
        </w:rPr>
        <w:t>временной лимит, до</w:t>
      </w:r>
      <w:r w:rsidRPr="002110E8">
        <w:rPr>
          <w:color w:val="FF0000"/>
          <w:sz w:val="28"/>
        </w:rPr>
        <w:t>с</w:t>
      </w:r>
      <w:r w:rsidRPr="002110E8">
        <w:rPr>
          <w:color w:val="FF0000"/>
          <w:sz w:val="28"/>
        </w:rPr>
        <w:t xml:space="preserve">тижение равновесия </w:t>
      </w:r>
      <w:proofErr w:type="spellStart"/>
      <w:r w:rsidRPr="002110E8">
        <w:rPr>
          <w:color w:val="FF0000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B706B9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lastRenderedPageBreak/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 xml:space="preserve">рабатывается высокоуровневая архитектура системы, программные модули, </w:t>
      </w:r>
      <w:r w:rsidR="00101877" w:rsidRPr="00257CC0">
        <w:rPr>
          <w:bCs/>
          <w:color w:val="7030A0"/>
          <w:sz w:val="28"/>
        </w:rPr>
        <w:lastRenderedPageBreak/>
        <w:t>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32E3B">
        <w:rPr>
          <w:sz w:val="28"/>
        </w:rPr>
        <w:t>3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32E3B">
        <w:rPr>
          <w:sz w:val="28"/>
        </w:rPr>
        <w:t>4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lastRenderedPageBreak/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 xml:space="preserve">ждународной конференции «СИСТЕМЫ ПРОЕКТИРОВАНИЯ, </w:t>
      </w:r>
      <w:r w:rsidR="00D54D66">
        <w:rPr>
          <w:rFonts w:ascii="Times New Roman" w:hAnsi="Times New Roman"/>
          <w:sz w:val="28"/>
          <w:szCs w:val="28"/>
        </w:rPr>
        <w:lastRenderedPageBreak/>
        <w:t>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8E4771">
        <w:rPr>
          <w:rFonts w:ascii="Times New Roman" w:hAnsi="Times New Roman"/>
          <w:i/>
          <w:sz w:val="28"/>
          <w:szCs w:val="28"/>
        </w:rPr>
        <w:t xml:space="preserve">Иваново-3 </w:t>
      </w:r>
      <w:r w:rsidRPr="008E4771">
        <w:rPr>
          <w:rFonts w:ascii="Times New Roman" w:hAnsi="Times New Roman"/>
          <w:i/>
          <w:color w:val="FF0000"/>
          <w:sz w:val="28"/>
          <w:szCs w:val="28"/>
        </w:rPr>
        <w:t xml:space="preserve">(3 </w:t>
      </w:r>
      <w:proofErr w:type="spellStart"/>
      <w:r w:rsidRPr="008E4771">
        <w:rPr>
          <w:rFonts w:ascii="Times New Roman" w:hAnsi="Times New Roman"/>
          <w:i/>
          <w:color w:val="FF0000"/>
          <w:sz w:val="28"/>
          <w:szCs w:val="28"/>
        </w:rPr>
        <w:t>конфа</w:t>
      </w:r>
      <w:proofErr w:type="spellEnd"/>
      <w:r w:rsidRPr="008E4771">
        <w:rPr>
          <w:rFonts w:ascii="Times New Roman" w:hAnsi="Times New Roman"/>
          <w:i/>
          <w:color w:val="FF0000"/>
          <w:sz w:val="28"/>
          <w:szCs w:val="28"/>
        </w:rPr>
        <w:t xml:space="preserve"> до 15 июня)</w:t>
      </w:r>
      <w:r w:rsidR="008E4771" w:rsidRPr="008E4771">
        <w:rPr>
          <w:rFonts w:ascii="Times New Roman" w:hAnsi="Times New Roman"/>
          <w:i/>
          <w:color w:val="FF0000"/>
          <w:sz w:val="28"/>
          <w:szCs w:val="28"/>
        </w:rPr>
        <w:t xml:space="preserve"> + Иваново 32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lastRenderedPageBreak/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8C6" w:rsidRDefault="008178C6">
      <w:r>
        <w:separator/>
      </w:r>
    </w:p>
  </w:endnote>
  <w:endnote w:type="continuationSeparator" w:id="0">
    <w:p w:rsidR="008178C6" w:rsidRDefault="00817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8E477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E4771" w:rsidRDefault="008E47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8E4771">
    <w:pPr>
      <w:pStyle w:val="a6"/>
      <w:jc w:val="center"/>
    </w:pPr>
    <w:fldSimple w:instr=" PAGE   \* MERGEFORMAT ">
      <w:r w:rsidR="00584CCE">
        <w:rPr>
          <w:noProof/>
        </w:rPr>
        <w:t>16</w:t>
      </w:r>
    </w:fldSimple>
  </w:p>
  <w:p w:rsidR="008E4771" w:rsidRDefault="008E477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8C6" w:rsidRDefault="008178C6">
      <w:r>
        <w:separator/>
      </w:r>
    </w:p>
  </w:footnote>
  <w:footnote w:type="continuationSeparator" w:id="0">
    <w:p w:rsidR="008178C6" w:rsidRDefault="008178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8E477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E4771" w:rsidRDefault="008E47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38AB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CA5"/>
    <w:rsid w:val="002E443B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5035</Words>
  <Characters>28701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6</cp:revision>
  <cp:lastPrinted>2016-06-16T14:30:00Z</cp:lastPrinted>
  <dcterms:created xsi:type="dcterms:W3CDTF">2016-06-17T08:12:00Z</dcterms:created>
  <dcterms:modified xsi:type="dcterms:W3CDTF">2016-06-20T08:14:00Z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