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</w:t>
      </w:r>
      <w:r w:rsidR="00B57F37" w:rsidRPr="001209DE">
        <w:rPr>
          <w:sz w:val="28"/>
        </w:rPr>
        <w:lastRenderedPageBreak/>
        <w:t xml:space="preserve">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lastRenderedPageBreak/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lastRenderedPageBreak/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lastRenderedPageBreak/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lastRenderedPageBreak/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162047" w:rsidP="00F2578D">
      <w:pPr>
        <w:pStyle w:val="af6"/>
        <w:ind w:firstLine="720"/>
        <w:jc w:val="both"/>
        <w:rPr>
          <w:color w:val="000000" w:themeColor="text1"/>
          <w:sz w:val="28"/>
        </w:rPr>
      </w:pPr>
      <w:r w:rsidRPr="0016204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43.35pt;width:238.5pt;height:.05pt;z-index:251660288" stroked="f">
            <v:textbox style="mso-fit-shape-to-text:t" inset="0,0,0,0">
              <w:txbxContent>
                <w:p w:rsidR="00DF368B" w:rsidRPr="00442201" w:rsidRDefault="00DF368B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 w:rsidR="00442201">
        <w:rPr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1328420</wp:posOffset>
            </wp:positionV>
            <wp:extent cx="3028950" cy="170497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проду</w:t>
      </w:r>
      <w:r w:rsidR="002C59CF">
        <w:rPr>
          <w:sz w:val="28"/>
        </w:rPr>
        <w:t>к</w:t>
      </w:r>
      <w:r w:rsidR="002C59CF">
        <w:rPr>
          <w:sz w:val="28"/>
        </w:rPr>
        <w:t xml:space="preserve">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новых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</w:t>
      </w:r>
      <w:r w:rsidR="002C59CF">
        <w:rPr>
          <w:sz w:val="28"/>
        </w:rPr>
        <w:t>и</w:t>
      </w:r>
      <w:r w:rsidR="002C59CF">
        <w:rPr>
          <w:sz w:val="28"/>
        </w:rPr>
        <w:t>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  <w:r w:rsidR="00442201">
        <w:rPr>
          <w:bCs/>
          <w:sz w:val="28"/>
        </w:rPr>
        <w:t>Одн</w:t>
      </w:r>
      <w:r w:rsidR="00442201">
        <w:rPr>
          <w:bCs/>
          <w:sz w:val="28"/>
        </w:rPr>
        <w:t>а</w:t>
      </w:r>
      <w:r w:rsidR="00442201">
        <w:rPr>
          <w:bCs/>
          <w:sz w:val="28"/>
        </w:rPr>
        <w:t>ко</w:t>
      </w:r>
      <w:r w:rsidR="00442201" w:rsidRPr="00084C48">
        <w:rPr>
          <w:bCs/>
          <w:sz w:val="28"/>
        </w:rPr>
        <w:t xml:space="preserve"> в дальнейшем идеи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>Портера показали свою несосто</w:t>
      </w:r>
      <w:r w:rsidR="00442201" w:rsidRPr="00084C48">
        <w:rPr>
          <w:bCs/>
          <w:sz w:val="28"/>
        </w:rPr>
        <w:t>я</w:t>
      </w:r>
      <w:r w:rsidR="00442201" w:rsidRPr="00084C48">
        <w:rPr>
          <w:bCs/>
          <w:sz w:val="28"/>
        </w:rPr>
        <w:t>тельность, требов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лись новые идеи для анализа конкуренции и выр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ботки стратегии.</w:t>
      </w:r>
      <w:r w:rsidR="00442201">
        <w:rPr>
          <w:bCs/>
          <w:sz w:val="28"/>
        </w:rPr>
        <w:t xml:space="preserve"> К таким идеям о</w:t>
      </w:r>
      <w:r w:rsidR="00442201">
        <w:rPr>
          <w:bCs/>
          <w:sz w:val="28"/>
        </w:rPr>
        <w:t>т</w:t>
      </w:r>
      <w:r w:rsidR="00442201">
        <w:rPr>
          <w:bCs/>
          <w:sz w:val="28"/>
        </w:rPr>
        <w:t xml:space="preserve">носится концепция </w:t>
      </w:r>
      <w:proofErr w:type="spellStart"/>
      <w:r w:rsidR="00442201">
        <w:rPr>
          <w:bCs/>
          <w:sz w:val="28"/>
        </w:rPr>
        <w:t>комплементоров</w:t>
      </w:r>
      <w:proofErr w:type="spellEnd"/>
      <w:r w:rsidR="00442201">
        <w:rPr>
          <w:bCs/>
          <w:sz w:val="28"/>
        </w:rPr>
        <w:t xml:space="preserve">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 xml:space="preserve">, дополняющая кортеж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proofErr w:type="spellStart"/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</w:t>
      </w:r>
      <w:proofErr w:type="spellEnd"/>
      <w:r w:rsidR="00442201">
        <w:rPr>
          <w:bCs/>
          <w:sz w:val="28"/>
        </w:rPr>
        <w:t xml:space="preserve"> и </w:t>
      </w:r>
      <w:proofErr w:type="spellStart"/>
      <w:r w:rsidR="00442201">
        <w:rPr>
          <w:bCs/>
          <w:sz w:val="28"/>
        </w:rPr>
        <w:t>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proofErr w:type="spellEnd"/>
      <w:r w:rsidR="00442201" w:rsidRPr="00AE20B0">
        <w:rPr>
          <w:bCs/>
          <w:sz w:val="28"/>
        </w:rPr>
        <w:t xml:space="preserve">. </w:t>
      </w:r>
      <w:proofErr w:type="spellStart"/>
      <w:r w:rsidR="00442201">
        <w:rPr>
          <w:bCs/>
          <w:sz w:val="28"/>
        </w:rPr>
        <w:t>Комплементоры</w:t>
      </w:r>
      <w:proofErr w:type="spellEnd"/>
      <w:r w:rsidR="00442201"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</w:t>
      </w:r>
      <w:r w:rsidR="00442201">
        <w:rPr>
          <w:bCs/>
          <w:sz w:val="28"/>
        </w:rPr>
        <w:t>ь</w:t>
      </w:r>
      <w:r w:rsidR="00442201">
        <w:rPr>
          <w:bCs/>
          <w:sz w:val="28"/>
        </w:rPr>
        <w:t xml:space="preserve">шают прибыль компании. </w:t>
      </w:r>
      <w:proofErr w:type="spellStart"/>
      <w:r w:rsidR="00442201" w:rsidRPr="00C65FE6">
        <w:rPr>
          <w:color w:val="000000" w:themeColor="text1"/>
          <w:sz w:val="28"/>
        </w:rPr>
        <w:t>Комплементорами</w:t>
      </w:r>
      <w:proofErr w:type="spellEnd"/>
      <w:r w:rsidR="00442201" w:rsidRPr="00C65FE6">
        <w:rPr>
          <w:color w:val="000000" w:themeColor="text1"/>
          <w:sz w:val="28"/>
        </w:rPr>
        <w:t xml:space="preserve"> могут быть как непосредстве</w:t>
      </w:r>
      <w:r w:rsidR="00442201" w:rsidRPr="00C65FE6">
        <w:rPr>
          <w:color w:val="000000" w:themeColor="text1"/>
          <w:sz w:val="28"/>
        </w:rPr>
        <w:t>н</w:t>
      </w:r>
      <w:r w:rsidR="00442201" w:rsidRPr="00C65FE6">
        <w:rPr>
          <w:color w:val="000000" w:themeColor="text1"/>
          <w:sz w:val="28"/>
        </w:rPr>
        <w:t xml:space="preserve">ные конкуренты, так и любые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</w:t>
      </w:r>
      <w:r w:rsidR="00442201" w:rsidRPr="00C65FE6">
        <w:rPr>
          <w:color w:val="000000" w:themeColor="text1"/>
          <w:sz w:val="28"/>
        </w:rPr>
        <w:t>и</w:t>
      </w:r>
      <w:r w:rsidR="00442201" w:rsidRPr="00C65FE6">
        <w:rPr>
          <w:color w:val="000000" w:themeColor="text1"/>
          <w:sz w:val="28"/>
        </w:rPr>
        <w:t>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удовлетворенные потребители, СМИ, социальные сети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 xml:space="preserve">статы как новый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 w:rsidR="00A02F57">
        <w:rPr>
          <w:sz w:val="28"/>
        </w:rPr>
        <w:t xml:space="preserve"> (</w:t>
      </w:r>
      <w:proofErr w:type="spellStart"/>
      <w:r w:rsidR="00A02F57">
        <w:rPr>
          <w:sz w:val="28"/>
          <w:lang w:val="en-US"/>
        </w:rPr>
        <w:t>IoT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– носимые</w:t>
      </w:r>
      <w:r w:rsidR="00A02F57">
        <w:rPr>
          <w:sz w:val="28"/>
        </w:rPr>
        <w:t xml:space="preserve"> (НУМ)</w:t>
      </w:r>
      <w:r>
        <w:rPr>
          <w:sz w:val="28"/>
        </w:rPr>
        <w:t>, вживляемые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ВжУМ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и встраиваемые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ВсУМ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 w:rsidR="00C3174F"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>продукта и его сопровождения на всех этапах жизненного цикла исследуются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Моделирование ко</w:t>
      </w:r>
      <w:r w:rsidR="000F3D4F" w:rsidRPr="003907F8">
        <w:rPr>
          <w:bCs/>
          <w:sz w:val="28"/>
        </w:rPr>
        <w:t>н</w:t>
      </w:r>
      <w:r w:rsidR="000F3D4F" w:rsidRPr="003907F8">
        <w:rPr>
          <w:bCs/>
          <w:sz w:val="28"/>
        </w:rPr>
        <w:t xml:space="preserve">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>Определим математическую модель рынка как совокупность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687278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Тогда получим,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Pr="006872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</w:t>
      </w:r>
      <w:r w:rsidR="004D3B00" w:rsidRPr="004D3B00">
        <w:rPr>
          <w:sz w:val="28"/>
          <w:szCs w:val="28"/>
        </w:rPr>
        <w:t>м</w:t>
      </w:r>
      <w:r w:rsidR="004D3B00" w:rsidRPr="004D3B00">
        <w:rPr>
          <w:sz w:val="28"/>
          <w:szCs w:val="28"/>
        </w:rPr>
        <w:t>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>Р</w:t>
      </w:r>
      <w:r w:rsidR="00514D2D" w:rsidRPr="00514D2D">
        <w:rPr>
          <w:sz w:val="28"/>
        </w:rPr>
        <w:t>ы</w:t>
      </w:r>
      <w:r w:rsidR="00514D2D" w:rsidRPr="00514D2D">
        <w:rPr>
          <w:sz w:val="28"/>
        </w:rPr>
        <w:t xml:space="preserve">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зависимость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514D2D">
        <w:rPr>
          <w:sz w:val="28"/>
          <w:szCs w:val="28"/>
        </w:rPr>
        <w:t xml:space="preserve">                            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w:proofErr w:type="spellStart"/>
      <w:r w:rsidR="00956FA4" w:rsidRPr="00956FA4">
        <w:rPr>
          <w:sz w:val="28"/>
          <w:lang w:val="en-US"/>
        </w:rPr>
        <w:t>i</w:t>
      </w:r>
      <w:proofErr w:type="spellEnd"/>
      <w:r w:rsidR="00956FA4" w:rsidRPr="00956FA4">
        <w:rPr>
          <w:sz w:val="28"/>
        </w:rPr>
        <w:t>-го 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</w:t>
      </w:r>
      <w:r w:rsidR="004B2601" w:rsidRPr="00956FA4">
        <w:rPr>
          <w:sz w:val="28"/>
        </w:rPr>
        <w:t>о</w:t>
      </w:r>
      <w:r w:rsidR="004B2601" w:rsidRPr="00956FA4">
        <w:rPr>
          <w:sz w:val="28"/>
        </w:rPr>
        <w:t>изводной:</w:t>
      </w:r>
    </w:p>
    <w:p w:rsidR="004B2601" w:rsidRPr="00956FA4" w:rsidRDefault="00162047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+m+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4B2601" w:rsidRPr="00956FA4">
        <w:rPr>
          <w:sz w:val="28"/>
          <w:szCs w:val="28"/>
        </w:rPr>
        <w:t xml:space="preserve">  </w:t>
      </w:r>
      <w:r w:rsidR="00001522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 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956FA4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По модели</w:t>
      </w:r>
      <w:r w:rsidR="00AD51E7" w:rsidRPr="00956FA4">
        <w:rPr>
          <w:sz w:val="28"/>
        </w:rPr>
        <w:t xml:space="preserve"> </w:t>
      </w:r>
      <w:proofErr w:type="spellStart"/>
      <w:r w:rsidR="00F64C6A" w:rsidRPr="00956FA4">
        <w:rPr>
          <w:sz w:val="28"/>
        </w:rPr>
        <w:t>О.</w:t>
      </w:r>
      <w:r w:rsidR="00AD51E7" w:rsidRPr="00956FA4">
        <w:rPr>
          <w:sz w:val="28"/>
        </w:rPr>
        <w:t>Курно</w:t>
      </w:r>
      <w:proofErr w:type="spellEnd"/>
      <w:r w:rsidR="00AD51E7" w:rsidRPr="00956FA4">
        <w:rPr>
          <w:sz w:val="28"/>
        </w:rPr>
        <w:t xml:space="preserve"> </w:t>
      </w:r>
      <w:r>
        <w:rPr>
          <w:sz w:val="28"/>
        </w:rPr>
        <w:t>предполагается,</w:t>
      </w:r>
      <w:r w:rsidR="00AD51E7" w:rsidRPr="00956FA4">
        <w:rPr>
          <w:sz w:val="28"/>
        </w:rPr>
        <w:t xml:space="preserve"> что уровень выпуска</w:t>
      </w:r>
      <w:r>
        <w:rPr>
          <w:sz w:val="28"/>
        </w:rPr>
        <w:t>емой проду</w:t>
      </w:r>
      <w:r>
        <w:rPr>
          <w:sz w:val="28"/>
        </w:rPr>
        <w:t>к</w:t>
      </w:r>
      <w:r>
        <w:rPr>
          <w:sz w:val="28"/>
        </w:rPr>
        <w:t>ции</w:t>
      </w:r>
      <w:r w:rsidR="00AD51E7" w:rsidRPr="00956FA4">
        <w:rPr>
          <w:sz w:val="28"/>
        </w:rPr>
        <w:t xml:space="preserve"> </w:t>
      </w:r>
      <w:r>
        <w:rPr>
          <w:sz w:val="28"/>
        </w:rPr>
        <w:t>компании</w:t>
      </w:r>
      <w:r w:rsidR="00AD51E7" w:rsidRPr="00956FA4">
        <w:rPr>
          <w:sz w:val="28"/>
        </w:rPr>
        <w:t xml:space="preserve"> не зависит от уровней </w:t>
      </w:r>
      <w:r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</w:t>
      </w:r>
      <w:r w:rsidR="00AD51E7" w:rsidRPr="00956FA4">
        <w:rPr>
          <w:sz w:val="28"/>
        </w:rPr>
        <w:t>о</w:t>
      </w:r>
      <w:r w:rsidR="00AD51E7" w:rsidRPr="00956FA4">
        <w:rPr>
          <w:sz w:val="28"/>
        </w:rPr>
        <w:t>ответственно, предполагаемые вариации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>принимаются равными нулю</w:t>
      </w:r>
      <w:proofErr w:type="gramStart"/>
      <w:r w:rsidR="00AD51E7" w:rsidRPr="00956FA4">
        <w:rPr>
          <w:sz w:val="28"/>
        </w:rPr>
        <w:t>.</w:t>
      </w:r>
      <w:proofErr w:type="gramEnd"/>
      <w:r w:rsidR="00AD51E7" w:rsidRPr="00956FA4">
        <w:rPr>
          <w:sz w:val="28"/>
        </w:rPr>
        <w:t xml:space="preserve"> </w:t>
      </w:r>
      <w:r w:rsidRPr="00956FA4">
        <w:rPr>
          <w:sz w:val="28"/>
        </w:rPr>
        <w:t>Т</w:t>
      </w:r>
      <w:r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>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162047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E9147D">
        <w:rPr>
          <w:sz w:val="28"/>
          <w:szCs w:val="28"/>
        </w:rPr>
        <w:t xml:space="preserve">    </w:t>
      </w:r>
      <w:r w:rsidR="00AD51E7" w:rsidRPr="00956FA4">
        <w:rPr>
          <w:sz w:val="28"/>
          <w:szCs w:val="28"/>
        </w:rPr>
        <w:t xml:space="preserve">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AD51E7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lastRenderedPageBreak/>
        <w:t>Тогда условие (</w:t>
      </w:r>
      <w:r w:rsidR="00001522" w:rsidRPr="00956FA4">
        <w:rPr>
          <w:sz w:val="28"/>
        </w:rPr>
        <w:t>3</w:t>
      </w:r>
      <w:r w:rsidRPr="00956FA4">
        <w:rPr>
          <w:sz w:val="28"/>
        </w:rPr>
        <w:t>) принимает вид</w:t>
      </w:r>
      <w:r w:rsidR="00CE127B" w:rsidRPr="00956FA4">
        <w:rPr>
          <w:sz w:val="28"/>
        </w:rPr>
        <w:t>:</w:t>
      </w:r>
    </w:p>
    <w:p w:rsidR="00CB335A" w:rsidRPr="00956FA4" w:rsidRDefault="00162047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001522" w:rsidRPr="00956FA4">
        <w:rPr>
          <w:sz w:val="28"/>
          <w:szCs w:val="28"/>
        </w:rPr>
        <w:t xml:space="preserve"> </w:t>
      </w:r>
      <w:r w:rsidR="006C4C75" w:rsidRPr="00956FA4">
        <w:rPr>
          <w:sz w:val="28"/>
          <w:szCs w:val="28"/>
        </w:rPr>
        <w:t xml:space="preserve"> 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7C5764" w:rsidRPr="00053172">
        <w:rPr>
          <w:sz w:val="28"/>
          <w:szCs w:val="28"/>
        </w:rPr>
        <w:t xml:space="preserve">  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Конкуренция в отрасли представляется как гиперкомплексная динам</w:t>
      </w:r>
      <w:r>
        <w:rPr>
          <w:sz w:val="28"/>
        </w:rPr>
        <w:t>и</w:t>
      </w:r>
      <w:r>
        <w:rPr>
          <w:sz w:val="28"/>
        </w:rPr>
        <w:t xml:space="preserve">ческая система (ГДС) и </w:t>
      </w:r>
      <w:r w:rsidRPr="00053172">
        <w:rPr>
          <w:sz w:val="28"/>
        </w:rPr>
        <w:t>представляет собой 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 xml:space="preserve">, а ребрами – взаимосвязи между ними. Ресурсами, перемещаемыми во времени по ребрам, являются финансовые средства, комплектующие 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726D0B" w:rsidRDefault="00E56703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E56703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2E4C6D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 xml:space="preserve">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основными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</w:t>
      </w:r>
      <w:r w:rsidR="00EA19F8">
        <w:rPr>
          <w:color w:val="000000" w:themeColor="text1"/>
          <w:sz w:val="28"/>
        </w:rPr>
        <w:t>рыночного</w:t>
      </w:r>
      <w:r>
        <w:rPr>
          <w:color w:val="000000" w:themeColor="text1"/>
          <w:sz w:val="28"/>
        </w:rPr>
        <w:t>.</w:t>
      </w:r>
    </w:p>
    <w:p w:rsidR="00D54D66" w:rsidRPr="00795E16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A92426" w:rsidRPr="00795E16">
        <w:rPr>
          <w:bCs/>
          <w:sz w:val="28"/>
        </w:rPr>
        <w:t>исследуется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795E16" w:rsidRPr="00795E16">
        <w:rPr>
          <w:bCs/>
          <w:sz w:val="28"/>
        </w:rPr>
        <w:t xml:space="preserve"> и решается задача конк</w:t>
      </w:r>
      <w:r w:rsidR="00795E16" w:rsidRPr="00795E16">
        <w:rPr>
          <w:bCs/>
          <w:sz w:val="28"/>
        </w:rPr>
        <w:t>у</w:t>
      </w:r>
      <w:r w:rsidR="00795E16" w:rsidRPr="00795E16">
        <w:rPr>
          <w:bCs/>
          <w:sz w:val="28"/>
        </w:rPr>
        <w:t>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математическая модель выбора оптимальной стратегии, приводятся три модификации </w:t>
      </w:r>
      <w:proofErr w:type="spellStart"/>
      <w:r w:rsidR="00A92426" w:rsidRPr="00795E16">
        <w:rPr>
          <w:bCs/>
          <w:sz w:val="28"/>
        </w:rPr>
        <w:t>аген</w:t>
      </w:r>
      <w:r w:rsidR="00A92426" w:rsidRPr="00795E16">
        <w:rPr>
          <w:bCs/>
          <w:sz w:val="28"/>
        </w:rPr>
        <w:t>т</w:t>
      </w:r>
      <w:r w:rsidR="00A92426" w:rsidRPr="00795E16">
        <w:rPr>
          <w:bCs/>
          <w:sz w:val="28"/>
        </w:rPr>
        <w:t>ной</w:t>
      </w:r>
      <w:proofErr w:type="spellEnd"/>
      <w:r w:rsidR="00A92426" w:rsidRPr="00795E16">
        <w:rPr>
          <w:bCs/>
          <w:sz w:val="28"/>
        </w:rPr>
        <w:t xml:space="preserve"> модели конкурентного анализа </w:t>
      </w:r>
      <w:r w:rsidR="00795E16" w:rsidRPr="00795E16">
        <w:rPr>
          <w:bCs/>
          <w:sz w:val="28"/>
        </w:rPr>
        <w:t>(</w:t>
      </w:r>
      <w:proofErr w:type="spellStart"/>
      <w:r w:rsidR="00A92426" w:rsidRPr="00795E16">
        <w:rPr>
          <w:bCs/>
          <w:sz w:val="28"/>
        </w:rPr>
        <w:t>комплементоры</w:t>
      </w:r>
      <w:proofErr w:type="spellEnd"/>
      <w:r w:rsidR="00A92426" w:rsidRPr="00795E16">
        <w:rPr>
          <w:bCs/>
          <w:sz w:val="28"/>
        </w:rPr>
        <w:t>, глобальная конкуренция и жизненные циклы</w:t>
      </w:r>
      <w:r w:rsidR="00795E16"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теоретико-игровая модель глобальной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продукта для достижения конкурентных преимуществ, исследуется перспектива и</w:t>
      </w:r>
      <w:r w:rsidR="00A92426" w:rsidRPr="00795E16">
        <w:rPr>
          <w:bCs/>
          <w:sz w:val="28"/>
        </w:rPr>
        <w:t>с</w:t>
      </w:r>
      <w:r w:rsidR="00A92426" w:rsidRPr="00795E16">
        <w:rPr>
          <w:bCs/>
          <w:sz w:val="28"/>
        </w:rPr>
        <w:t>пользования экспертных оценок для получения новых показателей качества продукта.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6944D9">
        <w:rPr>
          <w:bCs/>
          <w:color w:val="FF0000"/>
          <w:sz w:val="28"/>
        </w:rPr>
        <w:t>http://lab18.ipu.ru/projects/conf2013/3/10.htm</w:t>
      </w:r>
    </w:p>
    <w:p w:rsidR="00281744" w:rsidRPr="00281744" w:rsidRDefault="00281744" w:rsidP="00FC5611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257675" cy="2940308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lastRenderedPageBreak/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proofErr w:type="gramStart"/>
      <w:r w:rsidR="00D527DC" w:rsidRPr="00E26EC7">
        <w:rPr>
          <w:sz w:val="28"/>
        </w:rPr>
        <w:t>лицам</w:t>
      </w:r>
      <w:proofErr w:type="gramEnd"/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приложения конкурентного анализа сектора беспилотных летательных аппаратов // В трудах 11-ой </w:t>
      </w:r>
      <w:r>
        <w:rPr>
          <w:rFonts w:ascii="Times New Roman" w:hAnsi="Times New Roman"/>
          <w:sz w:val="28"/>
          <w:szCs w:val="28"/>
        </w:rPr>
        <w:lastRenderedPageBreak/>
        <w:t>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lastRenderedPageBreak/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4963A5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C4969" w:rsidRPr="004963A5" w:rsidRDefault="004963A5" w:rsidP="004963A5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9"/>
      <w:footerReference w:type="even" r:id="rId10"/>
      <w:footerReference w:type="default" r:id="rId11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F42" w:rsidRDefault="00F03F42">
      <w:r>
        <w:separator/>
      </w:r>
    </w:p>
  </w:endnote>
  <w:endnote w:type="continuationSeparator" w:id="0">
    <w:p w:rsidR="00F03F42" w:rsidRDefault="00F03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68B" w:rsidRDefault="00DF368B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F368B" w:rsidRDefault="00DF368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68B" w:rsidRDefault="00DF368B">
    <w:pPr>
      <w:pStyle w:val="a6"/>
      <w:jc w:val="center"/>
    </w:pPr>
    <w:fldSimple w:instr=" PAGE   \* MERGEFORMAT ">
      <w:r w:rsidR="00053172">
        <w:rPr>
          <w:noProof/>
        </w:rPr>
        <w:t>11</w:t>
      </w:r>
    </w:fldSimple>
  </w:p>
  <w:p w:rsidR="00DF368B" w:rsidRDefault="00DF368B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F42" w:rsidRDefault="00F03F42">
      <w:r>
        <w:separator/>
      </w:r>
    </w:p>
  </w:footnote>
  <w:footnote w:type="continuationSeparator" w:id="0">
    <w:p w:rsidR="00F03F42" w:rsidRDefault="00F03F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68B" w:rsidRDefault="00DF368B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F368B" w:rsidRDefault="00DF368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9709D8"/>
    <w:multiLevelType w:val="multilevel"/>
    <w:tmpl w:val="D46CC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4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6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7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0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1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19"/>
  </w:num>
  <w:num w:numId="5">
    <w:abstractNumId w:val="20"/>
  </w:num>
  <w:num w:numId="6">
    <w:abstractNumId w:val="0"/>
  </w:num>
  <w:num w:numId="7">
    <w:abstractNumId w:val="30"/>
  </w:num>
  <w:num w:numId="8">
    <w:abstractNumId w:val="13"/>
  </w:num>
  <w:num w:numId="9">
    <w:abstractNumId w:val="41"/>
  </w:num>
  <w:num w:numId="10">
    <w:abstractNumId w:val="16"/>
  </w:num>
  <w:num w:numId="11">
    <w:abstractNumId w:val="39"/>
  </w:num>
  <w:num w:numId="12">
    <w:abstractNumId w:val="38"/>
  </w:num>
  <w:num w:numId="13">
    <w:abstractNumId w:val="23"/>
  </w:num>
  <w:num w:numId="14">
    <w:abstractNumId w:val="37"/>
  </w:num>
  <w:num w:numId="15">
    <w:abstractNumId w:val="40"/>
  </w:num>
  <w:num w:numId="16">
    <w:abstractNumId w:val="3"/>
  </w:num>
  <w:num w:numId="17">
    <w:abstractNumId w:val="8"/>
  </w:num>
  <w:num w:numId="18">
    <w:abstractNumId w:val="33"/>
  </w:num>
  <w:num w:numId="19">
    <w:abstractNumId w:val="34"/>
  </w:num>
  <w:num w:numId="20">
    <w:abstractNumId w:val="6"/>
  </w:num>
  <w:num w:numId="21">
    <w:abstractNumId w:val="32"/>
  </w:num>
  <w:num w:numId="22">
    <w:abstractNumId w:val="28"/>
  </w:num>
  <w:num w:numId="23">
    <w:abstractNumId w:val="1"/>
  </w:num>
  <w:num w:numId="24">
    <w:abstractNumId w:val="14"/>
  </w:num>
  <w:num w:numId="25">
    <w:abstractNumId w:val="25"/>
  </w:num>
  <w:num w:numId="26">
    <w:abstractNumId w:val="26"/>
  </w:num>
  <w:num w:numId="27">
    <w:abstractNumId w:val="29"/>
  </w:num>
  <w:num w:numId="28">
    <w:abstractNumId w:val="22"/>
  </w:num>
  <w:num w:numId="29">
    <w:abstractNumId w:val="36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4"/>
  </w:num>
  <w:num w:numId="35">
    <w:abstractNumId w:val="2"/>
  </w:num>
  <w:num w:numId="36">
    <w:abstractNumId w:val="35"/>
  </w:num>
  <w:num w:numId="37">
    <w:abstractNumId w:val="15"/>
  </w:num>
  <w:num w:numId="38">
    <w:abstractNumId w:val="42"/>
  </w:num>
  <w:num w:numId="39">
    <w:abstractNumId w:val="18"/>
  </w:num>
  <w:num w:numId="40">
    <w:abstractNumId w:val="27"/>
  </w:num>
  <w:num w:numId="41">
    <w:abstractNumId w:val="4"/>
  </w:num>
  <w:num w:numId="42">
    <w:abstractNumId w:val="17"/>
  </w:num>
  <w:num w:numId="43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0F78"/>
    <w:rsid w:val="0004597B"/>
    <w:rsid w:val="00046E96"/>
    <w:rsid w:val="00053172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A1BFB"/>
    <w:rsid w:val="002A1CA6"/>
    <w:rsid w:val="002A2E79"/>
    <w:rsid w:val="002A2F25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C59CF"/>
    <w:rsid w:val="002D149B"/>
    <w:rsid w:val="002D559A"/>
    <w:rsid w:val="002E00FA"/>
    <w:rsid w:val="002E1456"/>
    <w:rsid w:val="002E191D"/>
    <w:rsid w:val="002E1DE4"/>
    <w:rsid w:val="002E3CA5"/>
    <w:rsid w:val="002E443B"/>
    <w:rsid w:val="002E4C6D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7BCE"/>
    <w:rsid w:val="00333674"/>
    <w:rsid w:val="00335862"/>
    <w:rsid w:val="00340113"/>
    <w:rsid w:val="00340AA2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2ECE"/>
    <w:rsid w:val="003B461B"/>
    <w:rsid w:val="003B665A"/>
    <w:rsid w:val="003B7E5D"/>
    <w:rsid w:val="003D7F9A"/>
    <w:rsid w:val="003E1037"/>
    <w:rsid w:val="003E26BD"/>
    <w:rsid w:val="003E4CE4"/>
    <w:rsid w:val="003E7110"/>
    <w:rsid w:val="003F667C"/>
    <w:rsid w:val="00401F33"/>
    <w:rsid w:val="0040418E"/>
    <w:rsid w:val="00417CD9"/>
    <w:rsid w:val="00420E2C"/>
    <w:rsid w:val="00423153"/>
    <w:rsid w:val="004321AC"/>
    <w:rsid w:val="00432B41"/>
    <w:rsid w:val="00434CEE"/>
    <w:rsid w:val="00434FCC"/>
    <w:rsid w:val="004360FC"/>
    <w:rsid w:val="0044152E"/>
    <w:rsid w:val="004415B0"/>
    <w:rsid w:val="00442201"/>
    <w:rsid w:val="00445972"/>
    <w:rsid w:val="00450C2B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4CCE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06597"/>
    <w:rsid w:val="006117F1"/>
    <w:rsid w:val="0061395B"/>
    <w:rsid w:val="006231C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54A1"/>
    <w:rsid w:val="00710BC4"/>
    <w:rsid w:val="0072057A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9175A"/>
    <w:rsid w:val="007937FB"/>
    <w:rsid w:val="00793AC4"/>
    <w:rsid w:val="00795E16"/>
    <w:rsid w:val="00797EB3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36D5"/>
    <w:rsid w:val="00804374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2F57"/>
    <w:rsid w:val="00A0650E"/>
    <w:rsid w:val="00A17C2B"/>
    <w:rsid w:val="00A208CF"/>
    <w:rsid w:val="00A315C9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2B50"/>
    <w:rsid w:val="00B24DA2"/>
    <w:rsid w:val="00B26CD0"/>
    <w:rsid w:val="00B3168F"/>
    <w:rsid w:val="00B343FE"/>
    <w:rsid w:val="00B34540"/>
    <w:rsid w:val="00B36DE8"/>
    <w:rsid w:val="00B41A8F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5BEE"/>
    <w:rsid w:val="00B903B4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2EF7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286B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68B"/>
    <w:rsid w:val="00DF3C82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2538"/>
    <w:rsid w:val="00E3683D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51B0"/>
    <w:rsid w:val="00F2578D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64C6A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C5611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DEA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17</Pages>
  <Words>4984</Words>
  <Characters>28410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11</cp:revision>
  <cp:lastPrinted>2016-06-16T14:30:00Z</cp:lastPrinted>
  <dcterms:created xsi:type="dcterms:W3CDTF">2016-06-21T11:02:00Z</dcterms:created>
  <dcterms:modified xsi:type="dcterms:W3CDTF">2016-06-21T14:26:00Z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