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 xml:space="preserve">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современных высокотехнологичных продуктов,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1</w:t>
      </w:r>
      <w:r w:rsidR="006F6FE3" w:rsidRPr="004D1A17">
        <w:rPr>
          <w:sz w:val="20"/>
        </w:rPr>
        <w:t xml:space="preserve"> – основных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2</w:t>
      </w:r>
      <w:r w:rsidR="006F6FE3" w:rsidRPr="004D1A17">
        <w:rPr>
          <w:sz w:val="20"/>
        </w:rPr>
        <w:t xml:space="preserve"> – продуктов-заменителей,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3</w:t>
      </w:r>
      <w:r w:rsidR="006F6FE3" w:rsidRPr="004D1A17">
        <w:rPr>
          <w:sz w:val="20"/>
        </w:rPr>
        <w:t xml:space="preserve"> – новых игроков,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4</w:t>
      </w:r>
      <w:r w:rsidR="006F6FE3" w:rsidRPr="004D1A17">
        <w:rPr>
          <w:sz w:val="20"/>
        </w:rPr>
        <w:t xml:space="preserve"> – поставщиков, </w:t>
      </w:r>
      <w:r w:rsidR="006F6FE3" w:rsidRPr="004D1A17">
        <w:rPr>
          <w:sz w:val="20"/>
          <w:lang w:val="en-US"/>
        </w:rPr>
        <w:t>F</w:t>
      </w:r>
      <w:r w:rsidR="006F6FE3" w:rsidRPr="004D1A17">
        <w:rPr>
          <w:sz w:val="20"/>
          <w:vertAlign w:val="subscript"/>
        </w:rPr>
        <w:t>5</w:t>
      </w:r>
      <w:r w:rsidR="006F6FE3" w:rsidRPr="004D1A17">
        <w:rPr>
          <w:sz w:val="20"/>
        </w:rPr>
        <w:t xml:space="preserve"> – потреб</w:t>
      </w:r>
      <w:r w:rsidR="006F6FE3" w:rsidRPr="004D1A17">
        <w:rPr>
          <w:sz w:val="20"/>
        </w:rPr>
        <w:t>и</w:t>
      </w:r>
      <w:r w:rsidR="006F6FE3" w:rsidRPr="004D1A17">
        <w:rPr>
          <w:sz w:val="20"/>
        </w:rPr>
        <w:lastRenderedPageBreak/>
        <w:t>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w:r w:rsidR="00A970B0" w:rsidRPr="004D1A17">
        <w:rPr>
          <w:sz w:val="20"/>
          <w:lang w:val="en-US"/>
        </w:rPr>
        <w:t>F</w:t>
      </w:r>
      <w:r w:rsidR="00A970B0">
        <w:rPr>
          <w:sz w:val="20"/>
          <w:vertAlign w:val="subscript"/>
        </w:rPr>
        <w:t xml:space="preserve">6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w:r w:rsidR="0098258C" w:rsidRPr="004D1A17">
        <w:rPr>
          <w:sz w:val="20"/>
          <w:lang w:val="en-US"/>
        </w:rPr>
        <w:t>F</w:t>
      </w:r>
      <w:r w:rsidR="0098258C">
        <w:rPr>
          <w:sz w:val="20"/>
          <w:vertAlign w:val="subscript"/>
        </w:rPr>
        <w:t xml:space="preserve">7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>оказывают влияние на ко</w:t>
      </w:r>
      <w:r w:rsidR="0089234D">
        <w:rPr>
          <w:sz w:val="20"/>
        </w:rPr>
        <w:t>н</w:t>
      </w:r>
      <w:r w:rsidR="0089234D">
        <w:rPr>
          <w:sz w:val="20"/>
        </w:rPr>
        <w:t xml:space="preserve">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</w:t>
      </w:r>
      <w:r w:rsidR="0089234D" w:rsidRPr="00163AB5">
        <w:rPr>
          <w:sz w:val="20"/>
        </w:rPr>
        <w:t>е</w:t>
      </w:r>
      <w:r w:rsidR="0089234D" w:rsidRPr="00163AB5">
        <w:rPr>
          <w:sz w:val="20"/>
        </w:rPr>
        <w:t>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w:r w:rsidR="00CC1DA0" w:rsidRPr="0089234D">
        <w:rPr>
          <w:sz w:val="20"/>
        </w:rPr>
        <w:t>F</w:t>
      </w:r>
      <w:r w:rsidR="00CC1DA0" w:rsidRPr="0089234D">
        <w:rPr>
          <w:sz w:val="20"/>
          <w:vertAlign w:val="subscript"/>
        </w:rPr>
        <w:t xml:space="preserve">6  </w:t>
      </w:r>
      <w:r w:rsidR="00CC1DA0" w:rsidRPr="0089234D">
        <w:rPr>
          <w:sz w:val="20"/>
        </w:rPr>
        <w:t>и F</w:t>
      </w:r>
      <w:r w:rsidR="00CC1DA0" w:rsidRPr="0089234D">
        <w:rPr>
          <w:sz w:val="20"/>
          <w:vertAlign w:val="subscript"/>
        </w:rPr>
        <w:t>7</w:t>
      </w:r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{F</w:t>
      </w:r>
      <w:r w:rsidR="00CC1DA0" w:rsidRPr="006147C4">
        <w:rPr>
          <w:sz w:val="20"/>
          <w:vertAlign w:val="subscript"/>
        </w:rPr>
        <w:t>1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2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3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4</w:t>
      </w:r>
      <w:r w:rsidR="00CC1DA0" w:rsidRPr="006147C4">
        <w:rPr>
          <w:sz w:val="20"/>
        </w:rPr>
        <w:t>,F</w:t>
      </w:r>
      <w:r w:rsidR="00CC1DA0" w:rsidRPr="006147C4">
        <w:rPr>
          <w:sz w:val="20"/>
          <w:vertAlign w:val="subscript"/>
        </w:rPr>
        <w:t>5</w:t>
      </w:r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 xml:space="preserve">Взаимодействия сил </w:t>
      </w:r>
      <w:r w:rsidRPr="00FD2B71">
        <w:rPr>
          <w:sz w:val="20"/>
        </w:rPr>
        <w:t>{F</w:t>
      </w:r>
      <w:r w:rsidR="00E8330B">
        <w:rPr>
          <w:sz w:val="20"/>
          <w:vertAlign w:val="subscript"/>
          <w:lang w:val="en-US"/>
        </w:rPr>
        <w:t>k</w:t>
      </w:r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8935F9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>
              <w:rPr>
                <w:sz w:val="20"/>
                <w:vertAlign w:val="subscript"/>
              </w:rPr>
              <w:t>7</w:t>
            </w: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A45FE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173674" cy="1932167"/>
            <wp:effectExtent l="19050" t="0" r="7676" b="0"/>
            <wp:docPr id="8" name="Рисунок 3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42" cy="193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w:r w:rsidRPr="00DA45FE">
        <w:rPr>
          <w:color w:val="000000" w:themeColor="text1"/>
          <w:sz w:val="22"/>
        </w:rPr>
        <w:t>F</w:t>
      </w:r>
      <w:r w:rsidRPr="00DA45FE">
        <w:rPr>
          <w:color w:val="000000" w:themeColor="text1"/>
          <w:sz w:val="22"/>
          <w:vertAlign w:val="subscript"/>
        </w:rPr>
        <w:t>6</w:t>
      </w:r>
      <w:r w:rsidRPr="00DA45FE">
        <w:rPr>
          <w:bCs/>
          <w:color w:val="000000" w:themeColor="text1"/>
          <w:sz w:val="20"/>
        </w:rPr>
        <w:t xml:space="preserve"> – </w:t>
      </w:r>
      <w:proofErr w:type="spellStart"/>
      <w:r w:rsidRPr="00DA45FE">
        <w:rPr>
          <w:bCs/>
          <w:color w:val="000000" w:themeColor="text1"/>
          <w:sz w:val="20"/>
        </w:rPr>
        <w:t>комплементоров</w:t>
      </w:r>
      <w:proofErr w:type="spellEnd"/>
      <w:r w:rsidR="00FD2B71" w:rsidRPr="00DA45FE">
        <w:rPr>
          <w:bCs/>
          <w:color w:val="000000" w:themeColor="text1"/>
          <w:sz w:val="20"/>
        </w:rPr>
        <w:t xml:space="preserve"> и </w:t>
      </w:r>
      <w:r w:rsidR="00FD2B71" w:rsidRPr="00DA45FE">
        <w:rPr>
          <w:color w:val="000000" w:themeColor="text1"/>
          <w:sz w:val="20"/>
        </w:rPr>
        <w:t>F</w:t>
      </w:r>
      <w:r w:rsidR="00FD2B71" w:rsidRPr="00DA45FE">
        <w:rPr>
          <w:color w:val="000000" w:themeColor="text1"/>
          <w:sz w:val="20"/>
          <w:vertAlign w:val="subscript"/>
        </w:rPr>
        <w:t xml:space="preserve">7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Pr="00E8330B">
        <w:rPr>
          <w:sz w:val="20"/>
        </w:rPr>
        <w:t>{F</w:t>
      </w:r>
      <w:r w:rsidRPr="00E8330B">
        <w:rPr>
          <w:sz w:val="20"/>
          <w:vertAlign w:val="subscript"/>
        </w:rPr>
        <w:t>2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3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4</w:t>
      </w:r>
      <w:r w:rsidRPr="00E8330B">
        <w:rPr>
          <w:sz w:val="20"/>
        </w:rPr>
        <w:t>,F</w:t>
      </w:r>
      <w:r w:rsidRPr="00E8330B">
        <w:rPr>
          <w:sz w:val="20"/>
          <w:vertAlign w:val="subscript"/>
        </w:rPr>
        <w:t>5,</w:t>
      </w:r>
      <w:r w:rsidRPr="00E8330B">
        <w:rPr>
          <w:sz w:val="20"/>
        </w:rPr>
        <w:t>F</w:t>
      </w:r>
      <w:r w:rsidRPr="00E8330B">
        <w:rPr>
          <w:sz w:val="20"/>
          <w:vertAlign w:val="subscript"/>
        </w:rPr>
        <w:t>6</w:t>
      </w:r>
      <w:r w:rsidR="00E8330B" w:rsidRPr="00E8330B">
        <w:rPr>
          <w:sz w:val="20"/>
          <w:vertAlign w:val="subscript"/>
        </w:rPr>
        <w:t>,</w:t>
      </w:r>
      <w:r w:rsidR="00E8330B" w:rsidRPr="00E8330B">
        <w:rPr>
          <w:sz w:val="20"/>
        </w:rPr>
        <w:t>F</w:t>
      </w:r>
      <w:r w:rsidR="00E8330B" w:rsidRPr="00E8330B">
        <w:rPr>
          <w:sz w:val="20"/>
          <w:vertAlign w:val="subscript"/>
        </w:rPr>
        <w:t>7</w:t>
      </w:r>
      <w:r w:rsidRPr="00E8330B">
        <w:rPr>
          <w:sz w:val="20"/>
        </w:rPr>
        <w:t>}</w:t>
      </w:r>
      <w:r w:rsidRPr="00E8330B">
        <w:rPr>
          <w:bCs/>
          <w:sz w:val="20"/>
        </w:rPr>
        <w:t xml:space="preserve"> также имеет место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</w:t>
      </w:r>
      <w:r w:rsidRPr="00E8330B">
        <w:rPr>
          <w:sz w:val="20"/>
        </w:rPr>
        <w:t>о</w:t>
      </w:r>
      <w:r w:rsidRPr="00E8330B">
        <w:rPr>
          <w:sz w:val="20"/>
        </w:rPr>
        <w:t xml:space="preserve">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AF611E" w:rsidRDefault="000F3D4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AF611E">
        <w:rPr>
          <w:bCs/>
          <w:color w:val="FF0000"/>
          <w:sz w:val="20"/>
        </w:rPr>
        <w:t>Моделирование конкуренции проводится с использованием математич</w:t>
      </w:r>
      <w:r w:rsidRPr="00AF611E">
        <w:rPr>
          <w:bCs/>
          <w:color w:val="FF0000"/>
          <w:sz w:val="20"/>
        </w:rPr>
        <w:t>е</w:t>
      </w:r>
      <w:r w:rsidRPr="00AF611E">
        <w:rPr>
          <w:bCs/>
          <w:color w:val="FF0000"/>
          <w:sz w:val="20"/>
        </w:rPr>
        <w:t xml:space="preserve">ского аппарата теории игр. </w:t>
      </w:r>
      <w:r w:rsidR="00160DEA" w:rsidRPr="00AF611E">
        <w:rPr>
          <w:bCs/>
          <w:color w:val="FF0000"/>
          <w:sz w:val="20"/>
        </w:rPr>
        <w:t xml:space="preserve">Определим математическую модель </w:t>
      </w:r>
      <w:r w:rsidR="00236A1D" w:rsidRPr="00AF611E">
        <w:rPr>
          <w:bCs/>
          <w:color w:val="FF0000"/>
          <w:sz w:val="20"/>
        </w:rPr>
        <w:t>конкуренции</w:t>
      </w:r>
      <w:r w:rsidR="00160DEA" w:rsidRPr="00AF611E">
        <w:rPr>
          <w:bCs/>
          <w:color w:val="FF0000"/>
          <w:sz w:val="20"/>
        </w:rPr>
        <w:t xml:space="preserve"> как </w:t>
      </w:r>
      <w:r w:rsidR="006072D6" w:rsidRPr="00AF611E">
        <w:rPr>
          <w:bCs/>
          <w:color w:val="FF0000"/>
          <w:sz w:val="20"/>
        </w:rPr>
        <w:t>кортеж</w:t>
      </w:r>
      <w:r w:rsidR="00160DEA" w:rsidRPr="00AF611E">
        <w:rPr>
          <w:bCs/>
          <w:color w:val="FF0000"/>
          <w:sz w:val="20"/>
        </w:rPr>
        <w:t xml:space="preserve"> элементов:</w:t>
      </w:r>
    </w:p>
    <w:p w:rsidR="00160DEA" w:rsidRPr="00AF611E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AF611E">
        <w:rPr>
          <w:color w:val="FF0000"/>
          <w:sz w:val="20"/>
          <w:szCs w:val="28"/>
        </w:rPr>
        <w:t xml:space="preserve">       </w:t>
      </w:r>
      <w:r w:rsidR="00C50BAE" w:rsidRPr="00AF611E">
        <w:rPr>
          <w:color w:val="FF0000"/>
          <w:sz w:val="20"/>
          <w:szCs w:val="28"/>
        </w:rPr>
        <w:t xml:space="preserve">  </w:t>
      </w:r>
      <w:r w:rsidRPr="00AF611E">
        <w:rPr>
          <w:color w:val="FF0000"/>
          <w:sz w:val="20"/>
          <w:szCs w:val="28"/>
        </w:rPr>
        <w:t xml:space="preserve">   </w:t>
      </w:r>
      <w:r w:rsidR="00296D1D" w:rsidRPr="00AF611E">
        <w:rPr>
          <w:color w:val="FF0000"/>
          <w:sz w:val="20"/>
          <w:szCs w:val="28"/>
        </w:rPr>
        <w:t xml:space="preserve"> </w:t>
      </w:r>
      <w:r w:rsidR="00752F03" w:rsidRPr="00AF611E">
        <w:rPr>
          <w:color w:val="FF0000"/>
          <w:sz w:val="20"/>
          <w:szCs w:val="28"/>
        </w:rPr>
        <w:t xml:space="preserve">            </w:t>
      </w:r>
      <w:r w:rsidRPr="00AF611E">
        <w:rPr>
          <w:color w:val="FF0000"/>
          <w:sz w:val="20"/>
          <w:szCs w:val="28"/>
        </w:rPr>
        <w:t xml:space="preserve">               (1)</w:t>
      </w:r>
    </w:p>
    <w:p w:rsidR="00160DEA" w:rsidRPr="00AF611E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AF611E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8A5DFB" w:rsidRPr="00AF611E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</m:acc>
      </m:oMath>
      <w:r w:rsidR="00C32EF7" w:rsidRPr="00AF611E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AF611E">
        <w:rPr>
          <w:color w:val="FF0000"/>
          <w:sz w:val="20"/>
          <w:szCs w:val="28"/>
        </w:rPr>
        <w:t>некооперативной</w:t>
      </w:r>
      <w:r w:rsidR="00C32EF7" w:rsidRPr="00AF611E">
        <w:rPr>
          <w:color w:val="FF0000"/>
          <w:sz w:val="20"/>
          <w:szCs w:val="28"/>
        </w:rPr>
        <w:t xml:space="preserve"> игре.</w:t>
      </w:r>
      <w:r w:rsidRPr="00AF611E">
        <w:rPr>
          <w:color w:val="FF0000"/>
          <w:sz w:val="20"/>
          <w:szCs w:val="28"/>
        </w:rPr>
        <w:t xml:space="preserve"> </w:t>
      </w:r>
      <w:r w:rsidR="00340AA2" w:rsidRPr="00AF611E">
        <w:rPr>
          <w:color w:val="FF0000"/>
          <w:sz w:val="20"/>
          <w:szCs w:val="28"/>
        </w:rPr>
        <w:t>Для анализа ко</w:t>
      </w:r>
      <w:r w:rsidR="00340AA2" w:rsidRPr="00AF611E">
        <w:rPr>
          <w:color w:val="FF0000"/>
          <w:sz w:val="20"/>
          <w:szCs w:val="28"/>
        </w:rPr>
        <w:t>н</w:t>
      </w:r>
      <w:r w:rsidR="00340AA2" w:rsidRPr="00AF611E">
        <w:rPr>
          <w:color w:val="FF0000"/>
          <w:sz w:val="20"/>
          <w:szCs w:val="28"/>
        </w:rPr>
        <w:t xml:space="preserve">куренции в аэрокосмической отрасли </w:t>
      </w:r>
      <w:r w:rsidR="00FE5A20" w:rsidRPr="00AF611E">
        <w:rPr>
          <w:color w:val="FF0000"/>
          <w:sz w:val="20"/>
          <w:szCs w:val="28"/>
        </w:rPr>
        <w:t xml:space="preserve">с помощью МГК </w:t>
      </w:r>
      <w:r w:rsidR="00340AA2" w:rsidRPr="00AF611E">
        <w:rPr>
          <w:color w:val="FF0000"/>
          <w:sz w:val="20"/>
          <w:szCs w:val="28"/>
        </w:rPr>
        <w:t xml:space="preserve">используется </w:t>
      </w:r>
      <w:r w:rsidR="0084695B" w:rsidRPr="00AF611E">
        <w:rPr>
          <w:color w:val="FF0000"/>
          <w:sz w:val="20"/>
          <w:szCs w:val="28"/>
        </w:rPr>
        <w:t>новая</w:t>
      </w:r>
      <w:r w:rsidR="00FE5A20" w:rsidRPr="00AF611E">
        <w:rPr>
          <w:color w:val="FF0000"/>
          <w:sz w:val="20"/>
          <w:szCs w:val="28"/>
        </w:rPr>
        <w:t xml:space="preserve"> теоретико-игровая </w:t>
      </w:r>
      <w:r w:rsidR="00340AA2" w:rsidRPr="00AF611E">
        <w:rPr>
          <w:color w:val="FF0000"/>
          <w:sz w:val="20"/>
          <w:szCs w:val="28"/>
        </w:rPr>
        <w:t>модель</w:t>
      </w:r>
      <w:r w:rsidR="0084695B" w:rsidRPr="00AF611E">
        <w:rPr>
          <w:color w:val="FF0000"/>
          <w:sz w:val="20"/>
          <w:szCs w:val="28"/>
        </w:rPr>
        <w:t>, построенная на основе модели</w:t>
      </w:r>
      <w:r w:rsidR="00340AA2" w:rsidRPr="00AF611E">
        <w:rPr>
          <w:color w:val="FF0000"/>
          <w:sz w:val="20"/>
          <w:szCs w:val="28"/>
        </w:rPr>
        <w:t xml:space="preserve"> олигополии </w:t>
      </w:r>
      <w:proofErr w:type="spellStart"/>
      <w:r w:rsidR="00340AA2" w:rsidRPr="00AF611E">
        <w:rPr>
          <w:color w:val="FF0000"/>
          <w:sz w:val="20"/>
          <w:szCs w:val="28"/>
        </w:rPr>
        <w:t>О.Курно</w:t>
      </w:r>
      <w:proofErr w:type="spellEnd"/>
      <w:r w:rsidR="00340AA2" w:rsidRPr="00AF611E">
        <w:rPr>
          <w:color w:val="FF0000"/>
          <w:sz w:val="20"/>
          <w:szCs w:val="28"/>
        </w:rPr>
        <w:t>.</w:t>
      </w:r>
    </w:p>
    <w:p w:rsidR="00514D2D" w:rsidRPr="00AF611E" w:rsidRDefault="00FE5A20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bCs/>
          <w:color w:val="FF0000"/>
          <w:sz w:val="20"/>
        </w:rPr>
        <w:lastRenderedPageBreak/>
        <w:t>Таким образом,</w:t>
      </w:r>
      <w:r w:rsidR="00687278" w:rsidRPr="00AF611E">
        <w:rPr>
          <w:bCs/>
          <w:color w:val="FF0000"/>
          <w:sz w:val="20"/>
        </w:rPr>
        <w:t xml:space="preserve"> </w:t>
      </w:r>
      <w:r w:rsidR="00AF26FF" w:rsidRPr="00AF611E">
        <w:rPr>
          <w:bCs/>
          <w:color w:val="FF0000"/>
          <w:sz w:val="20"/>
        </w:rPr>
        <w:t xml:space="preserve">на основе предлагаемой модели </w:t>
      </w:r>
      <w:r w:rsidR="00687278" w:rsidRPr="00AF611E">
        <w:rPr>
          <w:bCs/>
          <w:color w:val="FF0000"/>
          <w:sz w:val="20"/>
        </w:rPr>
        <w:t xml:space="preserve">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AF611E">
        <w:rPr>
          <w:color w:val="FF0000"/>
          <w:sz w:val="20"/>
          <w:szCs w:val="28"/>
        </w:rPr>
        <w:t xml:space="preserve"> производителей с </w:t>
      </w:r>
      <w:r w:rsidR="006D1059" w:rsidRPr="00AF611E">
        <w:rPr>
          <w:color w:val="FF0000"/>
          <w:sz w:val="20"/>
          <w:szCs w:val="28"/>
        </w:rPr>
        <w:t xml:space="preserve">известными </w:t>
      </w:r>
      <w:r w:rsidR="00687278" w:rsidRPr="00AF611E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AF611E">
        <w:rPr>
          <w:color w:val="FF0000"/>
          <w:sz w:val="20"/>
          <w:szCs w:val="28"/>
        </w:rPr>
        <w:t xml:space="preserve">, </w:t>
      </w:r>
      <w:r w:rsidR="004D3B00" w:rsidRPr="00AF611E">
        <w:rPr>
          <w:color w:val="FF0000"/>
          <w:sz w:val="20"/>
          <w:szCs w:val="28"/>
        </w:rPr>
        <w:t>суммарный объем продаж зада</w:t>
      </w:r>
      <w:r w:rsidR="006D1059" w:rsidRPr="00AF611E">
        <w:rPr>
          <w:color w:val="FF0000"/>
          <w:sz w:val="20"/>
          <w:szCs w:val="28"/>
        </w:rPr>
        <w:t>ется</w:t>
      </w:r>
      <w:r w:rsidR="004D3B00" w:rsidRPr="00AF611E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AF611E">
        <w:rPr>
          <w:color w:val="FF0000"/>
          <w:sz w:val="20"/>
          <w:szCs w:val="28"/>
        </w:rPr>
        <w:t xml:space="preserve">, </w:t>
      </w:r>
      <w:proofErr w:type="gramEnd"/>
      <w:r w:rsidR="004D3B00" w:rsidRPr="00AF611E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AF611E">
        <w:rPr>
          <w:color w:val="FF0000"/>
          <w:sz w:val="20"/>
          <w:szCs w:val="28"/>
        </w:rPr>
        <w:t>.</w:t>
      </w:r>
      <w:r w:rsidR="00514D2D" w:rsidRPr="00AF611E">
        <w:rPr>
          <w:color w:val="FF0000"/>
          <w:sz w:val="20"/>
          <w:szCs w:val="28"/>
        </w:rPr>
        <w:t xml:space="preserve"> </w:t>
      </w:r>
      <w:r w:rsidR="00514D2D" w:rsidRPr="00AF611E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AF611E">
        <w:rPr>
          <w:color w:val="FF0000"/>
          <w:sz w:val="20"/>
          <w:szCs w:val="28"/>
        </w:rPr>
        <w:t xml:space="preserve">, </w:t>
      </w:r>
      <w:r w:rsidR="00514D2D" w:rsidRPr="00AF611E">
        <w:rPr>
          <w:color w:val="FF0000"/>
          <w:sz w:val="20"/>
        </w:rPr>
        <w:t xml:space="preserve">где </w:t>
      </w:r>
      <w:r w:rsidR="00514D2D" w:rsidRPr="00AF611E">
        <w:rPr>
          <w:color w:val="FF0000"/>
          <w:sz w:val="20"/>
          <w:lang w:val="en-US"/>
        </w:rPr>
        <w:t>a</w:t>
      </w:r>
      <w:r w:rsidR="00514D2D" w:rsidRPr="00AF611E">
        <w:rPr>
          <w:color w:val="FF0000"/>
          <w:sz w:val="20"/>
        </w:rPr>
        <w:t xml:space="preserve"> – максимальный возможный спрос на </w:t>
      </w:r>
      <w:r w:rsidR="006D1059" w:rsidRPr="00AF611E">
        <w:rPr>
          <w:color w:val="FF0000"/>
          <w:sz w:val="20"/>
        </w:rPr>
        <w:t>продукцию</w:t>
      </w:r>
      <w:r w:rsidR="00514D2D" w:rsidRPr="00AF611E">
        <w:rPr>
          <w:color w:val="FF0000"/>
          <w:sz w:val="20"/>
        </w:rPr>
        <w:t xml:space="preserve">, </w:t>
      </w:r>
      <w:proofErr w:type="spellStart"/>
      <w:r w:rsidR="00514D2D" w:rsidRPr="00AF611E">
        <w:rPr>
          <w:color w:val="FF0000"/>
          <w:sz w:val="20"/>
        </w:rPr>
        <w:t>b</w:t>
      </w:r>
      <w:proofErr w:type="spellEnd"/>
      <w:r w:rsidR="00514D2D" w:rsidRPr="00AF611E">
        <w:rPr>
          <w:color w:val="FF0000"/>
          <w:sz w:val="20"/>
        </w:rPr>
        <w:t xml:space="preserve"> – </w:t>
      </w:r>
      <w:r w:rsidR="0039436D" w:rsidRPr="00AF611E">
        <w:rPr>
          <w:color w:val="FF0000"/>
          <w:sz w:val="20"/>
        </w:rPr>
        <w:t>показатель</w:t>
      </w:r>
      <w:r w:rsidR="00514D2D" w:rsidRPr="00AF611E">
        <w:rPr>
          <w:color w:val="FF0000"/>
          <w:sz w:val="20"/>
        </w:rPr>
        <w:t xml:space="preserve"> изменения спроса от изменения цены. Тогда:</w:t>
      </w:r>
    </w:p>
    <w:p w:rsidR="00514D2D" w:rsidRPr="00AF611E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AF611E">
        <w:rPr>
          <w:color w:val="FF0000"/>
          <w:sz w:val="20"/>
          <w:szCs w:val="28"/>
        </w:rPr>
        <w:t xml:space="preserve">                          </w:t>
      </w:r>
      <w:r w:rsidRPr="00AF611E">
        <w:rPr>
          <w:color w:val="FF0000"/>
          <w:sz w:val="20"/>
          <w:szCs w:val="28"/>
        </w:rPr>
        <w:t xml:space="preserve">                     (2)</w:t>
      </w:r>
    </w:p>
    <w:p w:rsidR="00851C16" w:rsidRPr="00AF611E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AF611E">
        <w:rPr>
          <w:color w:val="FF0000"/>
          <w:sz w:val="20"/>
        </w:rPr>
        <w:t>е</w:t>
      </w:r>
      <w:r w:rsidRPr="00AF611E">
        <w:rPr>
          <w:color w:val="FF0000"/>
          <w:sz w:val="20"/>
        </w:rPr>
        <w:t>ния всех участников рынка</w:t>
      </w:r>
      <w:r w:rsidR="00956FA4" w:rsidRPr="00AF611E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AF611E">
        <w:rPr>
          <w:color w:val="FF0000"/>
          <w:sz w:val="20"/>
          <w:szCs w:val="28"/>
        </w:rPr>
        <w:t xml:space="preserve">-го </w:t>
      </w:r>
      <w:r w:rsidR="00956FA4" w:rsidRPr="00AF611E">
        <w:rPr>
          <w:color w:val="FF0000"/>
          <w:sz w:val="20"/>
        </w:rPr>
        <w:t>игрока выражается функцией</w:t>
      </w:r>
      <w:r w:rsidR="002E4C6D" w:rsidRPr="00AF611E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AF611E">
        <w:rPr>
          <w:color w:val="FF0000"/>
          <w:sz w:val="20"/>
          <w:szCs w:val="28"/>
        </w:rPr>
        <w:t>. Тогда у</w:t>
      </w:r>
      <w:r w:rsidR="004B2601" w:rsidRPr="00AF611E">
        <w:rPr>
          <w:color w:val="FF0000"/>
          <w:sz w:val="20"/>
        </w:rPr>
        <w:t xml:space="preserve">словием </w:t>
      </w:r>
      <w:r w:rsidR="00AF26FF" w:rsidRPr="00AF611E">
        <w:rPr>
          <w:color w:val="FF0000"/>
          <w:sz w:val="20"/>
        </w:rPr>
        <w:t>достижения максимума</w:t>
      </w:r>
      <w:r w:rsidR="004B2601" w:rsidRPr="00AF611E">
        <w:rPr>
          <w:color w:val="FF0000"/>
          <w:sz w:val="20"/>
        </w:rPr>
        <w:t xml:space="preserve"> функции прибыли будет равенство нулю производной:</w:t>
      </w:r>
    </w:p>
    <w:p w:rsidR="004B2601" w:rsidRPr="00AF611E" w:rsidRDefault="00C66962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AF611E">
        <w:rPr>
          <w:color w:val="FF0000"/>
          <w:sz w:val="20"/>
          <w:szCs w:val="28"/>
        </w:rPr>
        <w:t xml:space="preserve">        </w:t>
      </w:r>
      <w:r w:rsidR="00956FA4" w:rsidRPr="00AF611E">
        <w:rPr>
          <w:color w:val="FF0000"/>
          <w:sz w:val="20"/>
          <w:szCs w:val="28"/>
        </w:rPr>
        <w:t xml:space="preserve"> </w:t>
      </w:r>
      <w:r w:rsidR="00296D1D" w:rsidRPr="00AF611E">
        <w:rPr>
          <w:color w:val="FF0000"/>
          <w:sz w:val="20"/>
          <w:szCs w:val="28"/>
        </w:rPr>
        <w:t xml:space="preserve"> </w:t>
      </w:r>
      <w:r w:rsidR="00563231" w:rsidRPr="00AF611E">
        <w:rPr>
          <w:color w:val="FF0000"/>
          <w:sz w:val="20"/>
          <w:szCs w:val="28"/>
        </w:rPr>
        <w:t xml:space="preserve">     </w:t>
      </w:r>
      <w:r w:rsidR="00452A96" w:rsidRPr="00AF611E">
        <w:rPr>
          <w:color w:val="FF0000"/>
          <w:sz w:val="20"/>
          <w:szCs w:val="28"/>
        </w:rPr>
        <w:t xml:space="preserve">  </w:t>
      </w:r>
      <w:r w:rsidR="004B2601" w:rsidRPr="00AF611E">
        <w:rPr>
          <w:color w:val="FF0000"/>
          <w:sz w:val="20"/>
          <w:szCs w:val="28"/>
        </w:rPr>
        <w:t xml:space="preserve">  </w:t>
      </w:r>
      <w:r w:rsidR="00AB727C" w:rsidRPr="00AF611E">
        <w:rPr>
          <w:color w:val="FF0000"/>
          <w:sz w:val="20"/>
          <w:szCs w:val="28"/>
        </w:rPr>
        <w:t xml:space="preserve">   </w:t>
      </w:r>
      <w:r w:rsidR="004B2601" w:rsidRPr="00AF611E">
        <w:rPr>
          <w:color w:val="FF0000"/>
          <w:sz w:val="20"/>
          <w:szCs w:val="28"/>
        </w:rPr>
        <w:t xml:space="preserve">      (</w:t>
      </w:r>
      <w:r w:rsidR="002E4C6D" w:rsidRPr="00AF611E">
        <w:rPr>
          <w:color w:val="FF0000"/>
          <w:sz w:val="20"/>
          <w:szCs w:val="28"/>
        </w:rPr>
        <w:t>3</w:t>
      </w:r>
      <w:r w:rsidR="004B2601" w:rsidRPr="00AF611E">
        <w:rPr>
          <w:color w:val="FF0000"/>
          <w:sz w:val="20"/>
          <w:szCs w:val="28"/>
        </w:rPr>
        <w:t>)</w:t>
      </w:r>
    </w:p>
    <w:p w:rsidR="00AB727C" w:rsidRPr="00AF611E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П</w:t>
      </w:r>
      <w:r w:rsidR="00956FA4" w:rsidRPr="00AF611E">
        <w:rPr>
          <w:color w:val="FF0000"/>
          <w:sz w:val="20"/>
        </w:rPr>
        <w:t>редполагается,</w:t>
      </w:r>
      <w:r w:rsidR="00AD51E7" w:rsidRPr="00AF611E">
        <w:rPr>
          <w:color w:val="FF0000"/>
          <w:sz w:val="20"/>
        </w:rPr>
        <w:t xml:space="preserve"> что </w:t>
      </w:r>
      <w:r w:rsidR="00AF26FF" w:rsidRPr="00AF611E">
        <w:rPr>
          <w:color w:val="FF0000"/>
          <w:sz w:val="20"/>
        </w:rPr>
        <w:t>объем</w:t>
      </w:r>
      <w:r w:rsidR="00AD51E7" w:rsidRPr="00AF611E">
        <w:rPr>
          <w:color w:val="FF0000"/>
          <w:sz w:val="20"/>
        </w:rPr>
        <w:t xml:space="preserve"> выпуска</w:t>
      </w:r>
      <w:r w:rsidR="00956FA4" w:rsidRPr="00AF611E">
        <w:rPr>
          <w:color w:val="FF0000"/>
          <w:sz w:val="20"/>
        </w:rPr>
        <w:t>емой продукции</w:t>
      </w:r>
      <w:r w:rsidR="00AD51E7" w:rsidRPr="00AF611E">
        <w:rPr>
          <w:color w:val="FF0000"/>
          <w:sz w:val="20"/>
        </w:rPr>
        <w:t xml:space="preserve"> </w:t>
      </w:r>
      <w:r w:rsidR="00956FA4" w:rsidRPr="00AF611E">
        <w:rPr>
          <w:color w:val="FF0000"/>
          <w:sz w:val="20"/>
        </w:rPr>
        <w:t>компании</w:t>
      </w:r>
      <w:r w:rsidR="00AD51E7" w:rsidRPr="00AF611E">
        <w:rPr>
          <w:color w:val="FF0000"/>
          <w:sz w:val="20"/>
        </w:rPr>
        <w:t xml:space="preserve"> не зависит от уровней </w:t>
      </w:r>
      <w:r w:rsidR="00956FA4" w:rsidRPr="00AF611E">
        <w:rPr>
          <w:color w:val="FF0000"/>
          <w:sz w:val="20"/>
        </w:rPr>
        <w:t>выпускаемой продукции</w:t>
      </w:r>
      <w:r w:rsidR="00AD51E7" w:rsidRPr="00AF611E">
        <w:rPr>
          <w:color w:val="FF0000"/>
          <w:sz w:val="20"/>
        </w:rPr>
        <w:t xml:space="preserve"> конкурентов, а соответственно, предпол</w:t>
      </w:r>
      <w:r w:rsidR="00AD51E7" w:rsidRPr="00AF611E">
        <w:rPr>
          <w:color w:val="FF0000"/>
          <w:sz w:val="20"/>
        </w:rPr>
        <w:t>а</w:t>
      </w:r>
      <w:r w:rsidR="00AD51E7" w:rsidRPr="00AF611E">
        <w:rPr>
          <w:color w:val="FF0000"/>
          <w:sz w:val="20"/>
        </w:rPr>
        <w:t>гаемые вариации</w:t>
      </w:r>
      <w:r w:rsidR="00956FA4" w:rsidRPr="00AF611E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AF611E">
        <w:rPr>
          <w:color w:val="FF0000"/>
          <w:sz w:val="20"/>
          <w:szCs w:val="28"/>
        </w:rPr>
        <w:t xml:space="preserve"> </w:t>
      </w:r>
      <w:r w:rsidR="00AD51E7" w:rsidRPr="00AF611E">
        <w:rPr>
          <w:color w:val="FF0000"/>
          <w:sz w:val="20"/>
        </w:rPr>
        <w:t xml:space="preserve">принимаются равными нулю. </w:t>
      </w:r>
      <w:r w:rsidR="00956FA4" w:rsidRPr="00AF611E">
        <w:rPr>
          <w:color w:val="FF0000"/>
          <w:sz w:val="20"/>
        </w:rPr>
        <w:t>Тогда прибыль выражается</w:t>
      </w:r>
      <w:r w:rsidR="00AD51E7" w:rsidRPr="00AF611E">
        <w:rPr>
          <w:color w:val="FF0000"/>
          <w:sz w:val="20"/>
        </w:rPr>
        <w:t xml:space="preserve"> разностью между выручкой и издержками</w:t>
      </w:r>
      <w:r w:rsidR="00E9147D" w:rsidRPr="00AF611E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AF611E">
        <w:rPr>
          <w:color w:val="FF0000"/>
          <w:sz w:val="20"/>
        </w:rPr>
        <w:t>:</w:t>
      </w:r>
    </w:p>
    <w:p w:rsidR="00AD51E7" w:rsidRPr="00AF611E" w:rsidRDefault="00C66962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AF611E">
        <w:rPr>
          <w:color w:val="FF0000"/>
          <w:sz w:val="20"/>
          <w:szCs w:val="28"/>
        </w:rPr>
        <w:t xml:space="preserve">       </w:t>
      </w:r>
      <w:r w:rsidR="00001522" w:rsidRPr="00AF611E">
        <w:rPr>
          <w:color w:val="FF0000"/>
          <w:sz w:val="20"/>
          <w:szCs w:val="28"/>
        </w:rPr>
        <w:t xml:space="preserve">    </w:t>
      </w:r>
      <w:r w:rsidR="00C50BAE" w:rsidRPr="00AF611E">
        <w:rPr>
          <w:color w:val="FF0000"/>
          <w:sz w:val="20"/>
          <w:szCs w:val="28"/>
        </w:rPr>
        <w:t xml:space="preserve">  </w:t>
      </w:r>
      <w:r w:rsidR="00956FA4" w:rsidRPr="00AF611E">
        <w:rPr>
          <w:color w:val="FF0000"/>
          <w:sz w:val="20"/>
          <w:szCs w:val="28"/>
        </w:rPr>
        <w:t xml:space="preserve"> </w:t>
      </w:r>
      <w:r w:rsidR="00AD51E7" w:rsidRPr="00AF611E">
        <w:rPr>
          <w:color w:val="FF0000"/>
          <w:sz w:val="20"/>
          <w:szCs w:val="28"/>
        </w:rPr>
        <w:t xml:space="preserve"> </w:t>
      </w:r>
      <w:r w:rsidR="00001522" w:rsidRPr="00AF611E">
        <w:rPr>
          <w:color w:val="FF0000"/>
          <w:sz w:val="20"/>
          <w:szCs w:val="28"/>
        </w:rPr>
        <w:t xml:space="preserve">  </w:t>
      </w:r>
      <w:r w:rsidR="00AD51E7" w:rsidRPr="00AF611E">
        <w:rPr>
          <w:color w:val="FF0000"/>
          <w:sz w:val="20"/>
          <w:szCs w:val="28"/>
        </w:rPr>
        <w:t xml:space="preserve">                 (</w:t>
      </w:r>
      <w:r w:rsidR="00956FA4" w:rsidRPr="00AF611E">
        <w:rPr>
          <w:color w:val="FF0000"/>
          <w:sz w:val="20"/>
          <w:szCs w:val="28"/>
        </w:rPr>
        <w:t>4</w:t>
      </w:r>
      <w:r w:rsidR="00AD51E7" w:rsidRPr="00AF611E">
        <w:rPr>
          <w:color w:val="FF0000"/>
          <w:sz w:val="20"/>
          <w:szCs w:val="28"/>
        </w:rPr>
        <w:t>)</w:t>
      </w:r>
    </w:p>
    <w:p w:rsidR="00AB727C" w:rsidRPr="00AF611E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AF611E">
        <w:rPr>
          <w:color w:val="FF0000"/>
          <w:sz w:val="20"/>
        </w:rPr>
        <w:t>У</w:t>
      </w:r>
      <w:r w:rsidR="00AD51E7" w:rsidRPr="00AF611E">
        <w:rPr>
          <w:color w:val="FF0000"/>
          <w:sz w:val="20"/>
        </w:rPr>
        <w:t>словие (</w:t>
      </w:r>
      <w:r w:rsidR="00001522" w:rsidRPr="00AF611E">
        <w:rPr>
          <w:color w:val="FF0000"/>
          <w:sz w:val="20"/>
        </w:rPr>
        <w:t>3</w:t>
      </w:r>
      <w:r w:rsidR="00AD51E7" w:rsidRPr="00AF611E">
        <w:rPr>
          <w:color w:val="FF0000"/>
          <w:sz w:val="20"/>
        </w:rPr>
        <w:t>)</w:t>
      </w:r>
      <w:r w:rsidRPr="00AF611E">
        <w:rPr>
          <w:color w:val="FF0000"/>
          <w:sz w:val="20"/>
        </w:rPr>
        <w:t xml:space="preserve"> в этом случае</w:t>
      </w:r>
      <w:r w:rsidR="00AD51E7" w:rsidRPr="00AF611E">
        <w:rPr>
          <w:color w:val="FF0000"/>
          <w:sz w:val="20"/>
        </w:rPr>
        <w:t xml:space="preserve"> принимает вид</w:t>
      </w:r>
      <w:r w:rsidR="00CE127B" w:rsidRPr="00AF611E">
        <w:rPr>
          <w:color w:val="FF0000"/>
          <w:sz w:val="20"/>
        </w:rPr>
        <w:t>:</w:t>
      </w:r>
    </w:p>
    <w:p w:rsidR="00CB335A" w:rsidRPr="00AF611E" w:rsidRDefault="00C66962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AF611E">
        <w:rPr>
          <w:color w:val="FF0000"/>
          <w:sz w:val="20"/>
          <w:szCs w:val="28"/>
        </w:rPr>
        <w:t xml:space="preserve">            </w:t>
      </w:r>
      <w:r w:rsidR="006C4C75" w:rsidRPr="00AF611E">
        <w:rPr>
          <w:color w:val="FF0000"/>
          <w:sz w:val="20"/>
          <w:szCs w:val="28"/>
        </w:rPr>
        <w:t xml:space="preserve"> </w:t>
      </w:r>
      <w:r w:rsidR="00001522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</w:t>
      </w:r>
      <w:r w:rsidR="00563231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</w:t>
      </w:r>
      <w:r w:rsidR="00452A96" w:rsidRPr="00AF611E">
        <w:rPr>
          <w:color w:val="FF0000"/>
          <w:sz w:val="20"/>
          <w:szCs w:val="28"/>
        </w:rPr>
        <w:t xml:space="preserve"> </w:t>
      </w:r>
      <w:r w:rsidR="00CB335A" w:rsidRPr="00AF611E">
        <w:rPr>
          <w:color w:val="FF0000"/>
          <w:sz w:val="20"/>
          <w:szCs w:val="28"/>
        </w:rPr>
        <w:t xml:space="preserve">           (</w:t>
      </w:r>
      <w:r w:rsidR="00956FA4" w:rsidRPr="00AF611E">
        <w:rPr>
          <w:color w:val="FF0000"/>
          <w:sz w:val="20"/>
          <w:szCs w:val="28"/>
        </w:rPr>
        <w:t>5</w:t>
      </w:r>
      <w:r w:rsidR="00CB335A" w:rsidRPr="00AF611E">
        <w:rPr>
          <w:color w:val="FF0000"/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как гиперкомплексная динамическая система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продукта: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</w:t>
      </w:r>
      <w:r w:rsidRPr="00FE5A20">
        <w:rPr>
          <w:sz w:val="20"/>
        </w:rPr>
        <w:t>а</w:t>
      </w:r>
      <w:r w:rsidRPr="00FE5A20">
        <w:rPr>
          <w:sz w:val="20"/>
        </w:rPr>
        <w:t>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{F</w:t>
      </w:r>
      <w:r w:rsidR="00E56703" w:rsidRPr="00FE5A20">
        <w:rPr>
          <w:sz w:val="20"/>
          <w:vertAlign w:val="subscript"/>
        </w:rPr>
        <w:t>1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2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3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4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5</w:t>
      </w:r>
      <w:r w:rsidR="00E56703" w:rsidRPr="00FE5A20">
        <w:rPr>
          <w:sz w:val="20"/>
        </w:rPr>
        <w:t>,F</w:t>
      </w:r>
      <w:r w:rsidR="00E56703" w:rsidRPr="00FE5A20">
        <w:rPr>
          <w:sz w:val="20"/>
          <w:vertAlign w:val="subscript"/>
        </w:rPr>
        <w:t>6</w:t>
      </w:r>
      <w:r w:rsidR="00FE5A20" w:rsidRPr="00FE5A20">
        <w:rPr>
          <w:sz w:val="20"/>
        </w:rPr>
        <w:t>,F</w:t>
      </w:r>
      <w:r w:rsidR="00FE5A20" w:rsidRPr="00FE5A20">
        <w:rPr>
          <w:sz w:val="20"/>
          <w:vertAlign w:val="subscript"/>
        </w:rPr>
        <w:t>7</w:t>
      </w:r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конкуренции, расширя</w:t>
      </w:r>
      <w:r w:rsidR="00C50BAE" w:rsidRPr="00FE5A20">
        <w:rPr>
          <w:bCs/>
          <w:sz w:val="20"/>
        </w:rPr>
        <w:t>ю</w:t>
      </w:r>
      <w:r w:rsidR="00C50BAE" w:rsidRPr="00FE5A20">
        <w:rPr>
          <w:bCs/>
          <w:sz w:val="20"/>
        </w:rPr>
        <w:t xml:space="preserve">щей классическую модель </w:t>
      </w:r>
      <w:r w:rsidR="006D1059" w:rsidRPr="00FE5A20">
        <w:rPr>
          <w:bCs/>
          <w:sz w:val="20"/>
        </w:rPr>
        <w:t>конкуренции</w:t>
      </w:r>
      <w:r w:rsidR="00C5693F">
        <w:rPr>
          <w:bCs/>
          <w:sz w:val="20"/>
        </w:rPr>
        <w:t>,</w:t>
      </w:r>
      <w:r w:rsidR="002D48E4" w:rsidRPr="00FE5A20">
        <w:rPr>
          <w:bCs/>
          <w:sz w:val="20"/>
        </w:rPr>
        <w:t xml:space="preserve"> и решается задача конкурентного анализа отрасли</w:t>
      </w:r>
      <w:r w:rsidR="00C50BAE" w:rsidRPr="00FE5A20">
        <w:rPr>
          <w:bCs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 </w:t>
      </w:r>
      <w:r w:rsidRPr="00FE5A20">
        <w:rPr>
          <w:sz w:val="20"/>
        </w:rPr>
        <w:t>(</w:t>
      </w:r>
      <w:r w:rsidR="00920952" w:rsidRPr="00FE5A20">
        <w:rPr>
          <w:sz w:val="20"/>
        </w:rPr>
        <w:t xml:space="preserve">рис. </w:t>
      </w:r>
      <w:r w:rsidRPr="00FE5A20">
        <w:rPr>
          <w:sz w:val="20"/>
        </w:rPr>
        <w:t>3).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>Теоретико-игровая модель анализа конкуренции как ГДС описывает пов</w:t>
      </w:r>
      <w:r w:rsidRPr="00FE5A20">
        <w:rPr>
          <w:sz w:val="20"/>
        </w:rPr>
        <w:t>е</w:t>
      </w:r>
      <w:r w:rsidRPr="00FE5A20">
        <w:rPr>
          <w:sz w:val="20"/>
        </w:rPr>
        <w:t>дение системы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</w:t>
      </w:r>
      <w:r w:rsidR="009F0974" w:rsidRPr="00FE5A20">
        <w:rPr>
          <w:sz w:val="20"/>
          <w:szCs w:val="28"/>
        </w:rPr>
        <w:t>и</w:t>
      </w:r>
      <w:r w:rsidR="009F0974" w:rsidRPr="00FE5A20">
        <w:rPr>
          <w:sz w:val="20"/>
          <w:szCs w:val="28"/>
        </w:rPr>
        <w:t>рующих</w:t>
      </w:r>
      <w:proofErr w:type="spellEnd"/>
      <w:r w:rsidR="009F0974" w:rsidRPr="00FE5A20">
        <w:rPr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44" cy="38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C63C0E" w:rsidRDefault="008777A6" w:rsidP="00FC16EC">
      <w:pPr>
        <w:pStyle w:val="af6"/>
        <w:ind w:firstLine="284"/>
        <w:jc w:val="both"/>
        <w:rPr>
          <w:bCs/>
          <w:sz w:val="20"/>
        </w:rPr>
      </w:pPr>
      <w:r w:rsidRPr="00C63C0E">
        <w:rPr>
          <w:sz w:val="20"/>
        </w:rPr>
        <w:lastRenderedPageBreak/>
        <w:t>Таким образом, взаимодействие между парой агентов определяется соо</w:t>
      </w:r>
      <w:r w:rsidRPr="00C63C0E">
        <w:rPr>
          <w:sz w:val="20"/>
        </w:rPr>
        <w:t>т</w:t>
      </w:r>
      <w:r w:rsidRPr="00C63C0E">
        <w:rPr>
          <w:sz w:val="20"/>
        </w:rPr>
        <w:t>ношением</w:t>
      </w:r>
      <w:proofErr w:type="gramStart"/>
      <w:r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</w:t>
      </w:r>
      <w:proofErr w:type="gramEnd"/>
      <w:r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</w:rPr>
        <w:t xml:space="preserve"> </w:t>
      </w:r>
      <w:r w:rsidR="0070443C" w:rsidRPr="00C63C0E">
        <w:rPr>
          <w:sz w:val="20"/>
        </w:rPr>
        <w:t>может зависеть</w:t>
      </w:r>
      <w:r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следующих </w:t>
      </w:r>
      <w:r w:rsidRPr="00C63C0E">
        <w:rPr>
          <w:sz w:val="20"/>
        </w:rPr>
        <w:t>п</w:t>
      </w:r>
      <w:r w:rsidRPr="00C63C0E">
        <w:rPr>
          <w:sz w:val="20"/>
        </w:rPr>
        <w:t>а</w:t>
      </w:r>
      <w:r w:rsidR="00F92688">
        <w:rPr>
          <w:sz w:val="20"/>
        </w:rPr>
        <w:t>раметров ИА: тип агента/силы</w:t>
      </w:r>
      <w:r w:rsidRPr="00C63C0E">
        <w:rPr>
          <w:sz w:val="20"/>
        </w:rPr>
        <w:t>, 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Pr="00C63C0E">
        <w:rPr>
          <w:sz w:val="20"/>
        </w:rPr>
        <w:t>, статус агента вследс</w:t>
      </w:r>
      <w:r w:rsidRPr="00C63C0E">
        <w:rPr>
          <w:sz w:val="20"/>
        </w:rPr>
        <w:t>т</w:t>
      </w:r>
      <w:r w:rsidRPr="00C63C0E">
        <w:rPr>
          <w:sz w:val="20"/>
        </w:rPr>
        <w:t xml:space="preserve">вие действий </w:t>
      </w:r>
      <w:proofErr w:type="spellStart"/>
      <w:r w:rsidRPr="00C63C0E">
        <w:rPr>
          <w:sz w:val="20"/>
        </w:rPr>
        <w:t>комплементоров</w:t>
      </w:r>
      <w:proofErr w:type="spellEnd"/>
      <w:r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</w:t>
      </w:r>
      <w:r w:rsidR="00571DB2" w:rsidRPr="00C63C0E">
        <w:rPr>
          <w:sz w:val="20"/>
        </w:rPr>
        <w:t>е</w:t>
      </w:r>
      <w:r w:rsidR="00571DB2" w:rsidRPr="00C63C0E">
        <w:rPr>
          <w:sz w:val="20"/>
        </w:rPr>
        <w:t xml:space="preserve">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>характ</w:t>
      </w:r>
      <w:r w:rsidR="00B211F5" w:rsidRPr="00C63C0E">
        <w:rPr>
          <w:sz w:val="20"/>
        </w:rPr>
        <w:t>е</w:t>
      </w:r>
      <w:r w:rsidR="00B211F5" w:rsidRPr="00C63C0E">
        <w:rPr>
          <w:sz w:val="20"/>
        </w:rPr>
        <w:t xml:space="preserve">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приведен в табл. 2.</w:t>
      </w:r>
      <w:proofErr w:type="gramEnd"/>
    </w:p>
    <w:p w:rsidR="001D27F2" w:rsidRPr="00FA40CC" w:rsidRDefault="001D27F2" w:rsidP="00E8330B">
      <w:pPr>
        <w:pStyle w:val="af6"/>
        <w:spacing w:line="276" w:lineRule="auto"/>
        <w:jc w:val="right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Таблица 2</w:t>
      </w:r>
      <w:r w:rsidR="0064252C" w:rsidRPr="00FA40CC">
        <w:rPr>
          <w:bCs/>
          <w:color w:val="FF0000"/>
          <w:sz w:val="20"/>
        </w:rPr>
        <w:t>.</w:t>
      </w:r>
    </w:p>
    <w:p w:rsidR="001D27F2" w:rsidRPr="00FA40CC" w:rsidRDefault="001D27F2" w:rsidP="00E8330B">
      <w:pPr>
        <w:pStyle w:val="af6"/>
        <w:spacing w:line="276" w:lineRule="auto"/>
        <w:jc w:val="center"/>
        <w:rPr>
          <w:bCs/>
          <w:color w:val="FF0000"/>
          <w:sz w:val="20"/>
        </w:rPr>
      </w:pPr>
      <w:r w:rsidRPr="00FA40CC">
        <w:rPr>
          <w:bCs/>
          <w:color w:val="FF0000"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394"/>
        <w:gridCol w:w="448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94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394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176A82" w:rsidRDefault="00571DB2" w:rsidP="00571DB2">
            <w:pPr>
              <w:pStyle w:val="af6"/>
              <w:jc w:val="center"/>
              <w:rPr>
                <w:bCs/>
                <w:color w:val="FF0000"/>
                <w:sz w:val="20"/>
              </w:rPr>
            </w:pPr>
            <w:r w:rsidRPr="00176A82">
              <w:rPr>
                <w:color w:val="FF0000"/>
                <w:sz w:val="20"/>
              </w:rPr>
              <w:t>F</w:t>
            </w:r>
            <w:r w:rsidRPr="00176A82">
              <w:rPr>
                <w:color w:val="FF0000"/>
                <w:sz w:val="20"/>
                <w:vertAlign w:val="subscript"/>
              </w:rPr>
              <w:t>6</w:t>
            </w:r>
          </w:p>
        </w:tc>
        <w:tc>
          <w:tcPr>
            <w:tcW w:w="1394" w:type="dxa"/>
            <w:vAlign w:val="center"/>
          </w:tcPr>
          <w:p w:rsidR="00571DB2" w:rsidRPr="00176A82" w:rsidRDefault="002F2BC5" w:rsidP="002F2BC5">
            <w:pPr>
              <w:pStyle w:val="af6"/>
              <w:jc w:val="center"/>
              <w:rPr>
                <w:bCs/>
                <w:color w:val="FF0000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B211F5" w:rsidP="002F2BC5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176A82">
              <w:rPr>
                <w:bCs/>
                <w:color w:val="FF0000"/>
                <w:sz w:val="20"/>
              </w:rPr>
              <w:t>Дать положительный</w:t>
            </w:r>
            <w:r w:rsidR="002F2BC5" w:rsidRPr="00176A82">
              <w:rPr>
                <w:bCs/>
                <w:color w:val="FF0000"/>
                <w:sz w:val="20"/>
              </w:rPr>
              <w:t xml:space="preserve"> отзыв о продукте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176A82" w:rsidRDefault="00571DB2" w:rsidP="00C02B17">
            <w:pPr>
              <w:pStyle w:val="af6"/>
              <w:jc w:val="center"/>
              <w:rPr>
                <w:bCs/>
                <w:color w:val="FF0000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571DB2" w:rsidRPr="00176A82" w:rsidRDefault="002F2BC5" w:rsidP="00C02B17">
            <w:pPr>
              <w:pStyle w:val="af6"/>
              <w:jc w:val="center"/>
              <w:rPr>
                <w:bCs/>
                <w:color w:val="FF0000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B211F5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176A82">
              <w:rPr>
                <w:bCs/>
                <w:color w:val="FF0000"/>
                <w:sz w:val="20"/>
              </w:rPr>
              <w:t>Дать отрицательный</w:t>
            </w:r>
            <w:r w:rsidR="002F2BC5" w:rsidRPr="00176A82">
              <w:rPr>
                <w:bCs/>
                <w:color w:val="FF0000"/>
                <w:sz w:val="20"/>
              </w:rPr>
              <w:t xml:space="preserve">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176A82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 w:rsidRPr="00176A82">
              <w:rPr>
                <w:color w:val="000000" w:themeColor="text1"/>
                <w:sz w:val="20"/>
              </w:rPr>
              <w:t>F</w:t>
            </w:r>
            <w:r w:rsidRPr="00176A82">
              <w:rPr>
                <w:color w:val="000000" w:themeColor="text1"/>
                <w:sz w:val="20"/>
                <w:vertAlign w:val="subscript"/>
              </w:rPr>
              <w:t>7</w:t>
            </w:r>
          </w:p>
        </w:tc>
        <w:tc>
          <w:tcPr>
            <w:tcW w:w="1394" w:type="dxa"/>
            <w:vAlign w:val="center"/>
          </w:tcPr>
          <w:p w:rsidR="00176A82" w:rsidRPr="00176A82" w:rsidRDefault="00176A82" w:rsidP="00416D03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416D03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176A82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</w:p>
        </w:tc>
        <w:tc>
          <w:tcPr>
            <w:tcW w:w="1394" w:type="dxa"/>
            <w:vAlign w:val="center"/>
          </w:tcPr>
          <w:p w:rsidR="00176A82" w:rsidRPr="00176A82" w:rsidRDefault="00176A82" w:rsidP="00416D03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416D03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задается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определяется множество сил и агентов на каждом и</w:t>
      </w:r>
      <w:r w:rsidR="005074A0" w:rsidRPr="00C63C0E">
        <w:rPr>
          <w:bCs/>
          <w:sz w:val="20"/>
        </w:rPr>
        <w:t>е</w:t>
      </w:r>
      <w:r w:rsidR="005074A0" w:rsidRPr="00C63C0E">
        <w:rPr>
          <w:bCs/>
          <w:sz w:val="20"/>
        </w:rPr>
        <w:t>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определенный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  <w:szCs w:val="28"/>
        </w:rPr>
        <w:t xml:space="preserve"> </w:t>
      </w:r>
      <w:proofErr w:type="gramEnd"/>
      <w:r w:rsidR="00B211F5" w:rsidRPr="00C63C0E">
        <w:rPr>
          <w:sz w:val="20"/>
          <w:szCs w:val="28"/>
        </w:rPr>
        <w:t>и/</w:t>
      </w:r>
      <w:r w:rsidRPr="00C63C0E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C63C0E">
        <w:rPr>
          <w:sz w:val="20"/>
          <w:szCs w:val="28"/>
        </w:rPr>
        <w:t xml:space="preserve"> </w:t>
      </w:r>
      <w:proofErr w:type="gramStart"/>
      <w:r w:rsidR="00B07A84" w:rsidRPr="00C63C0E">
        <w:rPr>
          <w:sz w:val="20"/>
          <w:szCs w:val="28"/>
        </w:rPr>
        <w:t>явля</w:t>
      </w:r>
      <w:r w:rsidR="00B211F5" w:rsidRPr="00C63C0E">
        <w:rPr>
          <w:sz w:val="20"/>
          <w:szCs w:val="28"/>
        </w:rPr>
        <w:t>ется</w:t>
      </w:r>
      <w:proofErr w:type="gramEnd"/>
      <w:r w:rsidR="00B07A84" w:rsidRPr="00C63C0E">
        <w:rPr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C63C0E" w:rsidRDefault="00B07A84" w:rsidP="00FD717A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основных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Pr="00C63C0E">
        <w:rPr>
          <w:bCs/>
          <w:sz w:val="20"/>
        </w:rPr>
        <w:t xml:space="preserve">бросающий вызов (лидеру),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 xml:space="preserve">следующий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происходит ранжирование действий по зада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sz w:val="20"/>
            <w:szCs w:val="28"/>
          </w:rPr>
          <m:t>S</m:t>
        </m:r>
        <m:r>
          <w:rPr>
            <w:rFonts w:ascii="Cambria Math" w:hAnsi="Cambria Math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C63C0E" w:rsidRDefault="00AC09E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lastRenderedPageBreak/>
        <w:t xml:space="preserve">Графическое изображение алгоритмов построения </w:t>
      </w:r>
      <w:r w:rsidRPr="00C63C0E">
        <w:rPr>
          <w:sz w:val="20"/>
          <w:szCs w:val="28"/>
        </w:rPr>
        <w:t>модели глобальной ко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>куренции</w:t>
      </w:r>
      <w:r w:rsidRPr="00C63C0E">
        <w:rPr>
          <w:bCs/>
          <w:sz w:val="20"/>
        </w:rPr>
        <w:t xml:space="preserve"> и принятия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 в виде блок-схемы</w:t>
      </w:r>
      <w:r w:rsidRPr="00C63C0E">
        <w:rPr>
          <w:bCs/>
          <w:sz w:val="20"/>
        </w:rPr>
        <w:t xml:space="preserve"> представлено на рис. 4</w:t>
      </w:r>
      <w:r w:rsidR="00C63C0E" w:rsidRPr="00C63C0E">
        <w:rPr>
          <w:bCs/>
          <w:sz w:val="20"/>
        </w:rPr>
        <w:t>а и 4б</w:t>
      </w:r>
      <w:r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основными игроками:</w:t>
      </w:r>
    </w:p>
    <w:p w:rsidR="00C02B17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 это коэффициент конкурентоспособности, получаемый для кажд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                          (</w:t>
      </w:r>
      <w:r w:rsidR="00035783" w:rsidRPr="00C63C0E">
        <w:rPr>
          <w:sz w:val="20"/>
          <w:szCs w:val="28"/>
        </w:rPr>
        <w:t>9</w:t>
      </w:r>
      <w:r w:rsidR="00015E1F" w:rsidRPr="00C63C0E">
        <w:rPr>
          <w:sz w:val="20"/>
          <w:szCs w:val="28"/>
        </w:rPr>
        <w:t>)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015E1F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Тогда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C6696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 xml:space="preserve">сокотехнологичной продукции </w:t>
      </w:r>
      <w:r w:rsidRPr="00C63C0E">
        <w:rPr>
          <w:bCs/>
          <w:sz w:val="20"/>
        </w:rPr>
        <w:t>в работе предложены методы управления х</w:t>
      </w:r>
      <w:r w:rsidRPr="00C63C0E">
        <w:rPr>
          <w:bCs/>
          <w:sz w:val="20"/>
        </w:rPr>
        <w:t>а</w:t>
      </w:r>
      <w:r w:rsidRPr="00C63C0E">
        <w:rPr>
          <w:bCs/>
          <w:sz w:val="20"/>
        </w:rPr>
        <w:t>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аудиторию. Поскольку конкурентные преимущества предп</w:t>
      </w:r>
      <w:r w:rsidR="00CD116E" w:rsidRPr="00C63C0E">
        <w:rPr>
          <w:bCs/>
          <w:sz w:val="20"/>
        </w:rPr>
        <w:t>о</w:t>
      </w:r>
      <w:r w:rsidR="00CD116E" w:rsidRPr="00C63C0E">
        <w:rPr>
          <w:bCs/>
          <w:sz w:val="20"/>
        </w:rPr>
        <w:t xml:space="preserve">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C63C0E">
        <w:rPr>
          <w:bCs/>
          <w:sz w:val="20"/>
        </w:rPr>
        <w:t>необх</w:t>
      </w:r>
      <w:r w:rsidR="002D76D3" w:rsidRPr="00C63C0E">
        <w:rPr>
          <w:bCs/>
          <w:sz w:val="20"/>
        </w:rPr>
        <w:t>о</w:t>
      </w:r>
      <w:r w:rsidR="002D76D3" w:rsidRPr="00C63C0E">
        <w:rPr>
          <w:bCs/>
          <w:sz w:val="20"/>
        </w:rPr>
        <w:t>димо вводить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которые определяются методом экспер</w:t>
      </w:r>
      <w:r w:rsidR="00C2088E" w:rsidRPr="00C63C0E">
        <w:rPr>
          <w:bCs/>
          <w:sz w:val="20"/>
        </w:rPr>
        <w:t>т</w:t>
      </w:r>
      <w:r w:rsidR="00C2088E" w:rsidRPr="00C63C0E">
        <w:rPr>
          <w:bCs/>
          <w:sz w:val="20"/>
        </w:rPr>
        <w:lastRenderedPageBreak/>
        <w:t xml:space="preserve">ных оценок. Использование 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B319B2" w:rsidP="00097F56">
      <w:pPr>
        <w:pStyle w:val="af6"/>
        <w:ind w:firstLine="284"/>
        <w:jc w:val="both"/>
        <w:rPr>
          <w:sz w:val="20"/>
        </w:rPr>
      </w:pPr>
      <w:r w:rsidRPr="00B74757">
        <w:rPr>
          <w:bCs/>
          <w:sz w:val="20"/>
        </w:rPr>
        <w:t>В основ</w:t>
      </w:r>
      <w:r w:rsidR="00657582" w:rsidRPr="00B74757">
        <w:rPr>
          <w:bCs/>
          <w:sz w:val="20"/>
        </w:rPr>
        <w:t>у</w:t>
      </w:r>
      <w:r w:rsidRPr="00B74757">
        <w:rPr>
          <w:bCs/>
          <w:sz w:val="20"/>
        </w:rPr>
        <w:t xml:space="preserve"> системы поддержки принятия решений (СППР) </w:t>
      </w:r>
      <w:r w:rsidR="00657582" w:rsidRPr="00B74757">
        <w:rPr>
          <w:bCs/>
          <w:sz w:val="20"/>
        </w:rPr>
        <w:t>положена</w:t>
      </w:r>
      <w:r w:rsidRPr="00B74757">
        <w:rPr>
          <w:bCs/>
          <w:sz w:val="20"/>
        </w:rPr>
        <w:t xml:space="preserve"> модель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высокотехнологичного продукта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его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097F56">
        <w:rPr>
          <w:bCs/>
          <w:sz w:val="20"/>
          <w:lang w:val="en-US"/>
        </w:rPr>
        <w:t>Data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Flow</w:t>
      </w:r>
      <w:r w:rsidRPr="00097F56">
        <w:rPr>
          <w:bCs/>
          <w:sz w:val="20"/>
        </w:rPr>
        <w:t xml:space="preserve"> </w:t>
      </w:r>
      <w:r w:rsidRPr="00097F56">
        <w:rPr>
          <w:bCs/>
          <w:sz w:val="20"/>
          <w:lang w:val="en-US"/>
        </w:rPr>
        <w:t>Diagram</w:t>
      </w:r>
      <w:r w:rsidRPr="00097F56">
        <w:rPr>
          <w:bCs/>
          <w:sz w:val="20"/>
        </w:rPr>
        <w:t xml:space="preserve">) на рис. </w:t>
      </w:r>
      <w:r w:rsidR="00A62992">
        <w:rPr>
          <w:bCs/>
          <w:sz w:val="20"/>
        </w:rPr>
        <w:t>7</w:t>
      </w:r>
      <w:r w:rsidRPr="00097F56">
        <w:rPr>
          <w:bCs/>
          <w:sz w:val="20"/>
        </w:rPr>
        <w:t xml:space="preserve">. </w:t>
      </w:r>
    </w:p>
    <w:p w:rsidR="00437726" w:rsidRDefault="00437726" w:rsidP="00FD717A">
      <w:pPr>
        <w:pStyle w:val="af6"/>
        <w:ind w:firstLine="284"/>
        <w:jc w:val="both"/>
        <w:rPr>
          <w:sz w:val="20"/>
        </w:rPr>
      </w:pPr>
      <w:r w:rsidRPr="00097F56">
        <w:rPr>
          <w:bCs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097F56">
        <w:rPr>
          <w:bCs/>
          <w:sz w:val="20"/>
        </w:rPr>
        <w:t>Extract</w:t>
      </w:r>
      <w:proofErr w:type="spellEnd"/>
      <w:r w:rsidRPr="00097F56">
        <w:rPr>
          <w:bCs/>
          <w:sz w:val="20"/>
        </w:rPr>
        <w:t xml:space="preserve"> – Извлечение, </w:t>
      </w:r>
      <w:proofErr w:type="spellStart"/>
      <w:r w:rsidRPr="00097F56">
        <w:rPr>
          <w:bCs/>
          <w:sz w:val="20"/>
        </w:rPr>
        <w:t>Transform</w:t>
      </w:r>
      <w:proofErr w:type="spellEnd"/>
      <w:r w:rsidRPr="00097F56">
        <w:rPr>
          <w:bCs/>
          <w:sz w:val="20"/>
        </w:rPr>
        <w:t xml:space="preserve"> – Преобразование, </w:t>
      </w:r>
      <w:proofErr w:type="spellStart"/>
      <w:r w:rsidRPr="00097F56">
        <w:rPr>
          <w:bCs/>
          <w:sz w:val="20"/>
        </w:rPr>
        <w:t>Load</w:t>
      </w:r>
      <w:proofErr w:type="spellEnd"/>
      <w:r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Pr="00097F56">
        <w:rPr>
          <w:bCs/>
          <w:sz w:val="20"/>
        </w:rPr>
        <w:t>м</w:t>
      </w:r>
      <w:r w:rsidRPr="00097F56">
        <w:rPr>
          <w:bCs/>
          <w:sz w:val="20"/>
        </w:rPr>
        <w:t xml:space="preserve">ные средства с помощью разработанного API: </w:t>
      </w:r>
      <w:r w:rsidRPr="00097F56">
        <w:rPr>
          <w:sz w:val="20"/>
        </w:rPr>
        <w:t xml:space="preserve">система конкурентной разведки </w:t>
      </w:r>
      <w:proofErr w:type="spellStart"/>
      <w:r w:rsidRPr="00097F56">
        <w:rPr>
          <w:sz w:val="20"/>
        </w:rPr>
        <w:t>Avalanche</w:t>
      </w:r>
      <w:proofErr w:type="spellEnd"/>
      <w:r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Pr="00097F56">
        <w:rPr>
          <w:sz w:val="20"/>
        </w:rPr>
        <w:t>SiteSputnik</w:t>
      </w:r>
      <w:proofErr w:type="spellEnd"/>
      <w:r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Pr="00097F56">
        <w:rPr>
          <w:sz w:val="20"/>
        </w:rPr>
        <w:t>Я</w:t>
      </w:r>
      <w:r w:rsidRPr="00097F56">
        <w:rPr>
          <w:sz w:val="20"/>
        </w:rPr>
        <w:t>н</w:t>
      </w:r>
      <w:r w:rsidRPr="00097F56">
        <w:rPr>
          <w:sz w:val="20"/>
        </w:rPr>
        <w:t>декс</w:t>
      </w:r>
      <w:proofErr w:type="gramStart"/>
      <w:r w:rsidRPr="00097F56">
        <w:rPr>
          <w:sz w:val="20"/>
        </w:rPr>
        <w:t>.М</w:t>
      </w:r>
      <w:proofErr w:type="gramEnd"/>
      <w:r w:rsidRPr="00097F56">
        <w:rPr>
          <w:sz w:val="20"/>
        </w:rPr>
        <w:t>аркет</w:t>
      </w:r>
      <w:proofErr w:type="spellEnd"/>
      <w:r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1B4402" w:rsidP="00097F56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109043" cy="1924215"/>
            <wp:effectExtent l="19050" t="0" r="0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84" cy="192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52A96" w:rsidRDefault="003E4A4F" w:rsidP="003E4A4F">
      <w:pPr>
        <w:pStyle w:val="af6"/>
        <w:jc w:val="center"/>
        <w:rPr>
          <w:bCs/>
          <w:color w:val="FF0000"/>
          <w:sz w:val="20"/>
        </w:rPr>
      </w:pPr>
      <w:r w:rsidRPr="00452A96">
        <w:rPr>
          <w:bCs/>
          <w:color w:val="FF0000"/>
          <w:sz w:val="20"/>
        </w:rPr>
        <w:t xml:space="preserve">Рис. </w:t>
      </w:r>
      <w:r w:rsidR="00A62992">
        <w:rPr>
          <w:bCs/>
          <w:color w:val="FF0000"/>
          <w:sz w:val="20"/>
        </w:rPr>
        <w:t>7</w:t>
      </w:r>
      <w:r w:rsidRPr="00452A96">
        <w:rPr>
          <w:bCs/>
          <w:color w:val="FF0000"/>
          <w:sz w:val="20"/>
        </w:rPr>
        <w:t xml:space="preserve">. Принцип работы ПАК </w:t>
      </w:r>
      <w:proofErr w:type="spellStart"/>
      <w:r w:rsidRPr="00452A96">
        <w:rPr>
          <w:bCs/>
          <w:color w:val="FF0000"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Разработанный ПАК был использован для проведения конкурентного ан</w:t>
      </w:r>
      <w:r w:rsidRPr="00F70658">
        <w:rPr>
          <w:bCs/>
          <w:sz w:val="20"/>
        </w:rPr>
        <w:t>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отрасли: объектов авиационной техн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 xml:space="preserve">ки, медицинских информационных систем и устройств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947083" cy="2393343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7" cy="239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C6696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Default="00400E9B" w:rsidP="008D48A5">
      <w:pPr>
        <w:pStyle w:val="af6"/>
        <w:ind w:firstLine="284"/>
        <w:jc w:val="both"/>
        <w:rPr>
          <w:bCs/>
          <w:sz w:val="20"/>
          <w:lang w:val="en-US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было показано, что наибол</w:t>
      </w:r>
      <w:r w:rsidR="003C6ACB" w:rsidRPr="00F70658">
        <w:rPr>
          <w:bCs/>
          <w:sz w:val="20"/>
        </w:rPr>
        <w:t>ь</w:t>
      </w:r>
      <w:r w:rsidR="003C6ACB" w:rsidRPr="00F70658">
        <w:rPr>
          <w:bCs/>
          <w:sz w:val="20"/>
        </w:rPr>
        <w:t xml:space="preserve">шую прибыль получит агент соответствующий американскому истребителю F-22; следом за ним идут T-50 и J-20. Наименее прибыльным оказался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>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</w:t>
      </w:r>
      <w:r w:rsidR="003C6ACB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>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рекомендована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предполагающая расширение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C05B1" w:rsidRDefault="006C05B1" w:rsidP="008D48A5">
      <w:pPr>
        <w:pStyle w:val="af6"/>
        <w:ind w:firstLine="284"/>
        <w:jc w:val="both"/>
        <w:rPr>
          <w:bCs/>
          <w:sz w:val="20"/>
          <w:lang w:val="en-US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429906" cy="3315694"/>
            <wp:effectExtent l="19050" t="0" r="0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6" cy="331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>Результаты конкурентного анализа в секторе ОАТ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были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</w:t>
      </w:r>
      <w:r w:rsidRPr="00F70658">
        <w:rPr>
          <w:sz w:val="20"/>
        </w:rPr>
        <w:t>н</w:t>
      </w:r>
      <w:r w:rsidRPr="00F70658">
        <w:rPr>
          <w:sz w:val="20"/>
        </w:rPr>
        <w:t>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>, основанные на сборе и анализе показаний датчиков пе</w:t>
      </w:r>
      <w:r w:rsidRPr="00F70658">
        <w:rPr>
          <w:sz w:val="20"/>
        </w:rPr>
        <w:t>р</w:t>
      </w:r>
      <w:r w:rsidRPr="00F70658">
        <w:rPr>
          <w:sz w:val="20"/>
        </w:rPr>
        <w:t xml:space="preserve">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 xml:space="preserve">системы носимых устройств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37" w:rsidRDefault="00046A37">
      <w:r>
        <w:separator/>
      </w:r>
    </w:p>
  </w:endnote>
  <w:endnote w:type="continuationSeparator" w:id="0">
    <w:p w:rsidR="00046A37" w:rsidRDefault="00046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C6696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300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Pr="00FC16EC" w:rsidRDefault="00C6696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0300DE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6C05B1">
      <w:rPr>
        <w:noProof/>
        <w:sz w:val="20"/>
      </w:rPr>
      <w:t>18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37" w:rsidRDefault="00046A37">
      <w:r>
        <w:separator/>
      </w:r>
    </w:p>
  </w:footnote>
  <w:footnote w:type="continuationSeparator" w:id="0">
    <w:p w:rsidR="00046A37" w:rsidRDefault="00046A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0DE" w:rsidRDefault="00C6696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0300DE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300DE" w:rsidRDefault="000300DE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0DE"/>
    <w:rsid w:val="00030E5D"/>
    <w:rsid w:val="00034150"/>
    <w:rsid w:val="00035783"/>
    <w:rsid w:val="00040AF1"/>
    <w:rsid w:val="00040F78"/>
    <w:rsid w:val="00043727"/>
    <w:rsid w:val="0004597B"/>
    <w:rsid w:val="00046A37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078E0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24</Pages>
  <Words>6808</Words>
  <Characters>38807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14</cp:revision>
  <cp:lastPrinted>2016-07-02T13:29:00Z</cp:lastPrinted>
  <dcterms:created xsi:type="dcterms:W3CDTF">2016-08-10T11:05:00Z</dcterms:created>
  <dcterms:modified xsi:type="dcterms:W3CDTF">2016-08-11T12:20:00Z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