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</w:t>
      </w:r>
      <w:r w:rsidR="008D060F">
        <w:rPr>
          <w:sz w:val="20"/>
        </w:rPr>
        <w:t>х</w:t>
      </w:r>
      <w:r w:rsidR="008D060F">
        <w:rPr>
          <w:sz w:val="20"/>
        </w:rPr>
        <w:t>нологиях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 xml:space="preserve">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</w:t>
      </w:r>
      <w:proofErr w:type="gramStart"/>
      <w:r w:rsidR="00FE3367">
        <w:rPr>
          <w:sz w:val="20"/>
        </w:rPr>
        <w:t>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</w:t>
      </w:r>
      <w:r w:rsidR="008D060F">
        <w:rPr>
          <w:sz w:val="20"/>
        </w:rPr>
        <w:t>м</w:t>
      </w:r>
      <w:r w:rsidR="008D060F">
        <w:rPr>
          <w:sz w:val="20"/>
        </w:rPr>
        <w:t>плексных динамических систем (</w:t>
      </w:r>
      <w:r w:rsidR="009A29AE" w:rsidRPr="00EC2567">
        <w:rPr>
          <w:sz w:val="20"/>
        </w:rPr>
        <w:t>ГДС</w:t>
      </w:r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</w:t>
      </w:r>
      <w:r w:rsidR="009A29AE" w:rsidRPr="00EC2567">
        <w:rPr>
          <w:sz w:val="20"/>
        </w:rPr>
        <w:t>е</w:t>
      </w:r>
      <w:r w:rsidR="009A29AE" w:rsidRPr="00EC2567">
        <w:rPr>
          <w:sz w:val="20"/>
        </w:rPr>
        <w:t>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  <w:proofErr w:type="gramEnd"/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</w:t>
      </w:r>
      <w:proofErr w:type="spellStart"/>
      <w:r w:rsidR="008D060F">
        <w:rPr>
          <w:sz w:val="20"/>
        </w:rPr>
        <w:t>чассто</w:t>
      </w:r>
      <w:proofErr w:type="spellEnd"/>
      <w:r w:rsidR="00B95E96">
        <w:rPr>
          <w:sz w:val="20"/>
        </w:rPr>
        <w:t xml:space="preserve">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 xml:space="preserve">решена в работах М.Портера, определившего конкуренцию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lastRenderedPageBreak/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</w:t>
      </w:r>
      <w:proofErr w:type="gramStart"/>
      <w:r w:rsidR="00DB5B71" w:rsidRPr="00DB5B71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 xml:space="preserve">} </w:t>
      </w:r>
      <w:proofErr w:type="gramEnd"/>
      <w:r w:rsidR="00DB5B71" w:rsidRPr="00DB5B71">
        <w:rPr>
          <w:sz w:val="20"/>
        </w:rPr>
        <w:t>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глобальной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>, а также привлекательность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 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>, применяемых в аэр</w:t>
      </w:r>
      <w:r w:rsidR="005C3B0A" w:rsidRPr="00862E65">
        <w:rPr>
          <w:sz w:val="20"/>
        </w:rPr>
        <w:t>о</w:t>
      </w:r>
      <w:r w:rsidR="005C3B0A" w:rsidRPr="00862E65">
        <w:rPr>
          <w:sz w:val="20"/>
        </w:rPr>
        <w:t>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 xml:space="preserve">Из представленного обзора 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решений, однако до настоящего времени не существует модели, отражающей совреме</w:t>
      </w:r>
      <w:r w:rsidRPr="00D10F21">
        <w:rPr>
          <w:sz w:val="20"/>
        </w:rPr>
        <w:t>н</w:t>
      </w:r>
      <w:r w:rsidRPr="00D10F21">
        <w:rPr>
          <w:sz w:val="20"/>
        </w:rPr>
        <w:t xml:space="preserve">ное состояние отраслевых рынков и позволяющей анализировать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 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программно-аппаратного комплекса</w:t>
      </w:r>
      <w:r w:rsidR="00882517">
        <w:rPr>
          <w:sz w:val="20"/>
        </w:rPr>
        <w:t xml:space="preserve"> (ПАК)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такого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</w:t>
      </w:r>
      <w:r w:rsidRPr="005A1D2D">
        <w:rPr>
          <w:sz w:val="20"/>
        </w:rPr>
        <w:t>з</w:t>
      </w:r>
      <w:r w:rsidRPr="005A1D2D">
        <w:rPr>
          <w:sz w:val="20"/>
        </w:rPr>
        <w:t>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</w:t>
      </w:r>
      <w:r w:rsidRPr="005A1D2D">
        <w:rPr>
          <w:sz w:val="20"/>
        </w:rPr>
        <w:t>р</w:t>
      </w:r>
      <w:r w:rsidRPr="005A1D2D">
        <w:rPr>
          <w:sz w:val="20"/>
        </w:rPr>
        <w:t>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 xml:space="preserve">Целью </w:t>
      </w:r>
      <w:r w:rsidR="008935F9">
        <w:rPr>
          <w:sz w:val="20"/>
        </w:rPr>
        <w:t xml:space="preserve">данной </w:t>
      </w:r>
      <w:r w:rsidR="00BE43E9" w:rsidRPr="002142D6">
        <w:rPr>
          <w:sz w:val="20"/>
        </w:rPr>
        <w:t xml:space="preserve">работы является </w:t>
      </w:r>
      <w:r w:rsidR="008935F9">
        <w:rPr>
          <w:sz w:val="20"/>
        </w:rPr>
        <w:t>создание</w:t>
      </w:r>
      <w:r w:rsidR="00BE43E9" w:rsidRPr="002142D6">
        <w:rPr>
          <w:sz w:val="20"/>
        </w:rPr>
        <w:t xml:space="preserve"> инстр</w:t>
      </w:r>
      <w:r w:rsidR="00BE43E9" w:rsidRPr="002142D6">
        <w:rPr>
          <w:sz w:val="20"/>
        </w:rPr>
        <w:t>у</w:t>
      </w:r>
      <w:r w:rsidR="00BE43E9" w:rsidRPr="002142D6">
        <w:rPr>
          <w:sz w:val="20"/>
        </w:rPr>
        <w:t>ментария конкурентного анализа, то есть математического и программного обеспечения системы поддержки принятия решений на основе моделирования глобальной конкуренции на основных этапах жизненного цикла высокотехн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логично</w:t>
      </w:r>
      <w:r w:rsidR="00E13905">
        <w:rPr>
          <w:sz w:val="20"/>
        </w:rPr>
        <w:t>й</w:t>
      </w:r>
      <w:r w:rsidR="00BE43E9" w:rsidRPr="002142D6">
        <w:rPr>
          <w:sz w:val="20"/>
        </w:rPr>
        <w:t xml:space="preserve"> продук</w:t>
      </w:r>
      <w:r w:rsidR="00E13905">
        <w:rPr>
          <w:sz w:val="20"/>
        </w:rPr>
        <w:t>ц</w:t>
      </w:r>
      <w:proofErr w:type="gramStart"/>
      <w:r w:rsidR="00E13905">
        <w:rPr>
          <w:sz w:val="20"/>
        </w:rPr>
        <w:t>ии</w:t>
      </w:r>
      <w:r w:rsidR="00BE43E9" w:rsidRPr="002142D6">
        <w:rPr>
          <w:sz w:val="20"/>
        </w:rPr>
        <w:t xml:space="preserve"> аэ</w:t>
      </w:r>
      <w:proofErr w:type="gramEnd"/>
      <w:r w:rsidR="00BE43E9" w:rsidRPr="002142D6">
        <w:rPr>
          <w:sz w:val="20"/>
        </w:rPr>
        <w:t>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</w:t>
      </w:r>
      <w:r w:rsidR="008935F9">
        <w:rPr>
          <w:sz w:val="20"/>
        </w:rPr>
        <w:t>ую</w:t>
      </w:r>
      <w:r w:rsidRPr="002142D6">
        <w:rPr>
          <w:sz w:val="20"/>
        </w:rPr>
        <w:t xml:space="preserve">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>вых рынков – модел</w:t>
      </w:r>
      <w:r w:rsidR="008935F9">
        <w:rPr>
          <w:sz w:val="20"/>
        </w:rPr>
        <w:t>ь</w:t>
      </w:r>
      <w:r w:rsidRPr="002142D6">
        <w:rPr>
          <w:sz w:val="20"/>
        </w:rPr>
        <w:t xml:space="preserve">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методы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программно-аппаратный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</w:t>
      </w:r>
      <w:r w:rsidRPr="002142D6">
        <w:rPr>
          <w:sz w:val="20"/>
        </w:rPr>
        <w:t>у</w:t>
      </w:r>
      <w:r w:rsidRPr="002142D6">
        <w:rPr>
          <w:sz w:val="20"/>
        </w:rPr>
        <w:t>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 – м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>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</w:t>
      </w:r>
      <w:r w:rsidR="00737AC0" w:rsidRPr="004D1A17">
        <w:rPr>
          <w:sz w:val="20"/>
        </w:rPr>
        <w:t>у</w:t>
      </w:r>
      <w:r w:rsidR="00737AC0" w:rsidRPr="004D1A17">
        <w:rPr>
          <w:sz w:val="20"/>
        </w:rPr>
        <w:t>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конкуренции, отража</w:t>
      </w:r>
      <w:r w:rsidR="008935F9">
        <w:rPr>
          <w:sz w:val="20"/>
        </w:rPr>
        <w:t>ющая</w:t>
      </w:r>
      <w:r w:rsidRPr="004D1A17">
        <w:rPr>
          <w:sz w:val="20"/>
        </w:rPr>
        <w:t xml:space="preserve"> совреме</w:t>
      </w:r>
      <w:r w:rsidRPr="004D1A17">
        <w:rPr>
          <w:sz w:val="20"/>
        </w:rPr>
        <w:t>н</w:t>
      </w:r>
      <w:r w:rsidRPr="004D1A17">
        <w:rPr>
          <w:sz w:val="20"/>
        </w:rPr>
        <w:t>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8935F9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8935F9">
        <w:rPr>
          <w:sz w:val="20"/>
        </w:rPr>
        <w:t>.</w:t>
      </w:r>
    </w:p>
    <w:p w:rsidR="00737AC0" w:rsidRPr="004D1A17" w:rsidRDefault="008935F9" w:rsidP="008935F9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</w:t>
      </w:r>
      <w:r w:rsidR="009F201E" w:rsidRPr="004D1A17">
        <w:rPr>
          <w:sz w:val="20"/>
        </w:rPr>
        <w:t>з</w:t>
      </w:r>
      <w:r w:rsidR="009F201E" w:rsidRPr="004D1A17">
        <w:rPr>
          <w:sz w:val="20"/>
        </w:rPr>
        <w:t xml:space="preserve">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</w:t>
      </w:r>
      <w:r w:rsidRPr="004D1A17">
        <w:rPr>
          <w:sz w:val="20"/>
        </w:rPr>
        <w:t>а</w:t>
      </w:r>
      <w:r w:rsidRPr="004D1A17">
        <w:rPr>
          <w:sz w:val="20"/>
        </w:rPr>
        <w:t xml:space="preserve">ции по повышению конкурентоспособности </w:t>
      </w:r>
      <w:r w:rsidR="004A5911" w:rsidRPr="004D1A17">
        <w:rPr>
          <w:sz w:val="20"/>
        </w:rPr>
        <w:t>МИС для проведения вр</w:t>
      </w:r>
      <w:r w:rsidR="004A5911" w:rsidRPr="004D1A17">
        <w:rPr>
          <w:sz w:val="20"/>
        </w:rPr>
        <w:t>а</w:t>
      </w:r>
      <w:r w:rsidR="004A5911" w:rsidRPr="004D1A17">
        <w:rPr>
          <w:sz w:val="20"/>
        </w:rPr>
        <w:t>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>пок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</w:t>
      </w:r>
      <w:r w:rsidRPr="004D1A17">
        <w:rPr>
          <w:sz w:val="20"/>
        </w:rPr>
        <w:t>е</w:t>
      </w:r>
      <w:r w:rsidRPr="004D1A17">
        <w:rPr>
          <w:sz w:val="20"/>
        </w:rPr>
        <w:t>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proofErr w:type="gramStart"/>
      <w:r w:rsidR="00125D1C" w:rsidRPr="00FD67F8">
        <w:rPr>
          <w:sz w:val="20"/>
        </w:rPr>
        <w:t>Разработанное</w:t>
      </w:r>
      <w:proofErr w:type="gramEnd"/>
      <w:r w:rsidR="00125D1C" w:rsidRPr="00FD67F8">
        <w:rPr>
          <w:sz w:val="20"/>
        </w:rPr>
        <w:t xml:space="preserve">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</w:t>
      </w:r>
      <w:r w:rsidR="00DD4D11">
        <w:rPr>
          <w:sz w:val="20"/>
        </w:rPr>
        <w:t>и</w:t>
      </w:r>
      <w:r w:rsidR="00DD4D11">
        <w:rPr>
          <w:sz w:val="20"/>
        </w:rPr>
        <w:t>зе конкуренции 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</w:t>
      </w:r>
      <w:r w:rsidR="00125D1C" w:rsidRPr="00FD67F8">
        <w:rPr>
          <w:sz w:val="20"/>
        </w:rPr>
        <w:t>н</w:t>
      </w:r>
      <w:r w:rsidR="00125D1C" w:rsidRPr="00FD67F8">
        <w:rPr>
          <w:sz w:val="20"/>
        </w:rPr>
        <w:t>ности и показало свою эффективность.</w:t>
      </w:r>
      <w:r w:rsidR="00BD168E">
        <w:rPr>
          <w:sz w:val="20"/>
        </w:rPr>
        <w:t xml:space="preserve"> Получены свидетельства о государс</w:t>
      </w:r>
      <w:r w:rsidR="00BD168E">
        <w:rPr>
          <w:sz w:val="20"/>
        </w:rPr>
        <w:t>т</w:t>
      </w:r>
      <w:r w:rsidR="00BD168E">
        <w:rPr>
          <w:sz w:val="20"/>
        </w:rPr>
        <w:t>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D0511A" w:rsidRPr="00FD67F8">
        <w:rPr>
          <w:sz w:val="20"/>
        </w:rPr>
        <w:t>экономические системы с использован</w:t>
      </w:r>
      <w:r w:rsidR="00D0511A" w:rsidRPr="00FD67F8">
        <w:rPr>
          <w:sz w:val="20"/>
        </w:rPr>
        <w:t>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 xml:space="preserve">1, 2, 4, 5, 10, 11, 12, 13 </w:t>
      </w:r>
      <w:r w:rsidR="00DD4D11">
        <w:rPr>
          <w:sz w:val="20"/>
        </w:rPr>
        <w:t xml:space="preserve">паспорта </w:t>
      </w:r>
      <w:r w:rsidR="00FC53A8" w:rsidRPr="00FD67F8">
        <w:rPr>
          <w:sz w:val="20"/>
        </w:rPr>
        <w:t>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proofErr w:type="gramStart"/>
      <w:r w:rsidR="006F6FE3">
        <w:rPr>
          <w:bCs/>
          <w:sz w:val="20"/>
        </w:rPr>
        <w:t>Классический анализ конкуренции в отрасли на основе теории взаимодействия пяти сил М.Портера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</w:t>
      </w:r>
      <w:r w:rsidR="006F6FE3" w:rsidRPr="004D1A17">
        <w:rPr>
          <w:sz w:val="20"/>
        </w:rPr>
        <w:t>о</w:t>
      </w:r>
      <w:r w:rsidR="006F6FE3" w:rsidRPr="004D1A17">
        <w:rPr>
          <w:sz w:val="20"/>
        </w:rPr>
        <w:lastRenderedPageBreak/>
        <w:t>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</w:t>
      </w:r>
      <w:r w:rsidR="00A970B0">
        <w:rPr>
          <w:bCs/>
          <w:sz w:val="20"/>
        </w:rPr>
        <w:t>т</w:t>
      </w:r>
      <w:r w:rsidR="00A970B0">
        <w:rPr>
          <w:bCs/>
          <w:sz w:val="20"/>
        </w:rPr>
        <w:t>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</w:t>
      </w:r>
      <w:r w:rsidR="00442201" w:rsidRPr="004D1A17">
        <w:rPr>
          <w:bCs/>
          <w:sz w:val="20"/>
        </w:rPr>
        <w:t>м</w:t>
      </w:r>
      <w:r w:rsidR="00442201" w:rsidRPr="004D1A17">
        <w:rPr>
          <w:bCs/>
          <w:sz w:val="20"/>
        </w:rPr>
        <w:t>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</w:t>
      </w:r>
      <w:r w:rsidR="0089234D">
        <w:rPr>
          <w:sz w:val="20"/>
        </w:rPr>
        <w:t>н</w:t>
      </w:r>
      <w:r w:rsidR="0089234D">
        <w:rPr>
          <w:sz w:val="20"/>
        </w:rPr>
        <w:t>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</w:t>
      </w:r>
      <w:proofErr w:type="gramEnd"/>
      <w:r w:rsidR="0089234D" w:rsidRPr="006147C4">
        <w:rPr>
          <w:bCs/>
          <w:sz w:val="20"/>
        </w:rPr>
        <w:t>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</w:t>
      </w:r>
      <w:r w:rsidR="0089234D" w:rsidRPr="006147C4">
        <w:rPr>
          <w:bCs/>
          <w:sz w:val="20"/>
        </w:rPr>
        <w:t>ь</w:t>
      </w:r>
      <w:r w:rsidR="0089234D" w:rsidRPr="006147C4">
        <w:rPr>
          <w:bCs/>
          <w:sz w:val="20"/>
        </w:rPr>
        <w:t>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 удовлетворенные потребит</w:t>
      </w:r>
      <w:r w:rsidR="0089234D">
        <w:rPr>
          <w:sz w:val="20"/>
        </w:rPr>
        <w:t xml:space="preserve">ели, СМИ, социальные сети 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 xml:space="preserve">, не являясь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</w:t>
      </w:r>
      <w:r w:rsidRPr="0089234D">
        <w:rPr>
          <w:bCs/>
          <w:sz w:val="20"/>
        </w:rPr>
        <w:t>у</w:t>
      </w:r>
      <w:r w:rsidRPr="0089234D">
        <w:rPr>
          <w:bCs/>
          <w:sz w:val="20"/>
        </w:rPr>
        <w:t>рентоспособность выпускаемой игроками продукции</w:t>
      </w:r>
      <w:r w:rsidR="00CC1DA0">
        <w:rPr>
          <w:bCs/>
          <w:sz w:val="20"/>
        </w:rPr>
        <w:t xml:space="preserve">, </w:t>
      </w:r>
      <w:r w:rsidR="00A53EE5">
        <w:rPr>
          <w:bCs/>
          <w:sz w:val="20"/>
        </w:rPr>
        <w:t>следовательно,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</w:t>
      </w:r>
      <w:r w:rsidR="00CC1DA0">
        <w:rPr>
          <w:sz w:val="20"/>
        </w:rPr>
        <w:t>и</w:t>
      </w:r>
      <w:r w:rsidR="00CC1DA0">
        <w:rPr>
          <w:sz w:val="20"/>
        </w:rPr>
        <w:t>вать в качестве первой модификации классической модели М.Портера (рис. 1).</w:t>
      </w:r>
    </w:p>
    <w:p w:rsidR="00D105E3" w:rsidRPr="00FD2B71" w:rsidRDefault="00D105E3" w:rsidP="00D105E3">
      <w:pPr>
        <w:pStyle w:val="af6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Взаимодействия сил</w:t>
      </w:r>
      <w:proofErr w:type="gramStart"/>
      <w:r w:rsidRPr="00FD2B71">
        <w:rPr>
          <w:bCs/>
          <w:sz w:val="20"/>
        </w:rPr>
        <w:t xml:space="preserve">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proofErr w:type="gramEnd"/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</w:t>
      </w:r>
      <w:proofErr w:type="spellStart"/>
      <w:r w:rsidRPr="00FD2B71">
        <w:rPr>
          <w:sz w:val="20"/>
        </w:rPr>
        <w:t>ГДС-матрицей</w:t>
      </w:r>
      <w:proofErr w:type="spellEnd"/>
      <w:r w:rsidRPr="00FD2B71">
        <w:rPr>
          <w:sz w:val="20"/>
        </w:rPr>
        <w:t xml:space="preserve"> (табл. 1).</w:t>
      </w:r>
    </w:p>
    <w:p w:rsidR="00D105E3" w:rsidRPr="00E8330B" w:rsidRDefault="00D105E3" w:rsidP="00E8330B">
      <w:pPr>
        <w:pStyle w:val="af6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af6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E058F2" w:rsidP="008935F9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E8330B" w:rsidP="00E8330B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FD2B71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E8330B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FD2B71" w:rsidP="00FD2B71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E8330B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E058F2" w:rsidP="003669EB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105E3" w:rsidRPr="00FD67F8" w:rsidRDefault="00D105E3" w:rsidP="00FB13BA">
      <w:pPr>
        <w:pStyle w:val="af6"/>
        <w:jc w:val="center"/>
        <w:rPr>
          <w:bCs/>
          <w:sz w:val="20"/>
        </w:rPr>
      </w:pPr>
    </w:p>
    <w:p w:rsidR="00D105E3" w:rsidRPr="00FD67F8" w:rsidRDefault="00684446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3434882" cy="2091193"/>
            <wp:effectExtent l="19050" t="0" r="0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045" cy="209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106CD8" w:rsidRPr="00DA45FE">
        <w:rPr>
          <w:bCs/>
          <w:color w:val="000000" w:themeColor="text1"/>
          <w:sz w:val="20"/>
        </w:rPr>
        <w:t>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af6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Pr="008D060F" w:rsidRDefault="00D105E3" w:rsidP="00D105E3">
      <w:pPr>
        <w:pStyle w:val="af6"/>
        <w:jc w:val="center"/>
        <w:rPr>
          <w:bCs/>
          <w:sz w:val="20"/>
        </w:rPr>
      </w:pPr>
    </w:p>
    <w:p w:rsidR="00D105E3" w:rsidRPr="00E8330B" w:rsidRDefault="00D105E3" w:rsidP="00D105E3">
      <w:pPr>
        <w:pStyle w:val="af6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FB13BA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B13BA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B13BA" w:rsidRPr="006147C4">
        <w:rPr>
          <w:sz w:val="20"/>
        </w:rPr>
        <w:t>}</w:t>
      </w:r>
      <w:r w:rsidR="00FB13BA" w:rsidRPr="00FB13BA">
        <w:rPr>
          <w:sz w:val="20"/>
        </w:rPr>
        <w:t xml:space="preserve"> </w:t>
      </w:r>
      <w:r w:rsidRPr="00E8330B">
        <w:rPr>
          <w:bCs/>
          <w:sz w:val="20"/>
        </w:rPr>
        <w:t>также имеет м</w:t>
      </w:r>
      <w:r w:rsidRPr="00E8330B">
        <w:rPr>
          <w:bCs/>
          <w:sz w:val="20"/>
        </w:rPr>
        <w:t>е</w:t>
      </w:r>
      <w:r w:rsidRPr="00E8330B">
        <w:rPr>
          <w:bCs/>
          <w:sz w:val="20"/>
        </w:rPr>
        <w:t>сто конкуренция,</w:t>
      </w:r>
      <w:r w:rsidRPr="00E8330B">
        <w:rPr>
          <w:sz w:val="20"/>
        </w:rPr>
        <w:t xml:space="preserve"> которая приводит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8330B">
        <w:rPr>
          <w:sz w:val="20"/>
        </w:rPr>
        <w:t>у</w:t>
      </w:r>
      <w:r w:rsidRPr="00E8330B">
        <w:rPr>
          <w:sz w:val="20"/>
        </w:rPr>
        <w:t xml:space="preserve">ренции, расширенной до модели глобальной конкуренции – МГК </w:t>
      </w:r>
      <w:r w:rsidRPr="00E8330B">
        <w:rPr>
          <w:bCs/>
          <w:sz w:val="20"/>
        </w:rPr>
        <w:t>(рис. 2).</w:t>
      </w:r>
    </w:p>
    <w:p w:rsidR="00D105E3" w:rsidRPr="00FD67F8" w:rsidRDefault="00C234D8" w:rsidP="00D105E3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4067920" cy="3389934"/>
            <wp:effectExtent l="19050" t="0" r="878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868" cy="33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af6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рассмотрены</w:t>
      </w:r>
      <w:r w:rsidR="00183A3C">
        <w:rPr>
          <w:sz w:val="20"/>
        </w:rPr>
        <w:t xml:space="preserve"> следующие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</w:t>
      </w:r>
      <w:r w:rsidRPr="004D1A17">
        <w:rPr>
          <w:sz w:val="20"/>
        </w:rPr>
        <w:t>н</w:t>
      </w:r>
      <w:r w:rsidRPr="004D1A17">
        <w:rPr>
          <w:sz w:val="20"/>
        </w:rPr>
        <w:t>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af6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>Моделирование конкуренции проводится с использованием математич</w:t>
      </w:r>
      <w:r w:rsidRPr="009F0CA6">
        <w:rPr>
          <w:bCs/>
          <w:sz w:val="20"/>
        </w:rPr>
        <w:t>е</w:t>
      </w:r>
      <w:r w:rsidRPr="009F0CA6">
        <w:rPr>
          <w:bCs/>
          <w:sz w:val="20"/>
        </w:rPr>
        <w:t xml:space="preserve">ского аппарата теории игр. </w:t>
      </w:r>
      <w:r w:rsidR="009F0CA6" w:rsidRPr="009F0CA6">
        <w:rPr>
          <w:bCs/>
          <w:sz w:val="20"/>
        </w:rPr>
        <w:t>М</w:t>
      </w:r>
      <w:r w:rsidR="00160DEA" w:rsidRPr="009F0CA6">
        <w:rPr>
          <w:bCs/>
          <w:sz w:val="20"/>
        </w:rPr>
        <w:t>атематическ</w:t>
      </w:r>
      <w:r w:rsidR="009F0CA6" w:rsidRPr="009F0CA6">
        <w:rPr>
          <w:bCs/>
          <w:sz w:val="20"/>
        </w:rPr>
        <w:t>ая</w:t>
      </w:r>
      <w:r w:rsidR="00160DEA" w:rsidRPr="009F0CA6">
        <w:rPr>
          <w:bCs/>
          <w:sz w:val="20"/>
        </w:rPr>
        <w:t xml:space="preserve"> модель </w:t>
      </w:r>
      <w:r w:rsidR="00236A1D" w:rsidRPr="009F0CA6">
        <w:rPr>
          <w:bCs/>
          <w:sz w:val="20"/>
        </w:rPr>
        <w:t>конкуренции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af6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>компании, соответствующие 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>Для анализа конкуренции в аэрокосмической отрасли использ</w:t>
      </w:r>
      <w:r w:rsidR="00340AA2" w:rsidRPr="00E4542E">
        <w:rPr>
          <w:sz w:val="20"/>
          <w:szCs w:val="28"/>
        </w:rPr>
        <w:t>у</w:t>
      </w:r>
      <w:r w:rsidR="00340AA2" w:rsidRPr="00E4542E">
        <w:rPr>
          <w:sz w:val="20"/>
          <w:szCs w:val="28"/>
        </w:rPr>
        <w:t xml:space="preserve">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</w:t>
      </w:r>
      <w:r w:rsidR="0084695B" w:rsidRPr="00E4542E">
        <w:rPr>
          <w:sz w:val="20"/>
          <w:szCs w:val="28"/>
        </w:rPr>
        <w:t>с</w:t>
      </w:r>
      <w:r w:rsidR="0084695B" w:rsidRPr="00E4542E">
        <w:rPr>
          <w:sz w:val="20"/>
          <w:szCs w:val="28"/>
        </w:rPr>
        <w:t>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af6"/>
        <w:ind w:firstLine="284"/>
        <w:jc w:val="both"/>
        <w:rPr>
          <w:sz w:val="20"/>
        </w:rPr>
      </w:pPr>
      <w:r w:rsidRPr="00C908A8">
        <w:rPr>
          <w:bCs/>
          <w:sz w:val="20"/>
        </w:rPr>
        <w:lastRenderedPageBreak/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</w:t>
      </w:r>
      <w:r w:rsidR="00DF25CD" w:rsidRPr="00C908A8">
        <w:rPr>
          <w:bCs/>
          <w:sz w:val="20"/>
        </w:rPr>
        <w:t>н</w:t>
      </w:r>
      <w:r w:rsidR="00DF25CD" w:rsidRPr="00C908A8">
        <w:rPr>
          <w:bCs/>
          <w:sz w:val="20"/>
        </w:rPr>
        <w:t>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>объ</w:t>
      </w:r>
      <w:r w:rsidR="00687278" w:rsidRPr="00C908A8">
        <w:rPr>
          <w:sz w:val="20"/>
          <w:szCs w:val="28"/>
        </w:rPr>
        <w:t>е</w:t>
      </w:r>
      <w:r w:rsidR="00687278" w:rsidRPr="00C908A8">
        <w:rPr>
          <w:sz w:val="20"/>
          <w:szCs w:val="28"/>
        </w:rPr>
        <w:t xml:space="preserve">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r w:rsidR="004D3B00" w:rsidRPr="00C908A8">
        <w:rPr>
          <w:sz w:val="20"/>
          <w:szCs w:val="28"/>
        </w:rPr>
        <w:t>уммарный объем продаж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</w:t>
      </w:r>
      <w:r w:rsidR="00514D2D" w:rsidRPr="00C908A8">
        <w:rPr>
          <w:sz w:val="20"/>
        </w:rPr>
        <w:t>ы</w:t>
      </w:r>
      <w:r w:rsidR="00514D2D" w:rsidRPr="00C908A8">
        <w:rPr>
          <w:sz w:val="20"/>
        </w:rPr>
        <w:t xml:space="preserve">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w:r w:rsidR="00514D2D" w:rsidRPr="00C908A8">
        <w:rPr>
          <w:sz w:val="20"/>
          <w:lang w:val="en-US"/>
        </w:rPr>
        <w:t>a</w:t>
      </w:r>
      <w:r w:rsidR="00514D2D" w:rsidRPr="00C908A8">
        <w:rPr>
          <w:sz w:val="20"/>
        </w:rPr>
        <w:t xml:space="preserve"> – макс</w:t>
      </w:r>
      <w:r w:rsidR="00514D2D" w:rsidRPr="00C908A8">
        <w:rPr>
          <w:sz w:val="20"/>
        </w:rPr>
        <w:t>и</w:t>
      </w:r>
      <w:r w:rsidR="00514D2D" w:rsidRPr="00C908A8">
        <w:rPr>
          <w:sz w:val="20"/>
        </w:rPr>
        <w:t xml:space="preserve">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w:proofErr w:type="spellStart"/>
      <w:r w:rsidR="00514D2D" w:rsidRPr="00C908A8">
        <w:rPr>
          <w:sz w:val="20"/>
        </w:rPr>
        <w:t>b</w:t>
      </w:r>
      <w:proofErr w:type="spellEnd"/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af6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</w:t>
      </w:r>
      <w:r w:rsidRPr="00C908A8">
        <w:rPr>
          <w:sz w:val="20"/>
        </w:rPr>
        <w:t>е</w:t>
      </w:r>
      <w:r w:rsidRPr="00C908A8">
        <w:rPr>
          <w:sz w:val="20"/>
        </w:rPr>
        <w:t>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r w:rsidR="004B2601" w:rsidRPr="00C908A8">
        <w:rPr>
          <w:sz w:val="20"/>
        </w:rPr>
        <w:t xml:space="preserve">словием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</w:t>
      </w:r>
      <w:r w:rsidR="004B2601" w:rsidRPr="00C908A8">
        <w:rPr>
          <w:sz w:val="20"/>
        </w:rPr>
        <w:t>к</w:t>
      </w:r>
      <w:r w:rsidR="004B2601" w:rsidRPr="00C908A8">
        <w:rPr>
          <w:sz w:val="20"/>
        </w:rPr>
        <w:t>ции прибыли будет равенство нулю производной:</w:t>
      </w:r>
    </w:p>
    <w:p w:rsidR="004B2601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af6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>емой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</w:t>
      </w:r>
      <w:r w:rsidR="00956FA4" w:rsidRPr="007C5A57">
        <w:rPr>
          <w:sz w:val="20"/>
        </w:rPr>
        <w:t>ы</w:t>
      </w:r>
      <w:r w:rsidR="00956FA4" w:rsidRPr="007C5A57">
        <w:rPr>
          <w:sz w:val="20"/>
        </w:rPr>
        <w:t>пускаемой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выручкой и издержками</w:t>
      </w:r>
      <w:r>
        <w:rPr>
          <w:sz w:val="20"/>
        </w:rPr>
        <w:t>:</w:t>
      </w:r>
    </w:p>
    <w:p w:rsidR="00AD51E7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39436D" w:rsidP="006907C2">
      <w:pPr>
        <w:pStyle w:val="af6"/>
        <w:ind w:firstLine="284"/>
        <w:jc w:val="both"/>
        <w:rPr>
          <w:sz w:val="20"/>
        </w:rPr>
      </w:pPr>
      <w:r w:rsidRPr="001B56B6"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E058F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053172" w:rsidRPr="00FE5A20" w:rsidRDefault="00053172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</w:t>
      </w:r>
      <w:r w:rsidR="0039436D" w:rsidRPr="00FE5A20">
        <w:rPr>
          <w:sz w:val="20"/>
        </w:rPr>
        <w:t>может быть представлена</w:t>
      </w:r>
      <w:r w:rsidRPr="00FE5A20">
        <w:rPr>
          <w:sz w:val="20"/>
        </w:rPr>
        <w:t xml:space="preserve"> </w:t>
      </w:r>
      <w:r w:rsidR="001B56B6"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 w:rsidR="001B56B6">
        <w:rPr>
          <w:sz w:val="20"/>
        </w:rPr>
        <w:t>ой</w:t>
      </w:r>
      <w:r w:rsidRPr="00FE5A20">
        <w:rPr>
          <w:sz w:val="20"/>
        </w:rPr>
        <w:t xml:space="preserve"> систем</w:t>
      </w:r>
      <w:r w:rsidR="001B56B6">
        <w:rPr>
          <w:sz w:val="20"/>
        </w:rPr>
        <w:t>ы</w:t>
      </w:r>
      <w:r w:rsidRPr="00FE5A20">
        <w:rPr>
          <w:sz w:val="20"/>
        </w:rPr>
        <w:t xml:space="preserve"> (ГДС)</w:t>
      </w:r>
      <w:r w:rsidR="0039436D" w:rsidRPr="00FE5A20">
        <w:rPr>
          <w:sz w:val="20"/>
        </w:rPr>
        <w:t>, то есть как</w:t>
      </w:r>
      <w:r w:rsidRPr="00FE5A20">
        <w:rPr>
          <w:sz w:val="20"/>
        </w:rPr>
        <w:t xml:space="preserve"> многоуровневый фрактальный н</w:t>
      </w:r>
      <w:r w:rsidRPr="00FE5A20">
        <w:rPr>
          <w:sz w:val="20"/>
        </w:rPr>
        <w:t>а</w:t>
      </w:r>
      <w:r w:rsidRPr="00FE5A20">
        <w:rPr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FE5A20">
        <w:rPr>
          <w:sz w:val="20"/>
        </w:rPr>
        <w:t xml:space="preserve"> графа</w:t>
      </w:r>
      <w:r w:rsidRPr="00FE5A20">
        <w:rPr>
          <w:sz w:val="20"/>
        </w:rPr>
        <w:t xml:space="preserve">, являются </w:t>
      </w:r>
      <w:r w:rsidR="0039436D" w:rsidRPr="00FE5A20">
        <w:rPr>
          <w:sz w:val="20"/>
        </w:rPr>
        <w:t xml:space="preserve">продукция компании, комплектующие, </w:t>
      </w:r>
      <w:r w:rsidRPr="00FE5A20">
        <w:rPr>
          <w:sz w:val="20"/>
        </w:rPr>
        <w:t>финанс</w:t>
      </w:r>
      <w:r w:rsidRPr="00FE5A20">
        <w:rPr>
          <w:sz w:val="20"/>
        </w:rPr>
        <w:t>о</w:t>
      </w:r>
      <w:r w:rsidRPr="00FE5A20">
        <w:rPr>
          <w:sz w:val="20"/>
        </w:rPr>
        <w:t>вые средст</w:t>
      </w:r>
      <w:r w:rsidR="0039436D" w:rsidRPr="00FE5A20">
        <w:rPr>
          <w:sz w:val="20"/>
        </w:rPr>
        <w:t xml:space="preserve">ва </w:t>
      </w:r>
      <w:r w:rsidRPr="00FE5A20">
        <w:rPr>
          <w:sz w:val="20"/>
        </w:rPr>
        <w:t xml:space="preserve">и </w:t>
      </w:r>
      <w:r w:rsidR="000300DE">
        <w:rPr>
          <w:sz w:val="20"/>
        </w:rPr>
        <w:t>д</w:t>
      </w:r>
      <w:r w:rsidRPr="00FE5A20">
        <w:rPr>
          <w:sz w:val="20"/>
        </w:rPr>
        <w:t>р.</w:t>
      </w:r>
    </w:p>
    <w:p w:rsidR="00E56703" w:rsidRPr="00FE5A20" w:rsidRDefault="00E56703" w:rsidP="00F2578D">
      <w:pPr>
        <w:pStyle w:val="af6"/>
        <w:jc w:val="both"/>
        <w:rPr>
          <w:b/>
          <w:sz w:val="20"/>
        </w:rPr>
      </w:pPr>
      <w:r w:rsidRPr="00FE5A20">
        <w:rPr>
          <w:b/>
          <w:sz w:val="20"/>
        </w:rPr>
        <w:t>Постановка задачи:</w:t>
      </w:r>
    </w:p>
    <w:p w:rsidR="00E56703" w:rsidRPr="00FE5A20" w:rsidRDefault="00E56703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</w:t>
      </w:r>
      <w:r w:rsidR="00726D0B" w:rsidRPr="00FE5A20">
        <w:rPr>
          <w:sz w:val="20"/>
        </w:rPr>
        <w:t>м</w:t>
      </w:r>
      <w:r w:rsidR="00726D0B" w:rsidRPr="00FE5A20">
        <w:rPr>
          <w:sz w:val="20"/>
        </w:rPr>
        <w:t>плексной динамической системы.</w:t>
      </w:r>
    </w:p>
    <w:p w:rsidR="00370851" w:rsidRPr="00FE5A20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</w:t>
      </w:r>
      <w:r w:rsidR="00E56703" w:rsidRPr="00FE5A20">
        <w:rPr>
          <w:sz w:val="20"/>
        </w:rPr>
        <w:t>о</w:t>
      </w:r>
      <w:r w:rsidR="00E56703" w:rsidRPr="00FE5A20">
        <w:rPr>
          <w:sz w:val="20"/>
        </w:rPr>
        <w:t xml:space="preserve">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</w:t>
      </w:r>
      <w:r w:rsidR="00726D0B" w:rsidRPr="00FE5A20">
        <w:rPr>
          <w:sz w:val="20"/>
        </w:rPr>
        <w:t>т</w:t>
      </w:r>
      <w:r w:rsidR="00726D0B" w:rsidRPr="00FE5A20">
        <w:rPr>
          <w:sz w:val="20"/>
        </w:rPr>
        <w:t>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af6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секторе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2D48E4" w:rsidRPr="00FE5A20">
        <w:rPr>
          <w:bCs/>
          <w:sz w:val="20"/>
        </w:rPr>
        <w:t xml:space="preserve"> и 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lastRenderedPageBreak/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</w:t>
      </w:r>
      <w:r w:rsidRPr="00FE5A20">
        <w:rPr>
          <w:sz w:val="20"/>
        </w:rPr>
        <w:t>о</w:t>
      </w:r>
      <w:r w:rsidRPr="00FE5A20">
        <w:rPr>
          <w:sz w:val="20"/>
        </w:rPr>
        <w:t>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</w:t>
      </w:r>
      <w:r w:rsidRPr="00FE5A20">
        <w:rPr>
          <w:sz w:val="20"/>
        </w:rPr>
        <w:t>з</w:t>
      </w:r>
      <w:r w:rsidRPr="00FE5A20">
        <w:rPr>
          <w:sz w:val="20"/>
        </w:rPr>
        <w:t xml:space="preserve">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Третьей модификацией классической модели конкуренции является к</w:t>
      </w:r>
      <w:r w:rsidR="00920952" w:rsidRPr="00FE5A20">
        <w:rPr>
          <w:sz w:val="20"/>
        </w:rPr>
        <w:t>о</w:t>
      </w:r>
      <w:r w:rsidR="00920952" w:rsidRPr="00FE5A20">
        <w:rPr>
          <w:sz w:val="20"/>
        </w:rPr>
        <w:t>н</w:t>
      </w:r>
      <w:r w:rsidR="00920952" w:rsidRPr="00FE5A20">
        <w:rPr>
          <w:sz w:val="20"/>
        </w:rPr>
        <w:t xml:space="preserve">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</w:t>
      </w:r>
      <w:proofErr w:type="gramStart"/>
      <w:r w:rsidRPr="00FE5A2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</w:t>
      </w:r>
      <w:proofErr w:type="gramEnd"/>
      <w:r w:rsidRPr="00FE5A20">
        <w:rPr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</w:t>
      </w:r>
      <w:r w:rsidR="001B56B6">
        <w:rPr>
          <w:sz w:val="20"/>
          <w:szCs w:val="28"/>
        </w:rPr>
        <w:t>е</w:t>
      </w:r>
      <w:r w:rsidR="001B56B6">
        <w:rPr>
          <w:sz w:val="20"/>
          <w:szCs w:val="28"/>
        </w:rPr>
        <w:t>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af6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(ИА), наход</w:t>
      </w:r>
      <w:r w:rsidRPr="00FE5A20">
        <w:rPr>
          <w:sz w:val="20"/>
        </w:rPr>
        <w:t>я</w:t>
      </w:r>
      <w:r w:rsidRPr="00FE5A20">
        <w:rPr>
          <w:sz w:val="20"/>
        </w:rPr>
        <w:t>щихся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>, значения которых определяется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B56B6">
      <w:pPr>
        <w:pStyle w:val="af6"/>
        <w:spacing w:line="360" w:lineRule="auto"/>
        <w:jc w:val="center"/>
        <w:rPr>
          <w:sz w:val="20"/>
          <w:lang w:val="en-US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4266703" cy="3799176"/>
            <wp:effectExtent l="19050" t="0" r="497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30" cy="380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af6"/>
        <w:ind w:firstLine="284"/>
        <w:jc w:val="both"/>
        <w:rPr>
          <w:bCs/>
          <w:sz w:val="20"/>
        </w:rPr>
      </w:pPr>
      <w:r>
        <w:rPr>
          <w:sz w:val="20"/>
        </w:rPr>
        <w:lastRenderedPageBreak/>
        <w:t>В</w:t>
      </w:r>
      <w:r w:rsidR="008777A6" w:rsidRPr="00C63C0E">
        <w:rPr>
          <w:sz w:val="20"/>
        </w:rPr>
        <w:t>заимодействие между парой агентов определяется соотношением</w:t>
      </w:r>
      <w:proofErr w:type="gramStart"/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="008777A6" w:rsidRPr="00C63C0E">
        <w:rPr>
          <w:sz w:val="20"/>
        </w:rPr>
        <w:t xml:space="preserve">, </w:t>
      </w:r>
      <w:proofErr w:type="gramEnd"/>
      <w:r w:rsidR="008777A6" w:rsidRPr="00C63C0E">
        <w:rPr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</w:t>
      </w:r>
      <w:r w:rsidR="008777A6" w:rsidRPr="00C63C0E">
        <w:rPr>
          <w:sz w:val="20"/>
        </w:rPr>
        <w:t>е</w:t>
      </w:r>
      <w:r w:rsidR="008777A6" w:rsidRPr="00C63C0E">
        <w:rPr>
          <w:sz w:val="20"/>
        </w:rPr>
        <w:t xml:space="preserve">рархическом уровне. </w:t>
      </w:r>
      <w:proofErr w:type="gramStart"/>
      <w:r w:rsidR="008777A6" w:rsidRPr="00C63C0E">
        <w:rPr>
          <w:sz w:val="20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>раметров ИА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>увеличения объема выпускаемой продукции или уменьшения изде</w:t>
      </w:r>
      <w:r w:rsidR="00571DB2" w:rsidRPr="00C63C0E">
        <w:rPr>
          <w:sz w:val="20"/>
        </w:rPr>
        <w:t>р</w:t>
      </w:r>
      <w:r w:rsidR="00571DB2" w:rsidRPr="00C63C0E">
        <w:rPr>
          <w:sz w:val="20"/>
        </w:rPr>
        <w:t xml:space="preserve">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  <w:proofErr w:type="gramEnd"/>
    </w:p>
    <w:p w:rsidR="001D27F2" w:rsidRPr="003B2769" w:rsidRDefault="001D27F2" w:rsidP="00E8330B">
      <w:pPr>
        <w:pStyle w:val="af6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af6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af3"/>
        <w:tblW w:w="0" w:type="auto"/>
        <w:tblLook w:val="04A0"/>
      </w:tblPr>
      <w:tblGrid>
        <w:gridCol w:w="1122"/>
        <w:gridCol w:w="1406"/>
        <w:gridCol w:w="4474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</w:t>
            </w:r>
            <w:proofErr w:type="gramStart"/>
            <w:r w:rsidRPr="00FD67F8">
              <w:rPr>
                <w:bCs/>
                <w:sz w:val="20"/>
              </w:rPr>
              <w:t xml:space="preserve">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  <w:proofErr w:type="gramEnd"/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E058F2" w:rsidP="008D1C0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E42D71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D27F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E42D71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E058F2" w:rsidP="00DC046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FD67F8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E42D71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571DB2" w:rsidRPr="003B2769" w:rsidRDefault="00E42D71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af6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E058F2" w:rsidP="00DC046A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E42D71" w:rsidP="003B2769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E42D71" w:rsidP="00C02B17">
            <w:pPr>
              <w:pStyle w:val="af6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lang w:val="en-US"/>
              </w:rPr>
              <w:t>–</w:t>
            </w:r>
          </w:p>
        </w:tc>
        <w:tc>
          <w:tcPr>
            <w:tcW w:w="1394" w:type="dxa"/>
            <w:vAlign w:val="center"/>
          </w:tcPr>
          <w:p w:rsidR="00176A82" w:rsidRPr="00176A82" w:rsidRDefault="00E42D71" w:rsidP="003B2769">
            <w:pPr>
              <w:pStyle w:val="af6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af6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E42D71">
        <w:rPr>
          <w:sz w:val="20"/>
          <w:szCs w:val="28"/>
        </w:rPr>
        <w:t>м</w:t>
      </w:r>
      <w:r w:rsidR="005074A0" w:rsidRPr="00C63C0E">
        <w:rPr>
          <w:sz w:val="20"/>
          <w:szCs w:val="28"/>
        </w:rPr>
        <w:t xml:space="preserve"> число уро</w:t>
      </w:r>
      <w:r w:rsidR="005074A0" w:rsidRPr="00C63C0E">
        <w:rPr>
          <w:sz w:val="20"/>
          <w:szCs w:val="28"/>
        </w:rPr>
        <w:t>в</w:t>
      </w:r>
      <w:r w:rsidR="005074A0" w:rsidRPr="00C63C0E">
        <w:rPr>
          <w:sz w:val="20"/>
          <w:szCs w:val="28"/>
        </w:rPr>
        <w:t>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E42D71">
        <w:rPr>
          <w:bCs/>
          <w:sz w:val="20"/>
        </w:rPr>
        <w:t>м</w:t>
      </w:r>
      <w:r w:rsidR="005074A0" w:rsidRPr="00C63C0E">
        <w:rPr>
          <w:bCs/>
          <w:sz w:val="20"/>
        </w:rPr>
        <w:t xml:space="preserve"> множество сил и агентов на каждом иера</w:t>
      </w:r>
      <w:r w:rsidR="005074A0" w:rsidRPr="00C63C0E">
        <w:rPr>
          <w:bCs/>
          <w:sz w:val="20"/>
        </w:rPr>
        <w:t>р</w:t>
      </w:r>
      <w:r w:rsidR="005074A0" w:rsidRPr="00C63C0E">
        <w:rPr>
          <w:bCs/>
          <w:sz w:val="20"/>
        </w:rPr>
        <w:t>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выпускаемой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af6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1,6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sz w:val="20"/>
            <w:szCs w:val="28"/>
          </w:rPr>
          <m:t>Q</m:t>
        </m: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lastRenderedPageBreak/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</w:p>
    <w:p w:rsidR="00FA1F7C" w:rsidRPr="00C63C0E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</w:t>
      </w:r>
      <w:r w:rsidRPr="00C63C0E">
        <w:rPr>
          <w:sz w:val="20"/>
          <w:szCs w:val="28"/>
        </w:rPr>
        <w:t>ж</w:t>
      </w:r>
      <w:r w:rsidRPr="00C63C0E">
        <w:rPr>
          <w:sz w:val="20"/>
          <w:szCs w:val="28"/>
        </w:rPr>
        <w:t>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</w:t>
      </w:r>
      <w:r w:rsidR="00743EC7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>определяем множество действий о</w:t>
      </w:r>
      <w:r w:rsidRPr="00C63C0E">
        <w:rPr>
          <w:sz w:val="20"/>
          <w:szCs w:val="28"/>
        </w:rPr>
        <w:t>т</w:t>
      </w:r>
      <w:r w:rsidRPr="00C63C0E">
        <w:rPr>
          <w:sz w:val="20"/>
          <w:szCs w:val="28"/>
        </w:rPr>
        <w:t>дельных агентов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</w:t>
      </w:r>
      <w:proofErr w:type="gramEnd"/>
      <w:r w:rsidRPr="00C63C0E">
        <w:rPr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</w:t>
      </w:r>
      <w:r w:rsidRPr="00C63C0E">
        <w:rPr>
          <w:sz w:val="20"/>
        </w:rPr>
        <w:t>е</w:t>
      </w:r>
      <w:r w:rsidRPr="00C63C0E">
        <w:rPr>
          <w:sz w:val="20"/>
        </w:rPr>
        <w:t>рархическом уровне.</w:t>
      </w:r>
    </w:p>
    <w:p w:rsidR="00FE5A20" w:rsidRDefault="00FE5A20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</w:t>
      </w:r>
      <w:proofErr w:type="gramStart"/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proofErr w:type="gramEnd"/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</w:t>
      </w:r>
      <w:r w:rsidRPr="00C63C0E">
        <w:rPr>
          <w:sz w:val="20"/>
          <w:szCs w:val="28"/>
        </w:rPr>
        <w:t>е</w:t>
      </w:r>
      <w:r w:rsidRPr="00C63C0E">
        <w:rPr>
          <w:sz w:val="20"/>
          <w:szCs w:val="28"/>
        </w:rPr>
        <w:t>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в рамках заданной стратегии и бюджета, а также време</w:t>
      </w:r>
      <w:r w:rsidRPr="00C63C0E">
        <w:rPr>
          <w:sz w:val="20"/>
          <w:szCs w:val="28"/>
        </w:rPr>
        <w:t>н</w:t>
      </w:r>
      <w:r w:rsidRPr="00C63C0E">
        <w:rPr>
          <w:sz w:val="20"/>
          <w:szCs w:val="28"/>
        </w:rPr>
        <w:t xml:space="preserve">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</w:t>
      </w:r>
      <w:r w:rsidRPr="00C63C0E">
        <w:rPr>
          <w:sz w:val="20"/>
          <w:szCs w:val="28"/>
        </w:rPr>
        <w:t>з</w:t>
      </w:r>
      <w:r w:rsidRPr="00C63C0E">
        <w:rPr>
          <w:sz w:val="20"/>
          <w:szCs w:val="28"/>
        </w:rPr>
        <w:t>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5002E6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r w:rsidR="00B211F5" w:rsidRPr="00E974C5">
        <w:rPr>
          <w:sz w:val="20"/>
          <w:szCs w:val="28"/>
        </w:rPr>
        <w:t>ется</w:t>
      </w:r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</w:t>
      </w:r>
      <w:r w:rsidR="005002E6">
        <w:rPr>
          <w:bCs/>
          <w:sz w:val="20"/>
        </w:rPr>
        <w:t>ю</w:t>
      </w:r>
      <w:r w:rsidR="005002E6">
        <w:rPr>
          <w:bCs/>
          <w:sz w:val="20"/>
        </w:rPr>
        <w:t>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</w:t>
      </w:r>
      <w:r w:rsidR="005002E6">
        <w:rPr>
          <w:bCs/>
          <w:sz w:val="20"/>
        </w:rPr>
        <w:t>а</w:t>
      </w:r>
      <w:r w:rsidR="005002E6">
        <w:rPr>
          <w:bCs/>
          <w:sz w:val="20"/>
        </w:rPr>
        <w:t>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</w:t>
      </w:r>
      <w:proofErr w:type="spellStart"/>
      <w:r w:rsidRPr="00C63C0E">
        <w:rPr>
          <w:sz w:val="20"/>
          <w:szCs w:val="28"/>
        </w:rPr>
        <w:t>ым</w:t>
      </w:r>
      <w:proofErr w:type="spellEnd"/>
      <w:r w:rsidRPr="00C63C0E">
        <w:rPr>
          <w:sz w:val="20"/>
          <w:szCs w:val="28"/>
        </w:rPr>
        <w:t xml:space="preserve">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</w:t>
      </w:r>
      <w:r w:rsidRPr="00C63C0E">
        <w:rPr>
          <w:sz w:val="20"/>
          <w:szCs w:val="28"/>
        </w:rPr>
        <w:t>р</w:t>
      </w:r>
      <w:r w:rsidRPr="00C63C0E">
        <w:rPr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  <m:r>
          <w:rPr>
            <w:rFonts w:ascii="Cambria Math"/>
            <w:sz w:val="20"/>
            <w:szCs w:val="28"/>
          </w:rPr>
          <m:t>;</m:t>
        </m:r>
      </m:oMath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комплексно </w:t>
      </w:r>
      <w:proofErr w:type="spellStart"/>
      <w:r w:rsidRPr="00C63C0E">
        <w:rPr>
          <w:sz w:val="20"/>
          <w:szCs w:val="28"/>
        </w:rPr>
        <w:t>ма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>симизирующий</w:t>
      </w:r>
      <w:proofErr w:type="spellEnd"/>
      <w:r w:rsidRPr="00C63C0E">
        <w:rPr>
          <w:sz w:val="20"/>
          <w:szCs w:val="28"/>
        </w:rPr>
        <w:t xml:space="preserve"> прибыль.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>рования или установлено равновесие (каждый агент достиг своей цели и нах</w:t>
      </w:r>
      <w:r w:rsidRPr="00C63C0E">
        <w:rPr>
          <w:sz w:val="20"/>
          <w:szCs w:val="28"/>
        </w:rPr>
        <w:t>о</w:t>
      </w:r>
      <w:r w:rsidRPr="00C63C0E">
        <w:rPr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ИНАЧЕ {пр</w:t>
      </w:r>
      <w:r w:rsidRPr="00C63C0E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af6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Схема</w:t>
      </w:r>
      <w:r w:rsidR="00AC09EA" w:rsidRPr="00C63C0E">
        <w:rPr>
          <w:bCs/>
          <w:sz w:val="20"/>
        </w:rPr>
        <w:t xml:space="preserve"> алгоритмов построения </w:t>
      </w:r>
      <w:r w:rsidR="00AC09EA" w:rsidRPr="00C63C0E">
        <w:rPr>
          <w:sz w:val="20"/>
          <w:szCs w:val="28"/>
        </w:rPr>
        <w:t>модели глобальной конкуренции</w:t>
      </w:r>
      <w:r>
        <w:rPr>
          <w:sz w:val="20"/>
          <w:szCs w:val="28"/>
        </w:rPr>
        <w:t xml:space="preserve"> (рис. 4а)</w:t>
      </w:r>
      <w:r w:rsidR="00AC09EA" w:rsidRPr="00C63C0E">
        <w:rPr>
          <w:bCs/>
          <w:sz w:val="20"/>
        </w:rPr>
        <w:t xml:space="preserve"> и принятия решений </w:t>
      </w:r>
      <w:proofErr w:type="spellStart"/>
      <w:r w:rsidR="00AC09EA" w:rsidRPr="00C63C0E">
        <w:rPr>
          <w:i/>
          <w:sz w:val="20"/>
          <w:szCs w:val="28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</w:t>
      </w:r>
      <w:proofErr w:type="spellStart"/>
      <w:r w:rsidR="00AC09EA" w:rsidRPr="00C63C0E">
        <w:rPr>
          <w:sz w:val="20"/>
          <w:szCs w:val="28"/>
        </w:rPr>
        <w:t>ым</w:t>
      </w:r>
      <w:proofErr w:type="spellEnd"/>
      <w:r w:rsidR="00AC09EA" w:rsidRPr="00C63C0E">
        <w:rPr>
          <w:sz w:val="20"/>
          <w:szCs w:val="28"/>
        </w:rPr>
        <w:t xml:space="preserve"> агентом</w:t>
      </w:r>
      <w:r>
        <w:rPr>
          <w:sz w:val="20"/>
          <w:szCs w:val="28"/>
        </w:rPr>
        <w:t xml:space="preserve"> (рис. 4б)</w:t>
      </w:r>
      <w:r w:rsidR="00AC09EA" w:rsidRPr="00C63C0E"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>
        <w:rPr>
          <w:bCs/>
          <w:sz w:val="20"/>
        </w:rPr>
        <w:t>а</w:t>
      </w:r>
      <w:r w:rsidR="00AC09EA" w:rsidRPr="00C63C0E">
        <w:rPr>
          <w:bCs/>
          <w:sz w:val="20"/>
        </w:rPr>
        <w:t xml:space="preserve"> </w:t>
      </w:r>
      <w:r>
        <w:rPr>
          <w:bCs/>
          <w:sz w:val="20"/>
        </w:rPr>
        <w:t>ниже</w:t>
      </w:r>
      <w:r w:rsidR="00AC09EA" w:rsidRPr="00C63C0E">
        <w:rPr>
          <w:bCs/>
          <w:sz w:val="20"/>
        </w:rPr>
        <w:t>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551630" cy="2258171"/>
            <wp:effectExtent l="19050" t="0" r="0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967" cy="2263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5"/>
        <w:gridCol w:w="3917"/>
      </w:tblGrid>
      <w:tr w:rsidR="00C63C0E" w:rsidTr="00C63C0E">
        <w:tc>
          <w:tcPr>
            <w:tcW w:w="3085" w:type="dxa"/>
          </w:tcPr>
          <w:p w:rsidR="00C63C0E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а. Алгоритм</w:t>
            </w:r>
            <w:r w:rsidRPr="00FD67F8">
              <w:rPr>
                <w:bCs/>
                <w:sz w:val="20"/>
              </w:rPr>
              <w:t xml:space="preserve"> построения </w:t>
            </w:r>
            <w:r w:rsidRPr="00FD67F8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Рис. 4</w:t>
            </w:r>
            <w:r>
              <w:rPr>
                <w:bCs/>
                <w:sz w:val="20"/>
              </w:rPr>
              <w:t>б. Алгоритм</w:t>
            </w:r>
          </w:p>
          <w:p w:rsidR="00C63C0E" w:rsidRPr="00FD67F8" w:rsidRDefault="00C63C0E" w:rsidP="00C63C0E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принятия решений </w:t>
            </w:r>
            <w:proofErr w:type="spellStart"/>
            <w:r w:rsidRPr="00FD67F8">
              <w:rPr>
                <w:i/>
                <w:sz w:val="20"/>
                <w:szCs w:val="28"/>
                <w:lang w:val="en-US"/>
              </w:rPr>
              <w:t>i</w:t>
            </w:r>
            <w:proofErr w:type="spellEnd"/>
            <w:r w:rsidRPr="00FD67F8">
              <w:rPr>
                <w:sz w:val="20"/>
                <w:szCs w:val="28"/>
              </w:rPr>
              <w:t>-</w:t>
            </w:r>
            <w:proofErr w:type="spellStart"/>
            <w:r w:rsidRPr="00FD67F8">
              <w:rPr>
                <w:sz w:val="20"/>
                <w:szCs w:val="28"/>
              </w:rPr>
              <w:t>ым</w:t>
            </w:r>
            <w:proofErr w:type="spellEnd"/>
            <w:r w:rsidRPr="00FD67F8">
              <w:rPr>
                <w:sz w:val="20"/>
                <w:szCs w:val="28"/>
              </w:rPr>
              <w:t xml:space="preserve"> агентом</w:t>
            </w:r>
          </w:p>
          <w:p w:rsidR="00C63C0E" w:rsidRDefault="00C63C0E" w:rsidP="00AC09EA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C02B17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>Для прогнозирования состояния отраслевого рынка вычисляется распред</w:t>
      </w:r>
      <w:r w:rsidRPr="00C63C0E">
        <w:rPr>
          <w:bCs/>
          <w:sz w:val="20"/>
        </w:rPr>
        <w:t>е</w:t>
      </w:r>
      <w:r w:rsidRPr="00C63C0E">
        <w:rPr>
          <w:bCs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основными игроками:</w:t>
      </w:r>
    </w:p>
    <w:p w:rsidR="00C02B17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11226A" w:rsidP="00FD717A">
      <w:pPr>
        <w:pStyle w:val="af6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>игрока на рынке:</w:t>
      </w:r>
    </w:p>
    <w:p w:rsidR="0011226A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Pr="00C63C0E">
        <w:rPr>
          <w:sz w:val="20"/>
          <w:szCs w:val="28"/>
        </w:rPr>
        <w:t xml:space="preserve">коэффициент конкурентоспособности, получаемый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Pr="00C63C0E">
        <w:rPr>
          <w:sz w:val="20"/>
          <w:szCs w:val="28"/>
        </w:rPr>
        <w:t>хара</w:t>
      </w:r>
      <w:r w:rsidRPr="00C63C0E">
        <w:rPr>
          <w:sz w:val="20"/>
          <w:szCs w:val="28"/>
        </w:rPr>
        <w:t>к</w:t>
      </w:r>
      <w:r w:rsidRPr="00C63C0E">
        <w:rPr>
          <w:sz w:val="20"/>
          <w:szCs w:val="28"/>
        </w:rPr>
        <w:t xml:space="preserve">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E058F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af6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</w:t>
      </w:r>
      <w:r w:rsidR="00CD116E" w:rsidRPr="00C63C0E">
        <w:rPr>
          <w:bCs/>
          <w:sz w:val="20"/>
        </w:rPr>
        <w:t>ы</w:t>
      </w:r>
      <w:r w:rsidR="00CD116E" w:rsidRPr="00C63C0E">
        <w:rPr>
          <w:bCs/>
          <w:sz w:val="20"/>
        </w:rPr>
        <w:t>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>. Поскольку конкурентные преим</w:t>
      </w:r>
      <w:r w:rsidR="00CD116E" w:rsidRPr="00C63C0E">
        <w:rPr>
          <w:bCs/>
          <w:sz w:val="20"/>
        </w:rPr>
        <w:t>у</w:t>
      </w:r>
      <w:r w:rsidR="00CD116E" w:rsidRPr="00C63C0E">
        <w:rPr>
          <w:bCs/>
          <w:sz w:val="20"/>
        </w:rPr>
        <w:t xml:space="preserve">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</w:t>
      </w:r>
      <w:r w:rsidR="00CD116E" w:rsidRPr="00C63C0E">
        <w:rPr>
          <w:bCs/>
          <w:sz w:val="20"/>
        </w:rPr>
        <w:t>и</w:t>
      </w:r>
      <w:r w:rsidR="00CD116E" w:rsidRPr="00C63C0E">
        <w:rPr>
          <w:bCs/>
          <w:sz w:val="20"/>
        </w:rPr>
        <w:t xml:space="preserve">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Использование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</w:t>
      </w:r>
      <w:proofErr w:type="gramStart"/>
      <w:r w:rsidR="00CD116E" w:rsidRPr="00C63C0E">
        <w:rPr>
          <w:bCs/>
          <w:sz w:val="20"/>
        </w:rPr>
        <w:lastRenderedPageBreak/>
        <w:t>научно-техническом</w:t>
      </w:r>
      <w:proofErr w:type="gramEnd"/>
      <w:r w:rsidR="00CD116E" w:rsidRPr="00C63C0E">
        <w:rPr>
          <w:bCs/>
          <w:sz w:val="20"/>
        </w:rPr>
        <w:t xml:space="preserve"> или технологическом этапах </w:t>
      </w:r>
      <w:r w:rsidR="00EB5784" w:rsidRPr="00C63C0E">
        <w:rPr>
          <w:bCs/>
          <w:sz w:val="20"/>
        </w:rPr>
        <w:t xml:space="preserve">производства </w:t>
      </w:r>
      <w:r w:rsidR="00C2088E" w:rsidRPr="00C63C0E">
        <w:rPr>
          <w:bCs/>
          <w:sz w:val="20"/>
        </w:rPr>
        <w:t>позвол</w:t>
      </w:r>
      <w:r w:rsidR="00EC6139" w:rsidRPr="00C63C0E">
        <w:rPr>
          <w:bCs/>
          <w:sz w:val="20"/>
        </w:rPr>
        <w:t>яет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программно-аппаратный комплекс (ПАК)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, в основе которого лежит высокоуровневый язык программир</w:t>
      </w:r>
      <w:r w:rsidRPr="00097F56">
        <w:rPr>
          <w:bCs/>
          <w:sz w:val="20"/>
        </w:rPr>
        <w:t>о</w:t>
      </w:r>
      <w:r w:rsidRPr="00097F56">
        <w:rPr>
          <w:bCs/>
          <w:sz w:val="20"/>
        </w:rPr>
        <w:t xml:space="preserve">вания общего назначения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>. В качестве системы управления базами да</w:t>
      </w:r>
      <w:r w:rsidRPr="00097F56">
        <w:rPr>
          <w:bCs/>
          <w:sz w:val="20"/>
        </w:rPr>
        <w:t>н</w:t>
      </w:r>
      <w:r w:rsidRPr="00097F56">
        <w:rPr>
          <w:bCs/>
          <w:sz w:val="20"/>
        </w:rPr>
        <w:t xml:space="preserve">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</w:t>
      </w:r>
      <w:proofErr w:type="spellStart"/>
      <w:r w:rsidRPr="00097F56">
        <w:rPr>
          <w:bCs/>
          <w:sz w:val="20"/>
        </w:rPr>
        <w:t>веб-сервера</w:t>
      </w:r>
      <w:proofErr w:type="spellEnd"/>
      <w:r w:rsidRPr="00097F56">
        <w:rPr>
          <w:bCs/>
          <w:sz w:val="20"/>
        </w:rPr>
        <w:t xml:space="preserve">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>апуска Django-приложени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 xml:space="preserve">используется стандарт взаимодействия Python-программ и </w:t>
      </w:r>
      <w:proofErr w:type="spellStart"/>
      <w:r w:rsidR="00A62992" w:rsidRPr="00097F56">
        <w:rPr>
          <w:bCs/>
          <w:sz w:val="20"/>
        </w:rPr>
        <w:t>веб-сервра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</w:t>
      </w:r>
      <w:r w:rsidR="00B74757">
        <w:rPr>
          <w:bCs/>
          <w:sz w:val="20"/>
        </w:rPr>
        <w:t>о</w:t>
      </w:r>
      <w:r w:rsidR="00B74757">
        <w:rPr>
          <w:bCs/>
          <w:sz w:val="20"/>
        </w:rPr>
        <w:t>вана</w:t>
      </w:r>
      <w:r w:rsidRPr="00097F56">
        <w:rPr>
          <w:bCs/>
          <w:sz w:val="20"/>
        </w:rPr>
        <w:t xml:space="preserve"> следующим образом: [пользователь] → [</w:t>
      </w:r>
      <w:proofErr w:type="spellStart"/>
      <w:r w:rsidRPr="00097F56">
        <w:rPr>
          <w:bCs/>
          <w:sz w:val="20"/>
        </w:rPr>
        <w:t>веб-сервер</w:t>
      </w:r>
      <w:proofErr w:type="spellEnd"/>
      <w:r w:rsidRPr="00097F56">
        <w:rPr>
          <w:bCs/>
          <w:sz w:val="20"/>
        </w:rPr>
        <w:t xml:space="preserve">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</w:t>
      </w:r>
      <w:proofErr w:type="spellStart"/>
      <w:r w:rsidRPr="00097F56">
        <w:rPr>
          <w:bCs/>
          <w:sz w:val="20"/>
        </w:rPr>
        <w:t>сокет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ПАК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af6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495426" cy="2259322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446" cy="225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B74757" w:rsidRDefault="00B74757" w:rsidP="00097F56">
      <w:pPr>
        <w:pStyle w:val="af6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</w:t>
      </w:r>
      <w:r w:rsidR="00B319B2" w:rsidRPr="00B74757">
        <w:rPr>
          <w:bCs/>
          <w:sz w:val="20"/>
        </w:rPr>
        <w:t>е</w:t>
      </w:r>
      <w:r w:rsidR="00B319B2" w:rsidRPr="00B74757">
        <w:rPr>
          <w:bCs/>
          <w:sz w:val="20"/>
        </w:rPr>
        <w:t>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</w:t>
      </w:r>
      <w:r w:rsidR="00657582" w:rsidRPr="00B74757">
        <w:rPr>
          <w:sz w:val="20"/>
        </w:rPr>
        <w:t>ь</w:t>
      </w:r>
      <w:r w:rsidR="00657582" w:rsidRPr="00B74757">
        <w:rPr>
          <w:sz w:val="20"/>
        </w:rPr>
        <w:t>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</w:t>
      </w:r>
      <w:r w:rsidR="00657582" w:rsidRPr="00B74757">
        <w:rPr>
          <w:sz w:val="20"/>
        </w:rPr>
        <w:t>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>Схема базы данных СППР пре</w:t>
      </w:r>
      <w:r w:rsidR="00A62992" w:rsidRPr="00097F56">
        <w:rPr>
          <w:sz w:val="20"/>
        </w:rPr>
        <w:t>д</w:t>
      </w:r>
      <w:r w:rsidR="00A62992" w:rsidRPr="00097F56">
        <w:rPr>
          <w:sz w:val="20"/>
        </w:rPr>
        <w:t xml:space="preserve">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00" cy="27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452A96" w:rsidRDefault="00A62992" w:rsidP="00A62992">
      <w:pPr>
        <w:jc w:val="center"/>
        <w:rPr>
          <w:noProof/>
          <w:color w:val="FF0000"/>
          <w:sz w:val="20"/>
        </w:rPr>
      </w:pPr>
      <w:r w:rsidRPr="00452A96">
        <w:rPr>
          <w:noProof/>
          <w:color w:val="FF0000"/>
          <w:sz w:val="20"/>
        </w:rPr>
        <w:t xml:space="preserve">Рис. </w:t>
      </w:r>
      <w:r>
        <w:rPr>
          <w:noProof/>
          <w:color w:val="FF0000"/>
          <w:sz w:val="20"/>
        </w:rPr>
        <w:t>6</w:t>
      </w:r>
      <w:r w:rsidRPr="00452A96">
        <w:rPr>
          <w:noProof/>
          <w:color w:val="FF0000"/>
          <w:sz w:val="20"/>
        </w:rPr>
        <w:t>. Схема базы данных СППР</w:t>
      </w:r>
    </w:p>
    <w:p w:rsidR="00A62992" w:rsidRPr="00E77C54" w:rsidRDefault="00A62992" w:rsidP="00A62992">
      <w:pPr>
        <w:pStyle w:val="af6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af6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>Для поддержки эффективной работы СППР необходимо располагать бол</w:t>
      </w:r>
      <w:r w:rsidRPr="00097F56">
        <w:rPr>
          <w:bCs/>
          <w:sz w:val="20"/>
        </w:rPr>
        <w:t>ь</w:t>
      </w:r>
      <w:r w:rsidRPr="00097F56">
        <w:rPr>
          <w:bCs/>
          <w:sz w:val="20"/>
        </w:rPr>
        <w:t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ПАК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</w:t>
      </w:r>
      <w:r w:rsidR="00437726" w:rsidRPr="00097F56">
        <w:rPr>
          <w:bCs/>
          <w:sz w:val="20"/>
        </w:rPr>
        <w:t>м</w:t>
      </w:r>
      <w:r w:rsidR="00437726" w:rsidRPr="00097F56">
        <w:rPr>
          <w:bCs/>
          <w:sz w:val="20"/>
        </w:rPr>
        <w:t xml:space="preserve">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</w:t>
      </w:r>
      <w:r w:rsidR="00437726" w:rsidRPr="00097F56">
        <w:rPr>
          <w:sz w:val="20"/>
        </w:rPr>
        <w:t>н</w:t>
      </w:r>
      <w:r w:rsidR="00437726" w:rsidRPr="00097F56">
        <w:rPr>
          <w:sz w:val="20"/>
        </w:rPr>
        <w:t>декс</w:t>
      </w:r>
      <w:proofErr w:type="gramStart"/>
      <w:r w:rsidR="00437726" w:rsidRPr="00097F56">
        <w:rPr>
          <w:sz w:val="20"/>
        </w:rPr>
        <w:t>.М</w:t>
      </w:r>
      <w:proofErr w:type="gramEnd"/>
      <w:r w:rsidR="00437726" w:rsidRPr="00097F56">
        <w:rPr>
          <w:sz w:val="20"/>
        </w:rPr>
        <w:t>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af6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af6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af6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ПАК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lastRenderedPageBreak/>
        <w:t>В основе разработанного пользовательского интерфейса лежат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Pr="00F70658">
        <w:rPr>
          <w:bCs/>
          <w:sz w:val="20"/>
        </w:rPr>
        <w:t xml:space="preserve"> агентов, 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программно-аппаратный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>нос</w:t>
      </w:r>
      <w:r w:rsidR="00EE3A6C">
        <w:rPr>
          <w:bCs/>
          <w:sz w:val="20"/>
        </w:rPr>
        <w:t>и</w:t>
      </w:r>
      <w:r w:rsidR="00EE3A6C">
        <w:rPr>
          <w:bCs/>
          <w:sz w:val="20"/>
        </w:rPr>
        <w:t xml:space="preserve">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af6"/>
        <w:ind w:firstLine="284"/>
        <w:jc w:val="both"/>
        <w:rPr>
          <w:bCs/>
          <w:sz w:val="20"/>
        </w:rPr>
      </w:pPr>
      <w:proofErr w:type="gramStart"/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>системы объектов авиационной техники была постро</w:t>
      </w:r>
      <w:r w:rsidR="001C7107" w:rsidRPr="00F70658">
        <w:rPr>
          <w:bCs/>
          <w:sz w:val="20"/>
        </w:rPr>
        <w:t>е</w:t>
      </w:r>
      <w:r w:rsidR="001C7107" w:rsidRPr="00F70658">
        <w:rPr>
          <w:bCs/>
          <w:sz w:val="20"/>
        </w:rPr>
        <w:t xml:space="preserve">на модель 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>), состоящая из трех уровней иера</w:t>
      </w:r>
      <w:r w:rsidR="001C7107" w:rsidRPr="00F70658">
        <w:rPr>
          <w:bCs/>
          <w:sz w:val="20"/>
        </w:rPr>
        <w:t>р</w:t>
      </w:r>
      <w:r w:rsidR="001C7107" w:rsidRPr="00F70658">
        <w:rPr>
          <w:bCs/>
          <w:sz w:val="20"/>
        </w:rPr>
        <w:t xml:space="preserve">хии: 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</w:t>
      </w:r>
      <w:r w:rsidR="001C7107" w:rsidRPr="00F70658">
        <w:rPr>
          <w:bCs/>
          <w:sz w:val="20"/>
        </w:rPr>
        <w:t>с</w:t>
      </w:r>
      <w:r w:rsidR="001C7107" w:rsidRPr="00F70658">
        <w:rPr>
          <w:bCs/>
          <w:sz w:val="20"/>
        </w:rPr>
        <w:t xml:space="preserve">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proofErr w:type="spellStart"/>
      <w:r w:rsidR="001C7107" w:rsidRPr="00F70658">
        <w:rPr>
          <w:bCs/>
          <w:sz w:val="20"/>
        </w:rPr>
        <w:t>микродирижа</w:t>
      </w:r>
      <w:r w:rsidR="001C7107" w:rsidRPr="00F70658">
        <w:rPr>
          <w:bCs/>
          <w:sz w:val="20"/>
        </w:rPr>
        <w:t>б</w:t>
      </w:r>
      <w:r w:rsidR="001C7107" w:rsidRPr="00F70658">
        <w:rPr>
          <w:bCs/>
          <w:sz w:val="20"/>
        </w:rPr>
        <w:t>лей</w:t>
      </w:r>
      <w:proofErr w:type="spellEnd"/>
      <w:r w:rsidR="001C7107" w:rsidRPr="00F70658">
        <w:rPr>
          <w:bCs/>
          <w:sz w:val="20"/>
        </w:rPr>
        <w:t>/аэростатов (Ирбис – Россия, Рысь – Россия, Гепард – Россия).</w:t>
      </w:r>
      <w:proofErr w:type="gramEnd"/>
    </w:p>
    <w:p w:rsidR="00F70658" w:rsidRPr="00F70658" w:rsidRDefault="00F70658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737269" cy="2266122"/>
            <wp:effectExtent l="19050" t="0" r="0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16" cy="226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70658" w:rsidRDefault="001C7107" w:rsidP="001C7107">
      <w:pPr>
        <w:jc w:val="center"/>
        <w:rPr>
          <w:noProof/>
          <w:color w:val="FF0000"/>
          <w:sz w:val="20"/>
        </w:rPr>
      </w:pPr>
      <w:r w:rsidRPr="00F70658">
        <w:rPr>
          <w:noProof/>
          <w:color w:val="FF0000"/>
          <w:sz w:val="20"/>
        </w:rPr>
        <w:t xml:space="preserve">Рис. </w:t>
      </w:r>
      <w:r w:rsidR="00093800" w:rsidRPr="00F70658">
        <w:rPr>
          <w:noProof/>
          <w:color w:val="FF0000"/>
          <w:sz w:val="20"/>
        </w:rPr>
        <w:t>8</w:t>
      </w:r>
      <w:r w:rsidRPr="00F70658">
        <w:rPr>
          <w:noProof/>
          <w:color w:val="FF0000"/>
          <w:sz w:val="20"/>
        </w:rPr>
        <w:t>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af6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 xml:space="preserve">T-50,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 xml:space="preserve">J-20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</w:t>
      </w:r>
      <w:r w:rsidRPr="00F70658">
        <w:rPr>
          <w:sz w:val="20"/>
          <w:szCs w:val="28"/>
        </w:rPr>
        <w:t>р</w:t>
      </w:r>
      <w:r w:rsidRPr="00F70658">
        <w:rPr>
          <w:sz w:val="20"/>
          <w:szCs w:val="28"/>
        </w:rPr>
        <w:t>вом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af6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 xml:space="preserve">Ирбис, Рысь, Гепард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af6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lastRenderedPageBreak/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af6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E058F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af6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af6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агент соответствующий американскому истребителю F-22; следом за ним идут T-50 и J-20. Наименее прибыльным оказался сектор прои</w:t>
      </w:r>
      <w:r w:rsidR="003C6ACB" w:rsidRPr="00F70658">
        <w:rPr>
          <w:bCs/>
          <w:sz w:val="20"/>
        </w:rPr>
        <w:t>з</w:t>
      </w:r>
      <w:r w:rsidR="003C6ACB" w:rsidRPr="00F70658">
        <w:rPr>
          <w:bCs/>
          <w:sz w:val="20"/>
        </w:rPr>
        <w:t xml:space="preserve">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Это объясняется тем,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ПАК ФА T-50 </w:t>
      </w:r>
      <w:r w:rsidRPr="00F70658">
        <w:rPr>
          <w:bCs/>
          <w:sz w:val="20"/>
        </w:rPr>
        <w:t>рек</w:t>
      </w:r>
      <w:r w:rsidRPr="00F70658">
        <w:rPr>
          <w:bCs/>
          <w:sz w:val="20"/>
        </w:rPr>
        <w:t>о</w:t>
      </w:r>
      <w:r w:rsidRPr="00F70658">
        <w:rPr>
          <w:bCs/>
          <w:sz w:val="20"/>
        </w:rPr>
        <w:t>мендована</w:t>
      </w:r>
      <w:r w:rsidR="009E15B9" w:rsidRPr="00F70658">
        <w:rPr>
          <w:bCs/>
          <w:sz w:val="20"/>
        </w:rPr>
        <w:t xml:space="preserve"> стратегия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>бросающий вызов лидеру», предполагающая расшир</w:t>
      </w:r>
      <w:r w:rsidR="009E15B9" w:rsidRPr="00F70658">
        <w:rPr>
          <w:bCs/>
          <w:sz w:val="20"/>
        </w:rPr>
        <w:t>е</w:t>
      </w:r>
      <w:r w:rsidR="009E15B9" w:rsidRPr="00F70658">
        <w:rPr>
          <w:bCs/>
          <w:sz w:val="20"/>
        </w:rPr>
        <w:t xml:space="preserve">ние глобального спроса и направленная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</w:t>
      </w:r>
      <w:r w:rsidR="009E15B9" w:rsidRPr="00F70658">
        <w:rPr>
          <w:bCs/>
          <w:sz w:val="20"/>
        </w:rPr>
        <w:t>с</w:t>
      </w:r>
      <w:r w:rsidR="009E15B9" w:rsidRPr="00F70658">
        <w:rPr>
          <w:bCs/>
          <w:sz w:val="20"/>
        </w:rPr>
        <w:t xml:space="preserve">каемой продукции, что </w:t>
      </w:r>
      <w:r w:rsidRPr="00F70658">
        <w:rPr>
          <w:bCs/>
          <w:sz w:val="20"/>
        </w:rPr>
        <w:t xml:space="preserve">в перспективе </w:t>
      </w:r>
      <w:r w:rsidR="009E15B9" w:rsidRPr="00F70658">
        <w:rPr>
          <w:bCs/>
          <w:sz w:val="20"/>
        </w:rPr>
        <w:t>потребует увеличения объема произво</w:t>
      </w:r>
      <w:r w:rsidR="009E15B9" w:rsidRPr="00F70658">
        <w:rPr>
          <w:bCs/>
          <w:sz w:val="20"/>
        </w:rPr>
        <w:t>д</w:t>
      </w:r>
      <w:r w:rsidR="009E15B9" w:rsidRPr="00F70658">
        <w:rPr>
          <w:bCs/>
          <w:sz w:val="20"/>
        </w:rPr>
        <w:t>ства.</w:t>
      </w:r>
    </w:p>
    <w:p w:rsidR="006C05B1" w:rsidRPr="00684446" w:rsidRDefault="006C05B1" w:rsidP="008D48A5">
      <w:pPr>
        <w:pStyle w:val="af6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af6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53" cy="3144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af6"/>
        <w:ind w:firstLine="284"/>
        <w:jc w:val="both"/>
        <w:rPr>
          <w:sz w:val="20"/>
        </w:rPr>
      </w:pPr>
      <w:r w:rsidRPr="00F70658">
        <w:rPr>
          <w:bCs/>
          <w:sz w:val="20"/>
        </w:rPr>
        <w:lastRenderedPageBreak/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F70658">
        <w:rPr>
          <w:bCs/>
          <w:sz w:val="20"/>
        </w:rPr>
        <w:t>н</w:t>
      </w:r>
      <w:r w:rsidRPr="00F70658">
        <w:rPr>
          <w:bCs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своих практических областях использования: наблюдение, разведка, радиоп</w:t>
      </w:r>
      <w:r w:rsidRPr="00F70658">
        <w:rPr>
          <w:bCs/>
          <w:sz w:val="20"/>
        </w:rPr>
        <w:t>е</w:t>
      </w:r>
      <w:r w:rsidRPr="00F70658">
        <w:rPr>
          <w:bCs/>
          <w:sz w:val="20"/>
        </w:rPr>
        <w:t xml:space="preserve">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af6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</w:t>
      </w:r>
      <w:r w:rsidR="002E0CD2" w:rsidRPr="00F70658">
        <w:rPr>
          <w:sz w:val="20"/>
        </w:rPr>
        <w:t>н</w:t>
      </w:r>
      <w:r w:rsidR="002E0CD2" w:rsidRPr="00F70658">
        <w:rPr>
          <w:sz w:val="20"/>
        </w:rPr>
        <w:t>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</w:t>
      </w:r>
      <w:r w:rsidRPr="00F70658">
        <w:rPr>
          <w:sz w:val="20"/>
        </w:rPr>
        <w:t>н</w:t>
      </w:r>
      <w:r w:rsidRPr="00F70658">
        <w:rPr>
          <w:sz w:val="20"/>
        </w:rPr>
        <w:t>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>ве таких датчиков мог</w:t>
      </w:r>
      <w:r w:rsidR="000300DE">
        <w:rPr>
          <w:sz w:val="20"/>
        </w:rPr>
        <w:t xml:space="preserve">ут использоваться объекты из </w:t>
      </w:r>
      <w:r w:rsidR="002E0CD2" w:rsidRPr="00F70658">
        <w:rPr>
          <w:sz w:val="20"/>
        </w:rPr>
        <w:t>системы носимых ус</w:t>
      </w:r>
      <w:r w:rsidR="002E0CD2" w:rsidRPr="00F70658">
        <w:rPr>
          <w:sz w:val="20"/>
        </w:rPr>
        <w:t>т</w:t>
      </w:r>
      <w:r w:rsidR="002E0CD2" w:rsidRPr="00F70658">
        <w:rPr>
          <w:sz w:val="20"/>
        </w:rPr>
        <w:t xml:space="preserve">ройств микроэлектроники (НУМ,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Pr="00F70658">
        <w:rPr>
          <w:sz w:val="20"/>
        </w:rPr>
        <w:t xml:space="preserve">Данные рекомендации положены в основу создания медицинской информационно-аналитической системы </w:t>
      </w:r>
      <w:proofErr w:type="spellStart"/>
      <w:r w:rsidRPr="00F70658">
        <w:rPr>
          <w:sz w:val="20"/>
        </w:rPr>
        <w:t>Ци</w:t>
      </w:r>
      <w:r w:rsidRPr="00F70658">
        <w:rPr>
          <w:sz w:val="20"/>
        </w:rPr>
        <w:t>ф</w:t>
      </w:r>
      <w:r w:rsidRPr="00F70658">
        <w:rPr>
          <w:sz w:val="20"/>
        </w:rPr>
        <w:t>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</w:t>
      </w:r>
      <w:r w:rsidR="00E13905">
        <w:rPr>
          <w:sz w:val="20"/>
        </w:rPr>
        <w:t>ции</w:t>
      </w:r>
      <w:r w:rsidR="00E77C54" w:rsidRPr="00E77C54">
        <w:rPr>
          <w:sz w:val="20"/>
        </w:rPr>
        <w:t xml:space="preserve">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lastRenderedPageBreak/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>Бабенко Е.А., Ершов Д.М.,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сист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</w:t>
      </w:r>
      <w:r w:rsidRPr="00FD67F8">
        <w:rPr>
          <w:rFonts w:ascii="Times New Roman" w:hAnsi="Times New Roman"/>
          <w:sz w:val="20"/>
          <w:szCs w:val="28"/>
        </w:rPr>
        <w:lastRenderedPageBreak/>
        <w:t>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53CBC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Pr="00FD67F8">
        <w:rPr>
          <w:rFonts w:ascii="Times New Roman" w:hAnsi="Times New Roman"/>
          <w:sz w:val="20"/>
          <w:szCs w:val="28"/>
        </w:rPr>
        <w:t>оценки показателей конкурентоспосо</w:t>
      </w:r>
      <w:r w:rsidRPr="00FD67F8">
        <w:rPr>
          <w:rFonts w:ascii="Times New Roman" w:hAnsi="Times New Roman"/>
          <w:sz w:val="20"/>
          <w:szCs w:val="28"/>
        </w:rPr>
        <w:t>б</w:t>
      </w:r>
      <w:r w:rsidRPr="00FD67F8">
        <w:rPr>
          <w:rFonts w:ascii="Times New Roman" w:hAnsi="Times New Roman"/>
          <w:sz w:val="20"/>
          <w:szCs w:val="28"/>
        </w:rPr>
        <w:t>ности производителей высокотехнологичной продукции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// Сборник нау</w:t>
      </w:r>
      <w:r w:rsidRPr="00FD67F8">
        <w:rPr>
          <w:rFonts w:ascii="Times New Roman" w:hAnsi="Times New Roman"/>
          <w:sz w:val="20"/>
          <w:szCs w:val="28"/>
        </w:rPr>
        <w:t>ч</w:t>
      </w:r>
      <w:r w:rsidRPr="00FD67F8">
        <w:rPr>
          <w:rFonts w:ascii="Times New Roman" w:hAnsi="Times New Roman"/>
          <w:sz w:val="20"/>
          <w:szCs w:val="28"/>
        </w:rPr>
        <w:t xml:space="preserve">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79175A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Математич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Pr="00FD67F8">
        <w:rPr>
          <w:rFonts w:ascii="Times New Roman" w:hAnsi="Times New Roman"/>
          <w:sz w:val="20"/>
          <w:szCs w:val="28"/>
        </w:rPr>
        <w:t>р</w:t>
      </w:r>
      <w:r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С.В., Юров И.Б. </w:t>
      </w:r>
      <w:r w:rsidRPr="00FD67F8">
        <w:rPr>
          <w:sz w:val="20"/>
        </w:rPr>
        <w:t>Свидетельство о регистрации объекта интеллектуальной собс</w:t>
      </w:r>
      <w:r w:rsidRPr="00FD67F8">
        <w:rPr>
          <w:sz w:val="20"/>
        </w:rPr>
        <w:t>т</w:t>
      </w:r>
      <w:r w:rsidRPr="00FD67F8">
        <w:rPr>
          <w:sz w:val="20"/>
        </w:rPr>
        <w:t>венности «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5C3A48" w:rsidRDefault="005C3A48" w:rsidP="008D48A5">
      <w:pPr>
        <w:pStyle w:val="af6"/>
        <w:spacing w:before="120"/>
        <w:jc w:val="both"/>
        <w:rPr>
          <w:sz w:val="20"/>
        </w:rPr>
      </w:pPr>
    </w:p>
    <w:p w:rsidR="00A3608B" w:rsidRPr="00FD67F8" w:rsidRDefault="00A3608B" w:rsidP="008D48A5">
      <w:pPr>
        <w:pStyle w:val="af6"/>
        <w:spacing w:before="120"/>
        <w:jc w:val="both"/>
        <w:rPr>
          <w:sz w:val="20"/>
        </w:rPr>
        <w:sectPr w:rsidR="00A3608B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  <w:sectPr w:rsidR="00A3608B" w:rsidSect="00FD67F8"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A3608B" w:rsidRPr="00FD67F8" w:rsidRDefault="00A3608B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A3608B" w:rsidRDefault="00A3608B" w:rsidP="00D54D66">
      <w:pPr>
        <w:pStyle w:val="af6"/>
        <w:jc w:val="center"/>
        <w:rPr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165" w:rsidRDefault="008C4165">
      <w:r>
        <w:separator/>
      </w:r>
    </w:p>
  </w:endnote>
  <w:endnote w:type="continuationSeparator" w:id="0">
    <w:p w:rsidR="008C4165" w:rsidRDefault="008C4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Pr="00FC16EC" w:rsidRDefault="00E058F2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E42D71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4F3D6C">
      <w:rPr>
        <w:noProof/>
        <w:sz w:val="20"/>
      </w:rPr>
      <w:t>16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165" w:rsidRDefault="008C4165">
      <w:r>
        <w:separator/>
      </w:r>
    </w:p>
  </w:footnote>
  <w:footnote w:type="continuationSeparator" w:id="0">
    <w:p w:rsidR="008C4165" w:rsidRDefault="008C41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D71" w:rsidRDefault="00E058F2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E42D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2D71" w:rsidRDefault="00E42D71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B56B6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669EB"/>
    <w:rsid w:val="003670E6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41D6"/>
    <w:rsid w:val="003B461B"/>
    <w:rsid w:val="003B665A"/>
    <w:rsid w:val="003B6E01"/>
    <w:rsid w:val="003B7E5D"/>
    <w:rsid w:val="003C6ACB"/>
    <w:rsid w:val="003D7F9A"/>
    <w:rsid w:val="003E1037"/>
    <w:rsid w:val="003E26BD"/>
    <w:rsid w:val="003E430C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27D02"/>
    <w:rsid w:val="0063057C"/>
    <w:rsid w:val="00630C2D"/>
    <w:rsid w:val="0063137C"/>
    <w:rsid w:val="00633DF2"/>
    <w:rsid w:val="00636014"/>
    <w:rsid w:val="0063601D"/>
    <w:rsid w:val="00640686"/>
    <w:rsid w:val="00640F0E"/>
    <w:rsid w:val="0064252C"/>
    <w:rsid w:val="00646942"/>
    <w:rsid w:val="0065274C"/>
    <w:rsid w:val="00652AE4"/>
    <w:rsid w:val="00653FE3"/>
    <w:rsid w:val="00657582"/>
    <w:rsid w:val="00662792"/>
    <w:rsid w:val="00666A1A"/>
    <w:rsid w:val="00675CFB"/>
    <w:rsid w:val="0067649B"/>
    <w:rsid w:val="0067780C"/>
    <w:rsid w:val="00684446"/>
    <w:rsid w:val="00684A00"/>
    <w:rsid w:val="00685BE5"/>
    <w:rsid w:val="00687278"/>
    <w:rsid w:val="00687A7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A0C4E"/>
    <w:rsid w:val="008A355C"/>
    <w:rsid w:val="008A4904"/>
    <w:rsid w:val="008A5DFB"/>
    <w:rsid w:val="008A684A"/>
    <w:rsid w:val="008A6BDA"/>
    <w:rsid w:val="008B1E4F"/>
    <w:rsid w:val="008B4C91"/>
    <w:rsid w:val="008C1DE8"/>
    <w:rsid w:val="008C1FC1"/>
    <w:rsid w:val="008C2B97"/>
    <w:rsid w:val="008C2EB2"/>
    <w:rsid w:val="008C3877"/>
    <w:rsid w:val="008C4165"/>
    <w:rsid w:val="008C6D66"/>
    <w:rsid w:val="008D060F"/>
    <w:rsid w:val="008D1C09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258C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706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3608B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705AC"/>
    <w:rsid w:val="00A70A14"/>
    <w:rsid w:val="00A71A4D"/>
    <w:rsid w:val="00A72256"/>
    <w:rsid w:val="00A73AF8"/>
    <w:rsid w:val="00A74900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26FF"/>
    <w:rsid w:val="00AF37DD"/>
    <w:rsid w:val="00AF4E2F"/>
    <w:rsid w:val="00AF611E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4757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4488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872DB"/>
    <w:rsid w:val="00D926E4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9147D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3A6C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1276"/>
    <w:rsid w:val="00F92688"/>
    <w:rsid w:val="00F951E5"/>
    <w:rsid w:val="00F9599D"/>
    <w:rsid w:val="00F979C8"/>
    <w:rsid w:val="00FA1CA6"/>
    <w:rsid w:val="00FA1F7C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24</Pages>
  <Words>6875</Words>
  <Characters>39192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17</cp:revision>
  <cp:lastPrinted>2016-07-02T13:29:00Z</cp:lastPrinted>
  <dcterms:created xsi:type="dcterms:W3CDTF">2016-08-15T09:45:00Z</dcterms:created>
  <dcterms:modified xsi:type="dcterms:W3CDTF">2016-08-16T11:44:00Z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