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</w:t>
      </w:r>
      <w:r w:rsidR="008D060F">
        <w:rPr>
          <w:sz w:val="20"/>
        </w:rPr>
        <w:t>а</w:t>
      </w:r>
      <w:r w:rsidR="008D060F">
        <w:rPr>
          <w:sz w:val="20"/>
        </w:rPr>
        <w:t>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</w:t>
      </w:r>
      <w:proofErr w:type="spellStart"/>
      <w:r w:rsidR="002739A7">
        <w:rPr>
          <w:sz w:val="20"/>
        </w:rPr>
        <w:t>А.И.Кибзун</w:t>
      </w:r>
      <w:proofErr w:type="spellEnd"/>
      <w:r w:rsidR="002739A7">
        <w:rPr>
          <w:sz w:val="20"/>
        </w:rPr>
        <w:t>, Ю.С.Кан,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25A0">
        <w:rPr>
          <w:sz w:val="20"/>
        </w:rPr>
        <w:t>, в таком случае, ос</w:t>
      </w:r>
      <w:r w:rsidR="00D825A0">
        <w:rPr>
          <w:sz w:val="20"/>
        </w:rPr>
        <w:t>о</w:t>
      </w:r>
      <w:r w:rsidR="00D825A0">
        <w:rPr>
          <w:sz w:val="20"/>
        </w:rPr>
        <w:t>бое внимание уделяется компьютерн</w:t>
      </w:r>
      <w:r w:rsidR="00B95E96">
        <w:rPr>
          <w:sz w:val="20"/>
        </w:rPr>
        <w:t>ому моделированию, в частности, имит</w:t>
      </w:r>
      <w:r w:rsidR="00B95E96">
        <w:rPr>
          <w:sz w:val="20"/>
        </w:rPr>
        <w:t>а</w:t>
      </w:r>
      <w:r w:rsidR="00B95E96">
        <w:rPr>
          <w:sz w:val="20"/>
        </w:rPr>
        <w:t xml:space="preserve">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</w:t>
      </w:r>
      <w:r w:rsidR="00B95E96">
        <w:rPr>
          <w:sz w:val="20"/>
        </w:rPr>
        <w:t>и</w:t>
      </w:r>
      <w:r w:rsidR="00B95E96">
        <w:rPr>
          <w:sz w:val="20"/>
        </w:rPr>
        <w:t>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lastRenderedPageBreak/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11357C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1357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11357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11357C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11357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1357C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1135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11357C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1135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1357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1135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1135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1135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1135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1357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1357C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492" w:rsidRDefault="00B65492">
      <w:r>
        <w:separator/>
      </w:r>
    </w:p>
  </w:endnote>
  <w:endnote w:type="continuationSeparator" w:id="0">
    <w:p w:rsidR="00B65492" w:rsidRDefault="00B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1357C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11357C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BB0884">
      <w:rPr>
        <w:noProof/>
        <w:sz w:val="20"/>
      </w:rPr>
      <w:t>14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492" w:rsidRDefault="00B65492">
      <w:r>
        <w:separator/>
      </w:r>
    </w:p>
  </w:footnote>
  <w:footnote w:type="continuationSeparator" w:id="0">
    <w:p w:rsidR="00B65492" w:rsidRDefault="00B65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1357C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7009</Words>
  <Characters>39953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11</cp:revision>
  <cp:lastPrinted>2016-07-02T13:29:00Z</cp:lastPrinted>
  <dcterms:created xsi:type="dcterms:W3CDTF">2016-09-06T13:31:00Z</dcterms:created>
  <dcterms:modified xsi:type="dcterms:W3CDTF">2016-09-07T13:55:00Z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