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1: Familiarize with Hermes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2: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http://www.nersc.gov/users/computational-systems/cori/burst-buffer/burst-buffer/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Step3: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8"/>
            <w:szCs w:val="28"/>
            <w:u w:val="single"/>
            <w:rtl w:val="0"/>
          </w:rPr>
          <w:t xml:space="preserve">https://slurm.schedmd.com/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Step 4: Harmonia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Work on proposal based on sample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Assumption #1: we already know when the applications start-finish their I/O phase. Pragmas are already added.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Input: a collection of I/O phases and a collection of buffer nodes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Output: a matching schema between phases and buffers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22352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1075" y="390525"/>
                          <a:ext cx="5943600" cy="2235200"/>
                          <a:chOff x="981075" y="390525"/>
                          <a:chExt cx="7952300" cy="298125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115810" y="605550"/>
                            <a:ext cx="965100" cy="11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Node X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162550" y="725250"/>
                            <a:ext cx="989700" cy="1941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D4E5F5"/>
                              </a:gs>
                              <a:gs pos="100000">
                                <a:srgbClr val="70A4D5"/>
                              </a:gs>
                            </a:gsLst>
                            <a:lin ang="5400012" scaled="0"/>
                          </a:gra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bin Condensed" w:cs="Cabin Condensed" w:eastAsia="Cabin Condensed" w:hAnsi="Cabin Condensed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Scheduler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981075" y="419100"/>
                            <a:ext cx="2343300" cy="723900"/>
                          </a:xfrm>
                          <a:prstGeom prst="rect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Hermes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324375" y="781050"/>
                            <a:ext cx="1838100" cy="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7943675" y="640050"/>
                            <a:ext cx="989700" cy="282000"/>
                          </a:xfrm>
                          <a:prstGeom prst="rect">
                            <a:avLst/>
                          </a:prstGeom>
                          <a:solidFill>
                            <a:srgbClr val="DD7E6B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DataWarp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6152250" y="781200"/>
                            <a:ext cx="1791300" cy="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324375" y="1362075"/>
                            <a:ext cx="4844700" cy="20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Multi-process program in MPI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Tools: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A queue for incoming jobs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2160" w:right="0" w:firstLine="18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NATS server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1440" w:right="0" w:firstLine="108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Global distributed hashmaps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2160" w:right="0" w:firstLine="180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Memcached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38525" y="390525"/>
                            <a:ext cx="1723800" cy="6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I/O Phases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6186063" y="462000"/>
                            <a:ext cx="1723800" cy="6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2352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nersc.gov/users/computational-systems/cori/burst-buffer/burst-buffer/" TargetMode="External"/><Relationship Id="rId7" Type="http://schemas.openxmlformats.org/officeDocument/2006/relationships/hyperlink" Target="https://slurm.schedmd.com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