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4F46E5"/>
          <w:sz w:val="64"/>
        </w:rPr>
        <w:t>GLK Dashboard</w:t>
      </w:r>
    </w:p>
    <w:p>
      <w:pPr>
        <w:jc w:val="center"/>
      </w:pPr>
      <w:r>
        <w:rPr>
          <w:rFonts w:ascii="Calibri" w:hAnsi="Calibri"/>
          <w:b w:val="0"/>
          <w:i w:val="0"/>
          <w:color w:val="7C3AED"/>
          <w:sz w:val="40"/>
        </w:rPr>
        <w:t>Full Presentation Guide</w:t>
      </w:r>
    </w:p>
    <w:p>
      <w:pPr>
        <w:jc w:val="center"/>
      </w:pPr>
      <w:r>
        <w:rPr>
          <w:rFonts w:ascii="Calibri" w:hAnsi="Calibri"/>
          <w:b w:val="0"/>
          <w:i w:val="0"/>
          <w:color w:val="64748B"/>
          <w:sz w:val="24"/>
        </w:rPr>
        <w:t>What to show · What to say · Step by step</w:t>
      </w:r>
    </w:p>
    <w:p>
      <w:pPr>
        <w:jc w:val="center"/>
      </w:pPr>
      <w:r>
        <w:rPr>
          <w:rFonts w:ascii="Calibri" w:hAnsi="Calibri"/>
          <w:b w:val="0"/>
          <w:i/>
          <w:color w:val="64748B"/>
          <w:sz w:val="22"/>
        </w:rPr>
        <w:t>~25 minutes  ·  Director demo  ·  Sep 2026</w:t>
      </w:r>
    </w:p>
    <w:p>
      <w:r>
        <w:br w:type="page"/>
      </w:r>
    </w:p>
    <w:p>
      <w:r>
        <w:rPr>
          <w:rFonts w:ascii="Calibri" w:hAnsi="Calibri"/>
          <w:b/>
          <w:i w:val="0"/>
          <w:color w:val="4F46E5"/>
          <w:sz w:val="28"/>
        </w:rPr>
        <w:t>Run of show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4F46E5" w:val="clear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249"/>
            <w:shd w:fill="4F46E5" w:val="clear"/>
          </w:tcPr>
          <w:p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3249"/>
            <w:shd w:fill="4F46E5" w:val="clear"/>
          </w:tcPr>
          <w:p>
            <w:r>
              <w:rPr>
                <w:b/>
                <w:color w:val="FFFFFF"/>
                <w:sz w:val="20"/>
              </w:rPr>
              <w:t>Time</w:t>
            </w:r>
          </w:p>
        </w:tc>
      </w:tr>
      <w:tr>
        <w:tc>
          <w:tcPr>
            <w:tcW w:type="dxa" w:w="3249"/>
            <w:shd w:fill="EEF2FF" w:val="clear"/>
          </w:tcPr>
          <w:p>
            <w:r>
              <w:rPr>
                <w:b w:val="0"/>
                <w:color w:val="1E1B4B"/>
                <w:sz w:val="20"/>
              </w:rPr>
              <w:t>0</w:t>
            </w:r>
          </w:p>
        </w:tc>
        <w:tc>
          <w:tcPr>
            <w:tcW w:type="dxa" w:w="3249"/>
            <w:shd w:fill="EEF2FF" w:val="clear"/>
          </w:tcPr>
          <w:p>
            <w:r>
              <w:rPr>
                <w:b w:val="0"/>
                <w:color w:val="1E1B4B"/>
                <w:sz w:val="20"/>
              </w:rPr>
              <w:t>Before you start (checklist)</w:t>
            </w:r>
          </w:p>
        </w:tc>
        <w:tc>
          <w:tcPr>
            <w:tcW w:type="dxa" w:w="3249"/>
            <w:shd w:fill="EEF2FF" w:val="clear"/>
          </w:tcPr>
          <w:p>
            <w:r>
              <w:rPr>
                <w:b w:val="0"/>
                <w:color w:val="1E1B4B"/>
                <w:sz w:val="20"/>
              </w:rPr>
              <w:t>5 min before</w:t>
            </w:r>
          </w:p>
        </w:tc>
      </w:tr>
      <w:tr>
        <w:tc>
          <w:tcPr>
            <w:tcW w:type="dxa" w:w="3249"/>
            <w:shd w:fill="F8FAFC" w:val="clear"/>
          </w:tcPr>
          <w:p>
            <w:r>
              <w:rPr>
                <w:b w:val="0"/>
                <w:color w:val="1E1B4B"/>
                <w:sz w:val="20"/>
              </w:rPr>
              <w:t>1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b w:val="0"/>
                <w:color w:val="1E1B4B"/>
                <w:sz w:val="20"/>
              </w:rPr>
              <w:t>Opening — set the scene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b w:val="0"/>
                <w:color w:val="1E1B4B"/>
                <w:sz w:val="20"/>
              </w:rPr>
              <w:t>2 min</w:t>
            </w:r>
          </w:p>
        </w:tc>
      </w:tr>
      <w:tr>
        <w:tc>
          <w:tcPr>
            <w:tcW w:type="dxa" w:w="3249"/>
            <w:shd w:fill="EEF2FF" w:val="clear"/>
          </w:tcPr>
          <w:p>
            <w:r>
              <w:rPr>
                <w:b w:val="0"/>
                <w:color w:val="1E1B4B"/>
                <w:sz w:val="20"/>
              </w:rPr>
              <w:t>2</w:t>
            </w:r>
          </w:p>
        </w:tc>
        <w:tc>
          <w:tcPr>
            <w:tcW w:type="dxa" w:w="3249"/>
            <w:shd w:fill="EEF2FF" w:val="clear"/>
          </w:tcPr>
          <w:p>
            <w:r>
              <w:rPr>
                <w:b w:val="0"/>
                <w:color w:val="1E1B4B"/>
                <w:sz w:val="20"/>
              </w:rPr>
              <w:t>Main Dashboard</w:t>
            </w:r>
          </w:p>
        </w:tc>
        <w:tc>
          <w:tcPr>
            <w:tcW w:type="dxa" w:w="3249"/>
            <w:shd w:fill="EEF2FF" w:val="clear"/>
          </w:tcPr>
          <w:p>
            <w:r>
              <w:rPr>
                <w:b w:val="0"/>
                <w:color w:val="1E1B4B"/>
                <w:sz w:val="20"/>
              </w:rPr>
              <w:t>4 min</w:t>
            </w:r>
          </w:p>
        </w:tc>
      </w:tr>
      <w:tr>
        <w:tc>
          <w:tcPr>
            <w:tcW w:type="dxa" w:w="3249"/>
            <w:shd w:fill="F8FAFC" w:val="clear"/>
          </w:tcPr>
          <w:p>
            <w:r>
              <w:rPr>
                <w:b w:val="0"/>
                <w:color w:val="1E1B4B"/>
                <w:sz w:val="20"/>
              </w:rPr>
              <w:t>3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b w:val="0"/>
                <w:color w:val="1E1B4B"/>
                <w:sz w:val="20"/>
              </w:rPr>
              <w:t>Performance Bridge ⭐ main demo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b w:val="0"/>
                <w:color w:val="1E1B4B"/>
                <w:sz w:val="20"/>
              </w:rPr>
              <w:t>10 min</w:t>
            </w:r>
          </w:p>
        </w:tc>
      </w:tr>
      <w:tr>
        <w:tc>
          <w:tcPr>
            <w:tcW w:type="dxa" w:w="3249"/>
            <w:shd w:fill="EEF2FF" w:val="clear"/>
          </w:tcPr>
          <w:p>
            <w:r>
              <w:rPr>
                <w:b w:val="0"/>
                <w:color w:val="1E1B4B"/>
                <w:sz w:val="20"/>
              </w:rPr>
              <w:t>4</w:t>
            </w:r>
          </w:p>
        </w:tc>
        <w:tc>
          <w:tcPr>
            <w:tcW w:type="dxa" w:w="3249"/>
            <w:shd w:fill="EEF2FF" w:val="clear"/>
          </w:tcPr>
          <w:p>
            <w:r>
              <w:rPr>
                <w:b w:val="0"/>
                <w:color w:val="1E1B4B"/>
                <w:sz w:val="20"/>
              </w:rPr>
              <w:t>Trends</w:t>
            </w:r>
          </w:p>
        </w:tc>
        <w:tc>
          <w:tcPr>
            <w:tcW w:type="dxa" w:w="3249"/>
            <w:shd w:fill="EEF2FF" w:val="clear"/>
          </w:tcPr>
          <w:p>
            <w:r>
              <w:rPr>
                <w:b w:val="0"/>
                <w:color w:val="1E1B4B"/>
                <w:sz w:val="20"/>
              </w:rPr>
              <w:t>3 min</w:t>
            </w:r>
          </w:p>
        </w:tc>
      </w:tr>
      <w:tr>
        <w:tc>
          <w:tcPr>
            <w:tcW w:type="dxa" w:w="3249"/>
            <w:shd w:fill="F8FAFC" w:val="clear"/>
          </w:tcPr>
          <w:p>
            <w:r>
              <w:rPr>
                <w:b w:val="0"/>
                <w:color w:val="1E1B4B"/>
                <w:sz w:val="20"/>
              </w:rPr>
              <w:t>5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b w:val="0"/>
                <w:color w:val="1E1B4B"/>
                <w:sz w:val="20"/>
              </w:rPr>
              <w:t>Pipeline Governance</w:t>
            </w:r>
          </w:p>
        </w:tc>
        <w:tc>
          <w:tcPr>
            <w:tcW w:type="dxa" w:w="3249"/>
            <w:shd w:fill="F8FAFC" w:val="clear"/>
          </w:tcPr>
          <w:p>
            <w:r>
              <w:rPr>
                <w:b w:val="0"/>
                <w:color w:val="1E1B4B"/>
                <w:sz w:val="20"/>
              </w:rPr>
              <w:t>5 min</w:t>
            </w:r>
          </w:p>
        </w:tc>
      </w:tr>
      <w:tr>
        <w:tc>
          <w:tcPr>
            <w:tcW w:type="dxa" w:w="3249"/>
            <w:shd w:fill="EEF2FF" w:val="clear"/>
          </w:tcPr>
          <w:p>
            <w:r>
              <w:rPr>
                <w:b w:val="0"/>
                <w:color w:val="1E1B4B"/>
                <w:sz w:val="20"/>
              </w:rPr>
              <w:t>6</w:t>
            </w:r>
          </w:p>
        </w:tc>
        <w:tc>
          <w:tcPr>
            <w:tcW w:type="dxa" w:w="3249"/>
            <w:shd w:fill="EEF2FF" w:val="clear"/>
          </w:tcPr>
          <w:p>
            <w:r>
              <w:rPr>
                <w:b w:val="0"/>
                <w:color w:val="1E1B4B"/>
                <w:sz w:val="20"/>
              </w:rPr>
              <w:t>Future scope + close</w:t>
            </w:r>
          </w:p>
        </w:tc>
        <w:tc>
          <w:tcPr>
            <w:tcW w:type="dxa" w:w="3249"/>
            <w:shd w:fill="EEF2FF" w:val="clear"/>
          </w:tcPr>
          <w:p>
            <w:r>
              <w:rPr>
                <w:b w:val="0"/>
                <w:color w:val="1E1B4B"/>
                <w:sz w:val="20"/>
              </w:rPr>
              <w:t>3 min</w:t>
            </w:r>
          </w:p>
        </w:tc>
      </w:tr>
    </w:tbl>
    <w:p/>
    <w:p>
      <w:r>
        <w:br w:type="page"/>
      </w:r>
    </w:p>
    <w:p>
      <w:pPr>
        <w:spacing w:before="320" w:after="40"/>
      </w:pPr>
      <w:r>
        <w:rPr>
          <w:rFonts w:ascii="Calibri" w:hAnsi="Calibri"/>
          <w:b/>
          <w:i w:val="0"/>
          <w:color w:val="64748B"/>
          <w:sz w:val="20"/>
        </w:rPr>
        <w:t xml:space="preserve">PHASE 0  ·  </w:t>
      </w:r>
      <w:r>
        <w:rPr>
          <w:rFonts w:ascii="Calibri" w:hAnsi="Calibri"/>
          <w:b/>
          <w:i w:val="0"/>
          <w:color w:val="64748B"/>
          <w:sz w:val="32"/>
        </w:rPr>
        <w:t>Before You Start</w:t>
      </w:r>
      <w:r>
        <w:rPr>
          <w:rFonts w:ascii="Calibri" w:hAnsi="Calibri"/>
          <w:b w:val="0"/>
          <w:i/>
          <w:color w:val="64748B"/>
          <w:sz w:val="20"/>
        </w:rPr>
        <w:t xml:space="preserve">  (5 min before)</w:t>
      </w:r>
    </w:p>
    <w:p>
      <w:pPr>
        <w:spacing w:before="80" w:after="200"/>
        <w:pBdr>
          <w:bottom w:val="single" w:sz="10" w:space="1" w:color="94A3B8"/>
        </w:pBdr>
      </w:pP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E1B4B"/>
          <w:sz w:val="20"/>
        </w:rPr>
        <w:t>Upload GLK-Enterprise-Dashboard.html to SharePoint (same place as today)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E1B4B"/>
          <w:sz w:val="20"/>
        </w:rPr>
        <w:t>Hard-refresh browser: Cmd+Shift+R (Mac) or Ctrl+Shift+R (Windows)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E1B4B"/>
          <w:sz w:val="20"/>
        </w:rPr>
        <w:t>Log in with Admin or Head Director account (needs Bridge + Governance access)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E1B4B"/>
          <w:sz w:val="20"/>
        </w:rPr>
        <w:t>Open Performance Bridge once — wait for chart to load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E1B4B"/>
          <w:sz w:val="20"/>
        </w:rPr>
        <w:t>Open Pipeline Governance once — wait for progress bar to finish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E1B4B"/>
          <w:sz w:val="20"/>
        </w:rPr>
        <w:t>Pick ONE bar with 3–8 accounts for drill-down (not 50 rows)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E1B4B"/>
          <w:sz w:val="20"/>
        </w:rPr>
        <w:t>Pick ONE Head Director who has stale deals in Governance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E1B4B"/>
          <w:sz w:val="20"/>
        </w:rPr>
        <w:t>Have 2 customer names ready for search demo (e.g. a real account you know)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E1B4B"/>
          <w:sz w:val="20"/>
        </w:rPr>
        <w:t>Close other tabs — full screen the browser</w:t>
      </w:r>
    </w:p>
    <w:p>
      <w:pPr>
        <w:spacing w:after="120"/>
        <w:ind w:left="227"/>
      </w:pPr>
      <w:r>
        <w:rPr>
          <w:rFonts w:ascii="Calibri" w:hAnsi="Calibri"/>
          <w:b/>
          <w:i w:val="0"/>
          <w:color w:val="D97706"/>
          <w:sz w:val="20"/>
        </w:rPr>
        <w:t xml:space="preserve">TIP: </w:t>
      </w:r>
      <w:r>
        <w:rPr>
          <w:rFonts w:ascii="Calibri" w:hAnsi="Calibri"/>
          <w:b w:val="0"/>
          <w:i/>
          <w:color w:val="64748B"/>
          <w:sz w:val="20"/>
        </w:rPr>
        <w:t>If anything fails live, say: 'Let me refresh from SharePoint' and click Refresh.</w:t>
      </w:r>
    </w:p>
    <w:p>
      <w:r>
        <w:br w:type="page"/>
      </w:r>
    </w:p>
    <w:p>
      <w:pPr>
        <w:spacing w:before="320" w:after="40"/>
      </w:pPr>
      <w:r>
        <w:rPr>
          <w:rFonts w:ascii="Calibri" w:hAnsi="Calibri"/>
          <w:b/>
          <w:i w:val="0"/>
          <w:color w:val="64748B"/>
          <w:sz w:val="20"/>
        </w:rPr>
        <w:t xml:space="preserve">PHASE 1  ·  </w:t>
      </w:r>
      <w:r>
        <w:rPr>
          <w:rFonts w:ascii="Calibri" w:hAnsi="Calibri"/>
          <w:b/>
          <w:i w:val="0"/>
          <w:color w:val="4F46E5"/>
          <w:sz w:val="32"/>
        </w:rPr>
        <w:t>Opening — Set the Scene</w:t>
      </w:r>
      <w:r>
        <w:rPr>
          <w:rFonts w:ascii="Calibri" w:hAnsi="Calibri"/>
          <w:b w:val="0"/>
          <w:i/>
          <w:color w:val="64748B"/>
          <w:sz w:val="20"/>
        </w:rPr>
        <w:t xml:space="preserve">  (2 min)</w:t>
      </w:r>
    </w:p>
    <w:p>
      <w:pPr>
        <w:spacing w:before="80" w:after="200"/>
        <w:pBdr>
          <w:bottom w:val="single" w:sz="10" w:space="1" w:color="4F46E5"/>
        </w:pBdr>
      </w:pP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1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Browser open on the dashboard landing / logged-in home. Left menu visible.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"Good [morning/afternoon]. I'm going to walk you through the GLK Enterprise Pipeline Dashboard — one SharePoint-connected portal for our quarter execution."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2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Point to left menu: Dashboard, Performance Bridge, Trends, Pipeline Governance.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"Four modules in one place: live pipeline, quarter performance bridge, historical trends, and pipeline hygiene. Everything reads from SharePoint — no Excel exports, no manual consolidation."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3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Pause. Make eye contact.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"I'll show you each module, then share what's coming next. Feel free to stop me and ask questions anytime."</w:t>
      </w:r>
    </w:p>
    <w:p>
      <w:pPr>
        <w:spacing w:before="320" w:after="40"/>
      </w:pPr>
      <w:r>
        <w:rPr>
          <w:rFonts w:ascii="Calibri" w:hAnsi="Calibri"/>
          <w:b/>
          <w:i w:val="0"/>
          <w:color w:val="64748B"/>
          <w:sz w:val="20"/>
        </w:rPr>
        <w:t xml:space="preserve">PHASE 2  ·  </w:t>
      </w:r>
      <w:r>
        <w:rPr>
          <w:rFonts w:ascii="Calibri" w:hAnsi="Calibri"/>
          <w:b/>
          <w:i w:val="0"/>
          <w:color w:val="7C3AED"/>
          <w:sz w:val="32"/>
        </w:rPr>
        <w:t>Main Dashboard</w:t>
      </w:r>
      <w:r>
        <w:rPr>
          <w:rFonts w:ascii="Calibri" w:hAnsi="Calibri"/>
          <w:b w:val="0"/>
          <w:i/>
          <w:color w:val="64748B"/>
          <w:sz w:val="20"/>
        </w:rPr>
        <w:t xml:space="preserve">  (4 min)</w:t>
      </w:r>
    </w:p>
    <w:p>
      <w:pPr>
        <w:spacing w:before="80" w:after="200"/>
        <w:pBdr>
          <w:bottom w:val="single" w:sz="10" w:space="1" w:color="7C3AED"/>
        </w:pBdr>
      </w:pP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1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Click Dashboard in left menu (if not already there).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"This is our day-to-day pipeline view — every bid in SharePoint, live."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2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Click product family tabs: Fixed → Mobile → back to your choice.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"We can switch product family — Fixed, Mobile, Broadcast, DataMena. KPI tiles update instantly."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3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Point to KPI tiles (Proposed, Opportunity, Won, Billed, etc.).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"These tiles show live counts and values by Opp Status for whatever filters are active."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4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Click a Head Director tile (e.g. Khaled).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"Leadership drill-down — click a Head Director and the whole view narrows to their organization."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5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Click an Account Director tile, then an Account Manager row.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"HD to AD to AM — each level filters KPIs, charts, and the pipeline grid below."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6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Scroll to pipeline grid. Show column filter on one column. Mention Export button.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"The grid is the full pipeline — fifty-plus columns, filterable, exportable to Excel. This replaces the weekly 'please export SharePoint' request."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7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Optionally click 'Show Analytics Charts' — glance at Pipeline Mix pie.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"Analytics charts give status mix and revenue trend for the filtered scope. The heavy quarter work happens in Performance Bridge — that's next."</w:t>
      </w:r>
    </w:p>
    <w:p>
      <w:pPr>
        <w:spacing w:after="120"/>
        <w:ind w:left="227"/>
      </w:pPr>
      <w:r>
        <w:rPr>
          <w:rFonts w:ascii="Calibri" w:hAnsi="Calibri"/>
          <w:b/>
          <w:i w:val="0"/>
          <w:color w:val="D97706"/>
          <w:sz w:val="20"/>
        </w:rPr>
        <w:t xml:space="preserve">TIP: </w:t>
      </w:r>
      <w:r>
        <w:rPr>
          <w:rFonts w:ascii="Calibri" w:hAnsi="Calibri"/>
          <w:b w:val="0"/>
          <w:i/>
          <w:color w:val="64748B"/>
          <w:sz w:val="20"/>
        </w:rPr>
        <w:t>Don't spend more than 4 minutes here. Move to Bridge quickly — that's what the director cares about.</w:t>
      </w:r>
    </w:p>
    <w:p>
      <w:r>
        <w:br w:type="page"/>
      </w:r>
    </w:p>
    <w:p>
      <w:pPr>
        <w:spacing w:before="320" w:after="40"/>
      </w:pPr>
      <w:r>
        <w:rPr>
          <w:rFonts w:ascii="Calibri" w:hAnsi="Calibri"/>
          <w:b/>
          <w:i w:val="0"/>
          <w:color w:val="64748B"/>
          <w:sz w:val="20"/>
        </w:rPr>
        <w:t xml:space="preserve">PHASE 3  ·  </w:t>
      </w:r>
      <w:r>
        <w:rPr>
          <w:rFonts w:ascii="Calibri" w:hAnsi="Calibri"/>
          <w:b/>
          <w:i w:val="0"/>
          <w:color w:val="4F46E5"/>
          <w:sz w:val="32"/>
        </w:rPr>
        <w:t>Performance Bridge ⭐ MAIN DEMO</w:t>
      </w:r>
      <w:r>
        <w:rPr>
          <w:rFonts w:ascii="Calibri" w:hAnsi="Calibri"/>
          <w:b w:val="0"/>
          <w:i/>
          <w:color w:val="64748B"/>
          <w:sz w:val="20"/>
        </w:rPr>
        <w:t xml:space="preserve">  (10 min)</w:t>
      </w:r>
    </w:p>
    <w:p>
      <w:pPr>
        <w:spacing w:before="80" w:after="200"/>
        <w:pBdr>
          <w:bottom w:val="single" w:sz="10" w:space="1" w:color="4F46E5"/>
        </w:pBdr>
      </w:pP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1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Click Performance Bridge in left menu. Wait for chart to appear.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"This is our quarter close cockpit. The GLK workbook loads automatically from SharePoint SiteAssets — same file finance uses."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2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Point to control bar: Mobile · QTD · Most Likely · GLK Overall.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"Mobile Net Add Lines, quarter-to-date, Most Likely scenario, GLK Overall. These controls shape the entire bridge."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3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Point to the waterfall chart left to right.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"Left to right: Actuals from Excel, then Gross Adds Won, Top 5 in-flight opportunities, Others, then Churn top 5 and others, Net Forecast, and finally the Gap to Target. This is how much pipeline we still need to close the quarter."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4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Point to Target badge on chart.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"Target comes from the GLK workbook — one source of truth with finance."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5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CLICK a bar — e.g. 'Gross Adds (Won)' or 'Top 5 Opportunities'.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"Now watch — one click on any bar and every account behind that number appears below."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6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Point to an account card: customer name, value, bid reference, HD/AD/AM.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"Full account detail — customer, bridge value, complete GKLA bid reference, Head Director, Account Director, Account Manager. No multi-click drill-down."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7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Click 'Open in SharePoint ↗' on one card. (Have SP form ready in another tab if slow.)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"One click opens the editable bid form in SharePoint. If we need to fix a date or status in the meeting, we do it right here."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8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Close SharePoint tab. Use search box in detail panel — type part of customer name.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"We can search and filter within the bar — by account, bid ref, status, vertical."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9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In bridge search (top controls), type a customer name → click 'Find in bridge'.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"Global bridge search — type any account and see exactly where it sits: Won, Top 5, Others, Churn, or excluded — with the reason if excluded."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10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Clear search. Optionally switch Head Director filter (e.g. Khaled) — chart rebuilds.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"We can slice the bridge by Head Director and report level — Khaled sees AUH, F-NE, HUNT automatically."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11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Switch scenario to Upside, then back to Most Likely.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"Upside adds Opportunity status to in-flight — shows the optimistic case. Most Likely is Proposed only — our base forecast."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12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Scroll to Mobile product tables (if visible). Click one Gross or Net cell.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"Product tables break Gross, Churn, and Net by MPR, Corporate, M2M. Click any cell — same account cards appear."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13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Click 'Show overdue activation' button below detail panel.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"Overdue activation — Q3 Proposed and Opportunity deals whose expected activation date is already past. These need immediate attention before they skew the forecast."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14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Point to Export PPT button.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"We can export the bridge chart and tables to PowerPoint — replaces the manual weekly deck build."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"This module replaces our weekly Excel bridge plus pipeline export plus PowerPoint. Finance actuals and live pipeline in one chart, every number traceable to an account."</w:t>
      </w:r>
    </w:p>
    <w:p>
      <w:pPr>
        <w:spacing w:after="120"/>
        <w:ind w:left="227"/>
      </w:pPr>
      <w:r>
        <w:rPr>
          <w:rFonts w:ascii="Calibri" w:hAnsi="Calibri"/>
          <w:b/>
          <w:i w:val="0"/>
          <w:color w:val="D97706"/>
          <w:sz w:val="20"/>
        </w:rPr>
        <w:t xml:space="preserve">TIP: </w:t>
      </w:r>
      <w:r>
        <w:rPr>
          <w:rFonts w:ascii="Calibri" w:hAnsi="Calibri"/>
          <w:b w:val="0"/>
          <w:i/>
          <w:color w:val="64748B"/>
          <w:sz w:val="20"/>
        </w:rPr>
        <w:t>This is your longest section. Don't rush the bar click + SharePoint link — that's the 'wow' moment.</w:t>
      </w:r>
    </w:p>
    <w:p>
      <w:r>
        <w:br w:type="page"/>
      </w:r>
    </w:p>
    <w:p>
      <w:pPr>
        <w:spacing w:before="320" w:after="40"/>
      </w:pPr>
      <w:r>
        <w:rPr>
          <w:rFonts w:ascii="Calibri" w:hAnsi="Calibri"/>
          <w:b/>
          <w:i w:val="0"/>
          <w:color w:val="64748B"/>
          <w:sz w:val="20"/>
        </w:rPr>
        <w:t xml:space="preserve">PHASE 4  ·  </w:t>
      </w:r>
      <w:r>
        <w:rPr>
          <w:rFonts w:ascii="Calibri" w:hAnsi="Calibri"/>
          <w:b/>
          <w:i w:val="0"/>
          <w:color w:val="7C3AED"/>
          <w:sz w:val="32"/>
        </w:rPr>
        <w:t>Trends</w:t>
      </w:r>
      <w:r>
        <w:rPr>
          <w:rFonts w:ascii="Calibri" w:hAnsi="Calibri"/>
          <w:b w:val="0"/>
          <w:i/>
          <w:color w:val="64748B"/>
          <w:sz w:val="20"/>
        </w:rPr>
        <w:t xml:space="preserve">  (3 min)</w:t>
      </w:r>
    </w:p>
    <w:p>
      <w:pPr>
        <w:spacing w:before="80" w:after="200"/>
        <w:pBdr>
          <w:bottom w:val="single" w:sz="10" w:space="1" w:color="7C3AED"/>
        </w:pBdr>
      </w:pP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1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Click Trends in left menu. Wait for chart.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"Trends shows historical performance — same SharePoint workbook as the Bridge."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2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Point to quarter KPI tiles at top.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"Quarter KPIs at a glance — actuals, forecasts, where we stand."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3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Click chart tabs: Net Add Lines → Fixed Net MRC → Rev Rec.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"Three trend views — Net Add Lines, Fixed Net MRC, and Revenue Recognition year-on-year."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4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Point to values on the line and the shaded projection zone.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"Values on every point. The shaded zone is the current quarter projection — forward-looking portion."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"When the bridge shows a gap, Trends answers: is this normal for us or are we off pattern? Same data source, different lens."</w:t>
      </w:r>
    </w:p>
    <w:p>
      <w:pPr>
        <w:spacing w:after="120"/>
        <w:ind w:left="227"/>
      </w:pPr>
      <w:r>
        <w:rPr>
          <w:rFonts w:ascii="Calibri" w:hAnsi="Calibri"/>
          <w:b/>
          <w:i w:val="0"/>
          <w:color w:val="D97706"/>
          <w:sz w:val="20"/>
        </w:rPr>
        <w:t xml:space="preserve">TIP: </w:t>
      </w:r>
      <w:r>
        <w:rPr>
          <w:rFonts w:ascii="Calibri" w:hAnsi="Calibri"/>
          <w:b w:val="0"/>
          <w:i/>
          <w:color w:val="64748B"/>
          <w:sz w:val="20"/>
        </w:rPr>
        <w:t>Keep this to 3 minutes. One chart is enough if time is tight.</w:t>
      </w:r>
    </w:p>
    <w:p>
      <w:pPr>
        <w:spacing w:before="320" w:after="40"/>
      </w:pPr>
      <w:r>
        <w:rPr>
          <w:rFonts w:ascii="Calibri" w:hAnsi="Calibri"/>
          <w:b/>
          <w:i w:val="0"/>
          <w:color w:val="64748B"/>
          <w:sz w:val="20"/>
        </w:rPr>
        <w:t xml:space="preserve">PHASE 5  ·  </w:t>
      </w:r>
      <w:r>
        <w:rPr>
          <w:rFonts w:ascii="Calibri" w:hAnsi="Calibri"/>
          <w:b/>
          <w:i w:val="0"/>
          <w:color w:val="0D9488"/>
          <w:sz w:val="32"/>
        </w:rPr>
        <w:t>Pipeline Governance</w:t>
      </w:r>
      <w:r>
        <w:rPr>
          <w:rFonts w:ascii="Calibri" w:hAnsi="Calibri"/>
          <w:b w:val="0"/>
          <w:i/>
          <w:color w:val="64748B"/>
          <w:sz w:val="20"/>
        </w:rPr>
        <w:t xml:space="preserve">  (5 min)</w:t>
      </w:r>
    </w:p>
    <w:p>
      <w:pPr>
        <w:spacing w:before="80" w:after="200"/>
        <w:pBdr>
          <w:bottom w:val="single" w:sz="10" w:space="1" w:color="0D9488"/>
        </w:pBdr>
      </w:pP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1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Click Pipeline Governance in left menu. Wait for progress bar to finish.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"Pipeline Governance — our hygiene command center. It reads SharePoint Version History for every in-flight deal this quarter."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2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Confirm Stale queue tab is active. Click '21+ days' chip.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"Stale queue — deals that haven't changed Opp Status. I'll filter to 21 plus days — these are forecast risks sitting unchanged."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3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Point to KPI tile and Head Director hygiene cards.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"Each Head Director gets a hygiene scorecard — how many stale deals, broken down by severity."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4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Click a Head Director card → click an AD tile.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"Same HD to AD to AM drill-down as the main dashboard — but here we're looking at hygiene, not revenue."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5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Scroll to grid. Point to SharePoint column (first column). Click Open ↗ on one row.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"SharePoint link is the first column — one click to open and fix the bid. Customer, bid ref, days unchanged, who last changed it."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6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Click Status flips tab. Click 'Today' preset.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"Status flips — every Opp Status change with date, from-status, to-status, and who made the change. Parsed from SharePoint version history — same audit trail as Versions.aspx."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7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Point to one flip row: From → To, Changed by, Changed on.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"If anyone asks 'who moved this deal to Won?' — the answer is here. No audit request needed."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"Governance protects forecast quality. Stale deals get challenged before they inflate numbers. Status changes are visible and accountable."</w:t>
      </w:r>
    </w:p>
    <w:p>
      <w:r>
        <w:br w:type="page"/>
      </w:r>
    </w:p>
    <w:p>
      <w:pPr>
        <w:spacing w:before="320" w:after="40"/>
      </w:pPr>
      <w:r>
        <w:rPr>
          <w:rFonts w:ascii="Calibri" w:hAnsi="Calibri"/>
          <w:b/>
          <w:i w:val="0"/>
          <w:color w:val="64748B"/>
          <w:sz w:val="20"/>
        </w:rPr>
        <w:t xml:space="preserve">PHASE 6  ·  </w:t>
      </w:r>
      <w:r>
        <w:rPr>
          <w:rFonts w:ascii="Calibri" w:hAnsi="Calibri"/>
          <w:b/>
          <w:i w:val="0"/>
          <w:color w:val="DC2626"/>
          <w:sz w:val="32"/>
        </w:rPr>
        <w:t>Future Scope + Close</w:t>
      </w:r>
      <w:r>
        <w:rPr>
          <w:rFonts w:ascii="Calibri" w:hAnsi="Calibri"/>
          <w:b w:val="0"/>
          <w:i/>
          <w:color w:val="64748B"/>
          <w:sz w:val="20"/>
        </w:rPr>
        <w:t xml:space="preserve">  (3 min)</w:t>
      </w:r>
    </w:p>
    <w:p>
      <w:pPr>
        <w:spacing w:before="80" w:after="200"/>
        <w:pBdr>
          <w:bottom w:val="single" w:sz="10" w:space="1" w:color="DC2626"/>
        </w:pBdr>
      </w:pP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1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You can stay on Governance or go back to Bridge. No need to click anything.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"What you've seen today is the foundation. Two themes for what's next."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2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Speak — no clicking required.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"First — deeper account drill-down: Customer 360 view showing all bids per account, full timeline of changes, and a link from Governance straight to where that deal sits on the Bridge."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3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Continue speaking.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"Second — expanded pipeline hygiene: backward status flips like Won back to Proposed, missing mandatory fields, high-value stale deals, duplicate bids, week-over-week pipeline movement, and automated alerts to Head Directors and Account Directors."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4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Pause. Ask for input.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"One portal, SharePoint-native, role-based, built for quarter execution. I'd welcome your input — which hygiene scenario should we prioritize first, and is account 360 or governance-to-bridge linking more valuable for your team?"</w:t>
      </w:r>
    </w:p>
    <w:p>
      <w:pPr>
        <w:spacing w:before="120"/>
      </w:pPr>
      <w:r>
        <w:rPr>
          <w:rFonts w:ascii="Calibri" w:hAnsi="Calibri"/>
          <w:b/>
          <w:i w:val="0"/>
          <w:color w:val="7C3AED"/>
          <w:sz w:val="20"/>
        </w:rPr>
        <w:t>Step 5</w:t>
      </w:r>
    </w:p>
    <w:p>
      <w:pPr>
        <w:spacing w:before="160" w:after="40"/>
      </w:pPr>
      <w:r>
        <w:rPr>
          <w:rFonts w:ascii="Calibri" w:hAnsi="Calibri"/>
          <w:b/>
          <w:i w:val="0"/>
          <w:color w:val="0D9488"/>
          <w:sz w:val="22"/>
        </w:rPr>
        <w:t xml:space="preserve">▶ SHOW: </w:t>
      </w:r>
      <w:r>
        <w:rPr>
          <w:rFonts w:ascii="Calibri" w:hAnsi="Calibri"/>
          <w:b w:val="0"/>
          <w:i w:val="0"/>
          <w:color w:val="1E1B4B"/>
          <w:sz w:val="22"/>
        </w:rPr>
        <w:t>Thank them. Offer to share the dashboard file and feature summary.</w:t>
      </w:r>
    </w:p>
    <w:p>
      <w:pPr>
        <w:spacing w:after="160"/>
        <w:ind w:left="227"/>
      </w:pPr>
      <w:r>
        <w:rPr>
          <w:rFonts w:ascii="Calibri" w:hAnsi="Calibri"/>
          <w:b/>
          <w:i w:val="0"/>
          <w:color w:val="4F46E5"/>
          <w:sz w:val="22"/>
        </w:rPr>
        <w:t xml:space="preserve">💬 SAY: </w:t>
      </w:r>
      <w:r>
        <w:rPr>
          <w:rFonts w:ascii="Calibri" w:hAnsi="Calibri"/>
          <w:b w:val="0"/>
          <w:i/>
          <w:color w:val="1E1B4B"/>
          <w:sz w:val="22"/>
        </w:rPr>
        <w:t>"Thank you. I'll share the dashboard file and this summary. Happy to do a deeper dive with your team anytime."</w:t>
      </w:r>
    </w:p>
    <w:p>
      <w:r>
        <w:br w:type="page"/>
      </w:r>
    </w:p>
    <w:p>
      <w:r>
        <w:rPr>
          <w:rFonts w:ascii="Calibri" w:hAnsi="Calibri"/>
          <w:b/>
          <w:i w:val="0"/>
          <w:color w:val="4F46E5"/>
          <w:sz w:val="28"/>
        </w:rPr>
        <w:t>Quick reference — if you forget what to say</w:t>
      </w:r>
    </w:p>
    <w:p>
      <w:pPr>
        <w:spacing w:before="80" w:after="200"/>
        <w:pBdr>
          <w:bottom w:val="single" w:sz="10" w:space="1" w:color="4F46E5"/>
        </w:pBdr>
      </w:pPr>
    </w:p>
    <w:p>
      <w:pPr>
        <w:spacing w:after="120"/>
      </w:pPr>
      <w:r>
        <w:rPr>
          <w:rFonts w:ascii="Calibri" w:hAnsi="Calibri"/>
          <w:b/>
          <w:i w:val="0"/>
          <w:color w:val="4F46E5"/>
          <w:sz w:val="22"/>
        </w:rPr>
        <w:t xml:space="preserve">Dashboard: </w:t>
      </w:r>
      <w:r>
        <w:rPr>
          <w:rFonts w:ascii="Calibri" w:hAnsi="Calibri"/>
          <w:b w:val="0"/>
          <w:i w:val="0"/>
          <w:color w:val="1E1B4B"/>
          <w:sz w:val="22"/>
        </w:rPr>
        <w:t>Live pipeline. HD → AD → AM drill. Exportable grid.</w:t>
      </w:r>
    </w:p>
    <w:p>
      <w:pPr>
        <w:spacing w:after="120"/>
      </w:pPr>
      <w:r>
        <w:rPr>
          <w:rFonts w:ascii="Calibri" w:hAnsi="Calibri"/>
          <w:b/>
          <w:i w:val="0"/>
          <w:color w:val="4F46E5"/>
          <w:sz w:val="22"/>
        </w:rPr>
        <w:t xml:space="preserve">Bridge: </w:t>
      </w:r>
      <w:r>
        <w:rPr>
          <w:rFonts w:ascii="Calibri" w:hAnsi="Calibri"/>
          <w:b w:val="0"/>
          <w:i w:val="0"/>
          <w:color w:val="1E1B4B"/>
          <w:sz w:val="22"/>
        </w:rPr>
        <w:t>Actuals + pipeline + gap. Click bar → accounts → SharePoint.</w:t>
      </w:r>
    </w:p>
    <w:p>
      <w:pPr>
        <w:spacing w:after="120"/>
      </w:pPr>
      <w:r>
        <w:rPr>
          <w:rFonts w:ascii="Calibri" w:hAnsi="Calibri"/>
          <w:b/>
          <w:i w:val="0"/>
          <w:color w:val="4F46E5"/>
          <w:sz w:val="22"/>
        </w:rPr>
        <w:t xml:space="preserve">Trends: </w:t>
      </w:r>
      <w:r>
        <w:rPr>
          <w:rFonts w:ascii="Calibri" w:hAnsi="Calibri"/>
          <w:b w:val="0"/>
          <w:i w:val="0"/>
          <w:color w:val="1E1B4B"/>
          <w:sz w:val="22"/>
        </w:rPr>
        <w:t>Historical patterns. Same workbook as Bridge.</w:t>
      </w:r>
    </w:p>
    <w:p>
      <w:pPr>
        <w:spacing w:after="120"/>
      </w:pPr>
      <w:r>
        <w:rPr>
          <w:rFonts w:ascii="Calibri" w:hAnsi="Calibri"/>
          <w:b/>
          <w:i w:val="0"/>
          <w:color w:val="4F46E5"/>
          <w:sz w:val="22"/>
        </w:rPr>
        <w:t xml:space="preserve">Governance: </w:t>
      </w:r>
      <w:r>
        <w:rPr>
          <w:rFonts w:ascii="Calibri" w:hAnsi="Calibri"/>
          <w:b w:val="0"/>
          <w:i w:val="0"/>
          <w:color w:val="1E1B4B"/>
          <w:sz w:val="22"/>
        </w:rPr>
        <w:t>Stale deals + status flips. Version history. SP link first.</w:t>
      </w:r>
    </w:p>
    <w:p>
      <w:pPr>
        <w:spacing w:after="120"/>
      </w:pPr>
      <w:r>
        <w:rPr>
          <w:rFonts w:ascii="Calibri" w:hAnsi="Calibri"/>
          <w:b/>
          <w:i w:val="0"/>
          <w:color w:val="4F46E5"/>
          <w:sz w:val="22"/>
        </w:rPr>
        <w:t xml:space="preserve">Future: </w:t>
      </w:r>
      <w:r>
        <w:rPr>
          <w:rFonts w:ascii="Calibri" w:hAnsi="Calibri"/>
          <w:b w:val="0"/>
          <w:i w:val="0"/>
          <w:color w:val="1E1B4B"/>
          <w:sz w:val="22"/>
        </w:rPr>
        <w:t>Account 360 + more hygiene scenarios + automated alerts.</w:t>
      </w:r>
    </w:p>
    <w:p/>
    <w:p>
      <w:r>
        <w:rPr>
          <w:rFonts w:ascii="Calibri" w:hAnsi="Calibri"/>
          <w:b/>
          <w:i w:val="0"/>
          <w:color w:val="DC2626"/>
          <w:sz w:val="24"/>
        </w:rPr>
        <w:t>If something breaks live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E1B4B"/>
          <w:sz w:val="20"/>
        </w:rPr>
        <w:t>Say: 'Let me refresh from SharePoint' → click Refresh button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E1B4B"/>
          <w:sz w:val="20"/>
        </w:rPr>
        <w:t>If Governance is slow: 'First load reads version history — cached after that'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E1B4B"/>
          <w:sz w:val="20"/>
        </w:rPr>
        <w:t>If chart empty: check workbook exists in SiteAssets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E1B4B"/>
          <w:sz w:val="20"/>
        </w:rPr>
        <w:t>Fallback: open a SharePoint bid form manually to show the link works</w:t>
      </w:r>
    </w:p>
    <w:p>
      <w:pPr>
        <w:spacing w:before="400"/>
        <w:jc w:val="center"/>
      </w:pPr>
      <w:r>
        <w:rPr>
          <w:rFonts w:ascii="Calibri" w:hAnsi="Calibri"/>
          <w:b w:val="0"/>
          <w:i/>
          <w:color w:val="64748B"/>
          <w:sz w:val="20"/>
        </w:rPr>
        <w:t>GLK-Enterprise-Dashboard.html  ·  SharePoint SiteAssets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