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4F46E5"/>
          <w:sz w:val="56"/>
        </w:rPr>
        <w:t>GLK Enterprise Pipeline Dashboard</w:t>
      </w:r>
    </w:p>
    <w:p>
      <w:pPr>
        <w:jc w:val="center"/>
      </w:pPr>
      <w:r>
        <w:rPr>
          <w:rFonts w:ascii="Calibri" w:hAnsi="Calibri"/>
          <w:b w:val="0"/>
          <w:i w:val="0"/>
          <w:color w:val="7C3AED"/>
          <w:sz w:val="32"/>
        </w:rPr>
        <w:t>Features Overview &amp; Future Scope</w:t>
      </w:r>
    </w:p>
    <w:p/>
    <w:p>
      <w:pPr>
        <w:jc w:val="center"/>
      </w:pPr>
      <w:r>
        <w:rPr>
          <w:rFonts w:ascii="Calibri" w:hAnsi="Calibri"/>
          <w:b w:val="0"/>
          <w:i w:val="0"/>
          <w:color w:val="64748B"/>
          <w:sz w:val="24"/>
        </w:rPr>
        <w:t>Performance Bridge  ·  Trends  ·  Pipeline Governance</w:t>
      </w:r>
    </w:p>
    <w:p/>
    <w:p>
      <w:pPr>
        <w:jc w:val="center"/>
      </w:pPr>
      <w:r>
        <w:rPr>
          <w:rFonts w:ascii="Calibri" w:hAnsi="Calibri"/>
          <w:b w:val="0"/>
          <w:i/>
          <w:color w:val="64748B"/>
          <w:sz w:val="22"/>
        </w:rPr>
        <w:t>September 2026</w:t>
      </w:r>
    </w:p>
    <w:p>
      <w:r>
        <w:br w:type="page"/>
      </w:r>
    </w:p>
    <w:p>
      <w:r>
        <w:rPr>
          <w:rFonts w:ascii="Calibri" w:hAnsi="Calibri"/>
          <w:b w:val="0"/>
          <w:i w:val="0"/>
          <w:color w:val="1E1B4B"/>
          <w:sz w:val="22"/>
        </w:rPr>
        <w:t xml:space="preserve">Quick reference for leadership demos. </w:t>
      </w:r>
      <w:r>
        <w:rPr>
          <w:rFonts w:ascii="Calibri" w:hAnsi="Calibri"/>
          <w:b/>
          <w:i w:val="0"/>
          <w:color w:val="4F46E5"/>
          <w:sz w:val="22"/>
        </w:rPr>
        <w:t>Live data from SharePoint</w:t>
      </w:r>
      <w:r>
        <w:rPr>
          <w:rFonts w:ascii="Calibri" w:hAnsi="Calibri"/>
          <w:b w:val="0"/>
          <w:i w:val="0"/>
          <w:color w:val="1E1B4B"/>
          <w:sz w:val="22"/>
        </w:rPr>
        <w:t xml:space="preserve"> — pipeline list + GLK workbooks in SiteAssets.</w:t>
      </w:r>
    </w:p>
    <w:p/>
    <w:p>
      <w:pPr>
        <w:spacing w:before="360" w:after="80"/>
      </w:pPr>
      <w:r>
        <w:rPr>
          <w:rFonts w:ascii="Calibri" w:hAnsi="Calibri"/>
          <w:b/>
          <w:i w:val="0"/>
          <w:color w:val="4F46E5"/>
          <w:sz w:val="36"/>
        </w:rPr>
        <w:t>Performance Bridge</w:t>
      </w:r>
    </w:p>
    <w:p>
      <w:pPr>
        <w:spacing w:after="200"/>
      </w:pPr>
      <w:r>
        <w:rPr>
          <w:rFonts w:ascii="Calibri" w:hAnsi="Calibri"/>
          <w:b w:val="0"/>
          <w:i/>
          <w:color w:val="64748B"/>
          <w:sz w:val="20"/>
        </w:rPr>
        <w:t>Quarter close cockpit — actuals, target, and pipeline gap in one chart</w:t>
      </w:r>
    </w:p>
    <w:p>
      <w:pPr>
        <w:spacing w:before="120" w:after="240"/>
        <w:pBdr>
          <w:bottom w:val="single" w:sz="12" w:space="1" w:color="4F46E5"/>
        </w:pBdr>
      </w:pP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GLK workbook auto-loads from SharePoint SiteAssets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Mobile Net Add Lines + Fixed Net MRC (QTD / YTD)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Fixed Aggregated Revenue (QTG / YTG)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Most Likely vs Upside scenario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Head Director + report level (vertical) filters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Waterfall: Actuals → Pipeline → Net Forecast → Gap to Target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Click any bar → account cards (bid ref, HD/AD/AM, full detail)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Open in SharePoint ↗ — editable bid form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Bridge search — find account + see bridge placement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Mobile product tables (Gross / Churn / Net) — click cell for accounts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Overdue activation panel (Proposed/Opp past expected date)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Export PPT + Excel</w:t>
      </w:r>
    </w:p>
    <w:p>
      <w:pPr>
        <w:spacing w:before="360" w:after="80"/>
      </w:pPr>
      <w:r>
        <w:rPr>
          <w:rFonts w:ascii="Calibri" w:hAnsi="Calibri"/>
          <w:b/>
          <w:i w:val="0"/>
          <w:color w:val="7C3AED"/>
          <w:sz w:val="36"/>
        </w:rPr>
        <w:t>Trends</w:t>
      </w:r>
    </w:p>
    <w:p>
      <w:pPr>
        <w:spacing w:after="200"/>
      </w:pPr>
      <w:r>
        <w:rPr>
          <w:rFonts w:ascii="Calibri" w:hAnsi="Calibri"/>
          <w:b w:val="0"/>
          <w:i/>
          <w:color w:val="64748B"/>
          <w:sz w:val="20"/>
        </w:rPr>
        <w:t>Historical performance — same workbook as Performance Bridge</w:t>
      </w:r>
    </w:p>
    <w:p>
      <w:pPr>
        <w:spacing w:before="120" w:after="240"/>
        <w:pBdr>
          <w:bottom w:val="single" w:sz="12" w:space="1" w:color="7C3AED"/>
        </w:pBdr>
      </w:pP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Auto-loads from SharePoint SiteAssets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3 charts: Rev Rec YoY · Net Add Lines · Fixed Net MRC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Quarter KPI tiles at top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Values on lines + projection zone for current quarter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Refresh / Replace File from SharePoint</w:t>
      </w:r>
    </w:p>
    <w:p>
      <w:pPr>
        <w:spacing w:before="360" w:after="80"/>
      </w:pPr>
      <w:r>
        <w:rPr>
          <w:rFonts w:ascii="Calibri" w:hAnsi="Calibri"/>
          <w:b/>
          <w:i w:val="0"/>
          <w:color w:val="0D9488"/>
          <w:sz w:val="36"/>
        </w:rPr>
        <w:t>Pipeline Governance</w:t>
      </w:r>
    </w:p>
    <w:p>
      <w:pPr>
        <w:spacing w:after="200"/>
      </w:pPr>
      <w:r>
        <w:rPr>
          <w:rFonts w:ascii="Calibri" w:hAnsi="Calibri"/>
          <w:b w:val="0"/>
          <w:i/>
          <w:color w:val="64748B"/>
          <w:sz w:val="20"/>
        </w:rPr>
        <w:t>Pipeline hygiene — stale deals and status accountability</w:t>
      </w:r>
    </w:p>
    <w:p>
      <w:pPr>
        <w:spacing w:before="120" w:after="240"/>
        <w:pBdr>
          <w:bottom w:val="single" w:sz="12" w:space="1" w:color="0D9488"/>
        </w:pBdr>
      </w:pP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SharePoint Version History per deal — auto-loads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Current quarter in-flight deals only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Stale queue — unchanged 1 / 7 / 15 / 21+ days on same Opp Status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Status flips — who changed what, when, from → to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Filters: HD, AD, AM, product family, search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HD → AD → AM hygiene drill-down tiles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SharePoint link first column in grid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Flip date filters: today, 7d, 30d, quarter, custom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DC2626"/>
          <w:sz w:val="36"/>
        </w:rPr>
        <w:t>Future Scope</w:t>
      </w:r>
    </w:p>
    <w:p>
      <w:pPr>
        <w:spacing w:after="200"/>
      </w:pPr>
      <w:r>
        <w:rPr>
          <w:rFonts w:ascii="Calibri" w:hAnsi="Calibri"/>
          <w:b w:val="0"/>
          <w:i/>
          <w:color w:val="64748B"/>
          <w:sz w:val="20"/>
        </w:rPr>
        <w:t>Next phase — account drill-down and expanded hygiene</w:t>
      </w:r>
    </w:p>
    <w:p>
      <w:pPr>
        <w:spacing w:before="120" w:after="240"/>
        <w:pBdr>
          <w:bottom w:val="single" w:sz="12" w:space="1" w:color="DC2626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EA580C"/>
          <w:sz w:val="26"/>
        </w:rPr>
        <w:t>Account drill-down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Customer 360 — all bids per account in one view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Account timeline — full status &amp; field change history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Governance → Bridge click-through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Global customer search with hygiene flags</w:t>
      </w:r>
    </w:p>
    <w:p>
      <w:pPr>
        <w:spacing w:before="240" w:after="120"/>
      </w:pPr>
      <w:r>
        <w:rPr>
          <w:rFonts w:ascii="Calibri" w:hAnsi="Calibri"/>
          <w:b/>
          <w:i w:val="0"/>
          <w:color w:val="EA580C"/>
          <w:sz w:val="26"/>
        </w:rPr>
        <w:t>Pipeline hygiene (new scenarios)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Backward flips — Won → Proposed anomalies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Missing mandatory fields queue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High-value stale deals (MRC + age combined)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Duplicate bids / ownership gaps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Week-over-week pipeline movement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Hygiene scorecards + automated alerts to HD/AD</w:t>
      </w:r>
    </w:p>
    <w:p>
      <w:pPr>
        <w:spacing w:before="240" w:after="120"/>
      </w:pPr>
      <w:r>
        <w:rPr>
          <w:rFonts w:ascii="Calibri" w:hAnsi="Calibri"/>
          <w:b/>
          <w:i w:val="0"/>
          <w:color w:val="EA580C"/>
          <w:sz w:val="26"/>
        </w:rPr>
        <w:t>Other enhancements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Revenue bridge (tab marked Soon)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Trends quarter-point drill-down to accounts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color w:val="1E1B4B"/>
          <w:sz w:val="22"/>
        </w:rPr>
        <w:t>Saved filter presets · mobile layout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F46E5" w:val="clear"/>
          </w:tcPr>
          <w:p>
            <w:r>
              <w:rPr>
                <w:b/>
                <w:color w:val="FFFFFF"/>
                <w:sz w:val="22"/>
              </w:rPr>
              <w:t>Area</w:t>
            </w:r>
          </w:p>
        </w:tc>
        <w:tc>
          <w:tcPr>
            <w:tcW w:type="dxa" w:w="4703"/>
            <w:shd w:fill="4F46E5" w:val="clear"/>
          </w:tcPr>
          <w:p>
            <w:r>
              <w:rPr>
                <w:b/>
                <w:color w:val="FFFFFF"/>
                <w:sz w:val="22"/>
              </w:rPr>
              <w:t>Planned</w:t>
            </w:r>
          </w:p>
        </w:tc>
      </w:tr>
      <w:tr>
        <w:tc>
          <w:tcPr>
            <w:tcW w:type="dxa" w:w="4703"/>
            <w:shd w:fill="F8FAFC" w:val="clear"/>
          </w:tcPr>
          <w:p>
            <w:r>
              <w:rPr>
                <w:b/>
                <w:color w:val="4F46E5"/>
                <w:sz w:val="20"/>
              </w:rPr>
              <w:t>Account drill-down</w:t>
            </w:r>
          </w:p>
        </w:tc>
        <w:tc>
          <w:tcPr>
            <w:tcW w:type="dxa" w:w="4703"/>
            <w:shd w:fill="F8FAFC" w:val="clear"/>
          </w:tcPr>
          <w:p>
            <w:r>
              <w:rPr>
                <w:color w:val="1E1B4B"/>
                <w:sz w:val="20"/>
              </w:rPr>
              <w:t>• Customer 360 view</w:t>
              <w:br/>
              <w:t>• Account timeline</w:t>
              <w:br/>
              <w:t>• Governance → Bridge link</w:t>
              <w:br/>
              <w:t>• Global customer search</w:t>
            </w:r>
          </w:p>
        </w:tc>
      </w:tr>
      <w:tr>
        <w:tc>
          <w:tcPr>
            <w:tcW w:type="dxa" w:w="4703"/>
            <w:shd w:fill="EEF2FF" w:val="clear"/>
          </w:tcPr>
          <w:p>
            <w:r>
              <w:rPr>
                <w:b/>
                <w:color w:val="4F46E5"/>
                <w:sz w:val="20"/>
              </w:rPr>
              <w:t>Pipeline hygiene</w:t>
            </w:r>
          </w:p>
        </w:tc>
        <w:tc>
          <w:tcPr>
            <w:tcW w:type="dxa" w:w="4703"/>
            <w:shd w:fill="EEF2FF" w:val="clear"/>
          </w:tcPr>
          <w:p>
            <w:r>
              <w:rPr>
                <w:color w:val="1E1B4B"/>
                <w:sz w:val="20"/>
              </w:rPr>
              <w:t>• Backward flip anomalies</w:t>
              <w:br/>
              <w:t>• Missing fields queue</w:t>
              <w:br/>
              <w:t>• High-value stale deals</w:t>
              <w:br/>
              <w:t>• WoW pipeline movement</w:t>
              <w:br/>
              <w:t>• Automated leader alerts</w:t>
            </w:r>
          </w:p>
        </w:tc>
      </w:tr>
      <w:tr>
        <w:tc>
          <w:tcPr>
            <w:tcW w:type="dxa" w:w="4703"/>
            <w:shd w:fill="F8FAFC" w:val="clear"/>
          </w:tcPr>
          <w:p>
            <w:r>
              <w:rPr>
                <w:b/>
                <w:color w:val="4F46E5"/>
                <w:sz w:val="20"/>
              </w:rPr>
              <w:t>Platform</w:t>
            </w:r>
          </w:p>
        </w:tc>
        <w:tc>
          <w:tcPr>
            <w:tcW w:type="dxa" w:w="4703"/>
            <w:shd w:fill="F8FAFC" w:val="clear"/>
          </w:tcPr>
          <w:p>
            <w:r>
              <w:rPr>
                <w:color w:val="1E1B4B"/>
                <w:sz w:val="20"/>
              </w:rPr>
              <w:t>• Revenue bridge</w:t>
              <w:br/>
              <w:t>• Trends drill-down</w:t>
              <w:br/>
              <w:t>• Saved presets &amp; mobile UI</w:t>
            </w:r>
          </w:p>
        </w:tc>
      </w:tr>
    </w:tbl>
    <w:p/>
    <w:p/>
    <w:p>
      <w:pPr>
        <w:spacing w:before="240"/>
        <w:jc w:val="center"/>
        <w:pBdr>
          <w:top w:val="single" w:sz="6" w:space="4" w:color="CBD5E1"/>
        </w:pBdr>
      </w:pPr>
      <w:r>
        <w:rPr>
          <w:rFonts w:ascii="Calibri" w:hAnsi="Calibri"/>
          <w:b w:val="0"/>
          <w:i/>
          <w:color w:val="64748B"/>
          <w:sz w:val="20"/>
        </w:rPr>
        <w:t>Dashboard file: GLK-Enterprise-Dashboard.html</w:t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20"/>
        </w:rPr>
        <w:t>Upload to SharePoint SiteAssets · Hard-refresh before demo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