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برنامهی-اجرایی-فهرست-و-ثبت-تصمیمها"/>
    <w:p>
      <w:pPr>
        <w:pStyle w:val="Heading1"/>
        <w:bidi/>
      </w:pPr>
      <w:r>
        <w:rPr>
          <w:rtl/>
        </w:rPr>
        <w:t xml:space="preserve">برنامه‌ی اجرایی — فهرست و ثبت تصمیم‌ها</w:t>
      </w:r>
    </w:p>
    <w:p>
      <w:pPr>
        <w:pStyle w:val="BlockText"/>
        <w:bidi/>
      </w:pPr>
      <w:r>
        <w:rPr>
          <w:rtl/>
        </w:rPr>
        <w:t xml:space="preserve">فاز ۲ · نسخه ۱.۰ · مهر ۱۴۰۵</w:t>
      </w:r>
      <w:r>
        <w:rPr>
          <w:rtl/>
        </w:rPr>
        <w:t xml:space="preserve"> </w:t>
      </w:r>
      <w:r>
        <w:rPr>
          <w:rtl/>
        </w:rPr>
        <w:t xml:space="preserve">مخاطب: بنیان‌گذار تک‌نفره. همه‌چیز طوری طراحی شده که کار روزانه‌ی انسانی</w:t>
      </w:r>
      <w:r>
        <w:rPr>
          <w:rtl/>
        </w:rPr>
        <w:t xml:space="preserve"> </w:t>
      </w:r>
      <w:r>
        <w:rPr>
          <w:rtl/>
          <w:bCs/>
          <w:b/>
        </w:rPr>
        <w:t xml:space="preserve">کمتر از ۴۵ دقیقه</w:t>
      </w:r>
      <w:r>
        <w:rPr>
          <w:rtl/>
        </w:rPr>
        <w:t xml:space="preserve"> </w:t>
      </w:r>
      <w:r>
        <w:rPr>
          <w:rtl/>
        </w:rPr>
        <w:t xml:space="preserve">باشد و بقیه را پایپ‌لاین‌های خودکار انجام دهند.</w:t>
      </w:r>
    </w:p>
    <w:bookmarkStart w:id="29" w:name="اسناد"/>
    <w:p>
      <w:pPr>
        <w:pStyle w:val="Heading2"/>
        <w:bidi/>
      </w:pPr>
      <w:r>
        <w:rPr>
          <w:rtl/>
        </w:rPr>
        <w:t xml:space="preserve">اسناد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سند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محتوا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01</w:t>
            </w:r>
          </w:p>
        </w:tc>
        <w:tc>
          <w:tcPr/>
          <w:p>
            <w:pPr>
              <w:pStyle w:val="Compact"/>
              <w:bidi/>
              <w:jc w:val="left"/>
            </w:pPr>
            <w:hyperlink r:id="rId20">
              <w:r>
                <w:rPr>
                  <w:rStyle w:val="Hyperlink"/>
                  <w:rtl/>
                </w:rPr>
                <w:t xml:space="preserve">PRD — سند نیازمندی محصول</w:t>
              </w:r>
            </w:hyperlink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چشم‌انداز، پرسونا، تمایز، ویژگی‌ها به تفکیک فاز، معیار پذیرش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02</w:t>
            </w:r>
          </w:p>
        </w:tc>
        <w:tc>
          <w:tcPr/>
          <w:p>
            <w:pPr>
              <w:pStyle w:val="Compact"/>
              <w:bidi/>
              <w:jc w:val="left"/>
            </w:pPr>
            <w:hyperlink r:id="rId21">
              <w:r>
                <w:rPr>
                  <w:rStyle w:val="Hyperlink"/>
                  <w:rtl/>
                </w:rPr>
                <w:t xml:space="preserve">معماری فنی</w:t>
              </w:r>
            </w:hyperlink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پشته، ساختار مخزن، i18n سه‌زبانه، جست‌وجو، پرداخت، زیرساخت، CI/CD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03</w:t>
            </w:r>
          </w:p>
        </w:tc>
        <w:tc>
          <w:tcPr/>
          <w:p>
            <w:pPr>
              <w:pStyle w:val="Compact"/>
              <w:bidi/>
              <w:jc w:val="left"/>
            </w:pPr>
            <w:hyperlink r:id="rId22">
              <w:r>
                <w:rPr>
                  <w:rStyle w:val="Hyperlink"/>
                  <w:rtl/>
                </w:rPr>
                <w:t xml:space="preserve">مدل داده</w:t>
              </w:r>
            </w:hyperlink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موجودیت‌ها، روابط، فیلدهای چندزبانه، امتیاز کیفیت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04</w:t>
            </w:r>
          </w:p>
        </w:tc>
        <w:tc>
          <w:tcPr/>
          <w:p>
            <w:pPr>
              <w:pStyle w:val="Compact"/>
              <w:bidi/>
              <w:jc w:val="left"/>
            </w:pPr>
            <w:hyperlink r:id="rId23">
              <w:r>
                <w:rPr>
                  <w:rStyle w:val="Hyperlink"/>
                  <w:rtl/>
                </w:rPr>
                <w:t xml:space="preserve">پایپ‌لاین‌های خودکار</w:t>
              </w:r>
            </w:hyperlink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کارخانه‌ی محتوا، تست و به‌روزرسانی، ترجمه، انتشار، پروموت، پشتیبانی، پایش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05</w:t>
            </w:r>
          </w:p>
        </w:tc>
        <w:tc>
          <w:tcPr/>
          <w:p>
            <w:pPr>
              <w:pStyle w:val="Compact"/>
              <w:bidi/>
              <w:jc w:val="left"/>
            </w:pPr>
            <w:hyperlink r:id="rId24">
              <w:r>
                <w:rPr>
                  <w:rStyle w:val="Hyperlink"/>
                  <w:rtl/>
                </w:rPr>
                <w:t xml:space="preserve">درآمد و قیمت‌گذاری</w:t>
              </w:r>
            </w:hyperlink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۶ جریان درآمد، قیمت هر بازار، اقتصاد کردیت، تخفیف و افیلیت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06</w:t>
            </w:r>
          </w:p>
        </w:tc>
        <w:tc>
          <w:tcPr/>
          <w:p>
            <w:pPr>
              <w:pStyle w:val="Compact"/>
              <w:bidi/>
              <w:jc w:val="left"/>
            </w:pPr>
            <w:hyperlink r:id="rId25">
              <w:r>
                <w:rPr>
                  <w:rStyle w:val="Hyperlink"/>
                  <w:rtl/>
                </w:rPr>
                <w:t xml:space="preserve">سئو و رشد</w:t>
              </w:r>
            </w:hyperlink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معماری URL، سئوی برنامه‌ای، کانال‌های هر بازار، تقویم محتوا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07</w:t>
            </w:r>
          </w:p>
        </w:tc>
        <w:tc>
          <w:tcPr/>
          <w:p>
            <w:pPr>
              <w:pStyle w:val="Compact"/>
              <w:bidi/>
              <w:jc w:val="left"/>
            </w:pPr>
            <w:hyperlink r:id="rId26">
              <w:r>
                <w:rPr>
                  <w:rStyle w:val="Hyperlink"/>
                  <w:rtl/>
                </w:rPr>
                <w:t xml:space="preserve">نقشه‌ی راه ۱۶ هفته‌ای</w:t>
              </w:r>
            </w:hyperlink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کار هفته‌به‌هفته، خروجی و معیار «تمام‌شده» هر هفته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08</w:t>
            </w:r>
          </w:p>
        </w:tc>
        <w:tc>
          <w:tcPr/>
          <w:p>
            <w:pPr>
              <w:pStyle w:val="Compact"/>
              <w:bidi/>
              <w:jc w:val="left"/>
            </w:pPr>
            <w:hyperlink r:id="rId27">
              <w:r>
                <w:rPr>
                  <w:rStyle w:val="Hyperlink"/>
                  <w:rtl/>
                </w:rPr>
                <w:t xml:space="preserve">SOP و KPI</w:t>
              </w:r>
            </w:hyperlink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روتین روزانه/هفتگی/ماهانه، داشبورد، هشدارها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09</w:t>
            </w:r>
          </w:p>
        </w:tc>
        <w:tc>
          <w:tcPr/>
          <w:p>
            <w:pPr>
              <w:pStyle w:val="Compact"/>
              <w:bidi/>
              <w:jc w:val="left"/>
            </w:pPr>
            <w:hyperlink r:id="rId28">
              <w:r>
                <w:rPr>
                  <w:rStyle w:val="Hyperlink"/>
                  <w:rtl/>
                </w:rPr>
                <w:t xml:space="preserve">ریسک، حقوقی و انطباق</w:t>
              </w:r>
            </w:hyperlink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تحریم و پرداخت، شرایط ارائه‌دهندگان AI، لایسنس محتوا، مالیات</w:t>
            </w:r>
          </w:p>
        </w:tc>
      </w:tr>
    </w:tbl>
    <w:bookmarkEnd w:id="29"/>
    <w:bookmarkStart w:id="30" w:name="تصمیمهای-تأییدشده-decision-log"/>
    <w:p>
      <w:pPr>
        <w:pStyle w:val="Heading2"/>
        <w:bidi/>
      </w:pPr>
      <w:r>
        <w:rPr>
          <w:rtl/>
        </w:rPr>
        <w:t xml:space="preserve">تصمیم‌های تأییدشده (Decision Log)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تصمیم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تاریخ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۷ پلتفرم مرجع: PromptBase، PromptHero، AIPRM، God of Prompt، LaPrompt، prompts.chat، FlowGPT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✅ تأیید شد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۱۴۰۵/۰۷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برند و دامنه‌ی جدید (بدون غلط املایی،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.com</w:t>
            </w:r>
            <w:r>
              <w:rPr>
                <w:rtl/>
              </w:rPr>
              <w:t xml:space="preserve">/</w:t>
            </w:r>
            <w:r>
              <w:rPr>
                <w:rStyle w:val="VerbatimChar"/>
                <w:rtl/>
              </w:rPr>
              <w:t xml:space="preserve">.ai</w:t>
            </w:r>
            <w:r>
              <w:rPr>
                <w:rtl/>
              </w:rPr>
              <w:t xml:space="preserve">) با مسیرهای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/fa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/en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/ar</w:t>
            </w:r>
            <w:r>
              <w:rPr>
                <w:rtl/>
              </w:rPr>
              <w:t xml:space="preserve">؛ ریدایرکت ۳۰۱ از rasa-promt.ir به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/fa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✅ تأیید شد — نام نهایی در هفته‌ی 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۱۴۰۵/۰۷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شروع با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فروشگاه تک‌فروشنده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(محتوای خودمان + منابع CC0)؛ مارکت‌پلیس سازندگان در فاز ۳ و فقط بعد از رسیدن به معیارهای مشخص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✅ پیش‌فرض پیشنهادی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۱۴۰۵/۰۷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رابط کاربری: FarsiUI (استایل base-nova) روی Next.js 16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✅ تأیید شد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۱۴۰۵/۰۷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ترتیب انتشار: فارسی (هفته‌ی ۱۲) → انگلیسی و عربی (هفته‌ی ۱۴)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✅ پیش‌فرض پیشنهادی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۱۴۰۵/۰۷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داده‌ی سایت قبلی موجود نیست؛ کالبدشکافی بر پایه‌ی شواهد بیرونی بسته شد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۱۴۰۵/۰۷</w:t>
            </w:r>
          </w:p>
        </w:tc>
      </w:tr>
    </w:tbl>
    <w:bookmarkEnd w:id="30"/>
    <w:bookmarkStart w:id="31" w:name="قانونهای-طلایی-پروژه-برای-شرکت-یکنفره"/>
    <w:p>
      <w:pPr>
        <w:pStyle w:val="Heading2"/>
        <w:bidi/>
      </w:pPr>
      <w:r>
        <w:rPr>
          <w:rtl/>
        </w:rPr>
        <w:t xml:space="preserve">قانون‌های طلایی پروژه (برای شرکت یک‌نفره)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هر کاری که دو بار تکرار شد، خودکار می‌شود.</w:t>
      </w:r>
      <w:r>
        <w:rPr>
          <w:rtl/>
        </w:rPr>
        <w:t xml:space="preserve"> </w:t>
      </w:r>
      <w:r>
        <w:rPr>
          <w:rtl/>
        </w:rPr>
        <w:t xml:space="preserve">کار دستی سوم ممنوع است.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هیچ محتوایی بدون تست منتشر نمی‌شود.</w:t>
      </w:r>
      <w:r>
        <w:rPr>
          <w:rtl/>
        </w:rPr>
        <w:t xml:space="preserve"> </w:t>
      </w:r>
      <w:r>
        <w:rPr>
          <w:rtl/>
        </w:rPr>
        <w:t xml:space="preserve">نشان «تست‌شده» هسته‌ی برند است.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یک منبع حقیقت:</w:t>
      </w:r>
      <w:r>
        <w:rPr>
          <w:rtl/>
        </w:rPr>
        <w:t xml:space="preserve"> </w:t>
      </w:r>
      <w:r>
        <w:rPr>
          <w:rtl/>
        </w:rPr>
        <w:t xml:space="preserve">محتوا فقط در پایگاه‌داده؛ سایت، افزونه، API، شبکه‌های اجتماعی همه از آن تغذیه می‌شوند.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کمترین قطعه‌ی متحرک:</w:t>
      </w:r>
      <w:r>
        <w:rPr>
          <w:rtl/>
        </w:rPr>
        <w:t xml:space="preserve"> </w:t>
      </w:r>
      <w:r>
        <w:rPr>
          <w:rtl/>
        </w:rPr>
        <w:t xml:space="preserve">هر سرویس جدید باید یک سرویس قبلی را حذف کند یا ۵ ساعت در ماه صرفه‌جویی کند.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اندازه‌گیری قبل از ساختن:</w:t>
      </w:r>
      <w:r>
        <w:rPr>
          <w:rtl/>
        </w:rPr>
        <w:t xml:space="preserve"> </w:t>
      </w:r>
      <w:r>
        <w:rPr>
          <w:rtl/>
        </w:rPr>
        <w:t xml:space="preserve">هر ویژگی فاز ۲ و ۳ فقط با داده‌ی فاز قبل باز می‌شود.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01-prd.md" TargetMode="External"/><Relationship Id="rId21" Type="http://schemas.openxmlformats.org/officeDocument/2006/relationships/hyperlink" Target="02-architecture.md" TargetMode="External"/><Relationship Id="rId22" Type="http://schemas.openxmlformats.org/officeDocument/2006/relationships/hyperlink" Target="03-data-model.md" TargetMode="External"/><Relationship Id="rId23" Type="http://schemas.openxmlformats.org/officeDocument/2006/relationships/hyperlink" Target="04-automation-pipelines.md" TargetMode="External"/><Relationship Id="rId24" Type="http://schemas.openxmlformats.org/officeDocument/2006/relationships/hyperlink" Target="05-monetization-pricing.md" TargetMode="External"/><Relationship Id="rId25" Type="http://schemas.openxmlformats.org/officeDocument/2006/relationships/hyperlink" Target="06-seo-growth.md" TargetMode="External"/><Relationship Id="rId26" Type="http://schemas.openxmlformats.org/officeDocument/2006/relationships/hyperlink" Target="07-roadmap.md" TargetMode="External"/><Relationship Id="rId27" Type="http://schemas.openxmlformats.org/officeDocument/2006/relationships/hyperlink" Target="08-sops-kpis.md" TargetMode="External"/><Relationship Id="rId28" Type="http://schemas.openxmlformats.org/officeDocument/2006/relationships/hyperlink" Target="09-risks-compliance.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01-prd.md" TargetMode="External"/><Relationship Id="rId21" Type="http://schemas.openxmlformats.org/officeDocument/2006/relationships/hyperlink" Target="02-architecture.md" TargetMode="External"/><Relationship Id="rId22" Type="http://schemas.openxmlformats.org/officeDocument/2006/relationships/hyperlink" Target="03-data-model.md" TargetMode="External"/><Relationship Id="rId23" Type="http://schemas.openxmlformats.org/officeDocument/2006/relationships/hyperlink" Target="04-automation-pipelines.md" TargetMode="External"/><Relationship Id="rId24" Type="http://schemas.openxmlformats.org/officeDocument/2006/relationships/hyperlink" Target="05-monetization-pricing.md" TargetMode="External"/><Relationship Id="rId25" Type="http://schemas.openxmlformats.org/officeDocument/2006/relationships/hyperlink" Target="06-seo-growth.md" TargetMode="External"/><Relationship Id="rId26" Type="http://schemas.openxmlformats.org/officeDocument/2006/relationships/hyperlink" Target="07-roadmap.md" TargetMode="External"/><Relationship Id="rId27" Type="http://schemas.openxmlformats.org/officeDocument/2006/relationships/hyperlink" Target="08-sops-kpis.md" TargetMode="External"/><Relationship Id="rId28" Type="http://schemas.openxmlformats.org/officeDocument/2006/relationships/hyperlink" Target="09-risks-complianc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2026-10-08T07:26:05Z</dcterms:created>
  <dcterms:modified xsi:type="dcterms:W3CDTF">2026-10-08T07:26:05Z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