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388B" w14:textId="77777777" w:rsidR="00F24951" w:rsidRDefault="00F24951">
      <w:r>
        <w:t>Define rotational inertia and give an example of application of the concept to real world object:</w:t>
      </w:r>
    </w:p>
    <w:p w14:paraId="03B0E752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34A6E3F5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018401D1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4046558D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654CE145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516AF5FF" w14:textId="77777777" w:rsidR="00F24951" w:rsidRDefault="00F24951"/>
    <w:p w14:paraId="0F6C20FD" w14:textId="77777777" w:rsidR="00F24951" w:rsidRDefault="00F24951"/>
    <w:p w14:paraId="423A4C39" w14:textId="77777777" w:rsidR="00F24951" w:rsidRDefault="00F24951"/>
    <w:p w14:paraId="518AF708" w14:textId="77777777" w:rsidR="00F24951" w:rsidRDefault="00F24951"/>
    <w:p w14:paraId="5B33BCF4" w14:textId="77777777" w:rsidR="00F24951" w:rsidRDefault="00F24951">
      <w:r>
        <w:t>Why is rotational inertia of the object called an invariant?</w:t>
      </w:r>
    </w:p>
    <w:p w14:paraId="6AE4CEAE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66D9D495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4DBD3D35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6FE1F55D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4A8EEC31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6807F3EF" w14:textId="77777777" w:rsidR="00F24951" w:rsidRDefault="00F24951"/>
    <w:p w14:paraId="1425F364" w14:textId="77777777" w:rsidR="00F24951" w:rsidRDefault="00F24951"/>
    <w:p w14:paraId="0EF6F575" w14:textId="77777777" w:rsidR="00F24951" w:rsidRDefault="00F24951"/>
    <w:p w14:paraId="333350D6" w14:textId="77777777" w:rsidR="00F24951" w:rsidRDefault="00F24951"/>
    <w:p w14:paraId="0CA7FBDC" w14:textId="461F5A4D" w:rsidR="003150FD" w:rsidRPr="008F2E47" w:rsidRDefault="00F24951" w:rsidP="003150FD">
      <w:pPr>
        <w:rPr>
          <w:b/>
        </w:rPr>
      </w:pPr>
      <w:r w:rsidRPr="008F2E47">
        <w:rPr>
          <w:b/>
        </w:rPr>
        <w:br w:type="page"/>
      </w:r>
      <w:r w:rsidR="003150FD" w:rsidRPr="008F2E47">
        <w:rPr>
          <w:b/>
        </w:rPr>
        <w:lastRenderedPageBreak/>
        <w:t xml:space="preserve">Heaviness perception experiment – </w:t>
      </w:r>
      <w:r w:rsidR="003723E4">
        <w:rPr>
          <w:b/>
        </w:rPr>
        <w:t xml:space="preserve">the </w:t>
      </w:r>
      <w:r w:rsidR="00DC1C6D">
        <w:rPr>
          <w:b/>
        </w:rPr>
        <w:t>testing</w:t>
      </w:r>
      <w:r w:rsidR="003150FD" w:rsidRPr="008F2E47">
        <w:rPr>
          <w:b/>
        </w:rPr>
        <w:t xml:space="preserve"> moment of inertia hypothesis</w:t>
      </w:r>
    </w:p>
    <w:p w14:paraId="2375CC77" w14:textId="181C7974" w:rsidR="009946F2" w:rsidRDefault="009946F2" w:rsidP="009946F2">
      <w:r>
        <w:t xml:space="preserve">You will be given two aluminum rods. We will explore a psychophysical method of adjustment to explore when your perception of </w:t>
      </w:r>
      <w:r w:rsidR="003723E4">
        <w:t xml:space="preserve">the </w:t>
      </w:r>
      <w:r w:rsidR="00DB5A51">
        <w:t>heaviness</w:t>
      </w:r>
      <w:r>
        <w:t xml:space="preserve"> of the rods is similar. Details of the procedure are in </w:t>
      </w:r>
      <w:r w:rsidR="003723E4">
        <w:t>Turvey’s</w:t>
      </w:r>
      <w:r>
        <w:t xml:space="preserve"> (1996) Dynamic Touch article.</w:t>
      </w:r>
    </w:p>
    <w:p w14:paraId="7931A4C7" w14:textId="77777777" w:rsidR="009946F2" w:rsidRDefault="009946F2" w:rsidP="009946F2">
      <w:r>
        <w:t>You will run two participants in the experiment – make sure that they don’t see you adjust the weights on the rods though.</w:t>
      </w:r>
    </w:p>
    <w:p w14:paraId="008B654D" w14:textId="77777777" w:rsidR="009946F2" w:rsidRDefault="009946F2" w:rsidP="009946F2"/>
    <w:p w14:paraId="7EB9E9F3" w14:textId="77777777" w:rsidR="009946F2" w:rsidRDefault="009946F2" w:rsidP="009946F2">
      <w:r>
        <w:t>Working with the hypothesis:</w:t>
      </w:r>
    </w:p>
    <w:p w14:paraId="3D510B36" w14:textId="77777777" w:rsidR="009946F2" w:rsidRDefault="009946F2" w:rsidP="009946F2">
      <w:r>
        <w:t xml:space="preserve">Describe how moving the weight further away from the wrist is likely to change the rotational inertia of the rod in the </w:t>
      </w:r>
      <w:r w:rsidR="008F2E47">
        <w:t>sagittal</w:t>
      </w:r>
      <w:r>
        <w:t xml:space="preserve"> plane (front-back):</w:t>
      </w:r>
    </w:p>
    <w:p w14:paraId="6927E644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3AB99BC4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7D99789A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03B4BA50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475C4709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3A1DF20C" w14:textId="77777777" w:rsidR="009946F2" w:rsidRDefault="009946F2"/>
    <w:p w14:paraId="29DB7EAB" w14:textId="77777777" w:rsidR="009946F2" w:rsidRDefault="009946F2" w:rsidP="009946F2">
      <w:r>
        <w:t>When would the</w:t>
      </w:r>
      <w:r w:rsidR="00DB5A51">
        <w:t xml:space="preserve"> rods be perceived to have similar heaviness</w:t>
      </w:r>
      <w:r>
        <w:t>?</w:t>
      </w:r>
    </w:p>
    <w:p w14:paraId="64972476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155EA181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6A669526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7C74B0FC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23B6C01D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34F4E916" w14:textId="77777777" w:rsidR="00DB5A51" w:rsidRDefault="00DB5A51" w:rsidP="00DB5A51"/>
    <w:p w14:paraId="329EAE96" w14:textId="77777777" w:rsidR="00DB5A51" w:rsidRPr="008F2E47" w:rsidRDefault="00DB5A51" w:rsidP="00DB5A51">
      <w:pPr>
        <w:rPr>
          <w:b/>
        </w:rPr>
      </w:pPr>
      <w:r w:rsidRPr="008F2E47">
        <w:rPr>
          <w:b/>
        </w:rPr>
        <w:t>Experiment</w:t>
      </w:r>
    </w:p>
    <w:p w14:paraId="0C9C6FCF" w14:textId="3C0C5E42" w:rsidR="00DB5A51" w:rsidRDefault="00DB5A51" w:rsidP="00DB5A51">
      <w:r>
        <w:t xml:space="preserve">Use one rod as a reference and place the weight at 25 cm. The other rod would be the experimental one (on which you would adjust the weight from trial to trial). Without </w:t>
      </w:r>
      <w:r w:rsidR="003723E4">
        <w:t xml:space="preserve">the </w:t>
      </w:r>
      <w:r>
        <w:t xml:space="preserve">participant knowing, keep adjusting the weight until you get </w:t>
      </w:r>
      <w:r w:rsidR="003723E4">
        <w:t xml:space="preserve">the </w:t>
      </w:r>
      <w:r>
        <w:t xml:space="preserve">perception of the same </w:t>
      </w:r>
      <w:r w:rsidR="003723E4">
        <w:t>heaviness</w:t>
      </w:r>
      <w:r>
        <w:t xml:space="preserve"> between the rods. </w:t>
      </w:r>
    </w:p>
    <w:p w14:paraId="687A1E54" w14:textId="10C9EFCF" w:rsidR="00DB5A51" w:rsidRDefault="00DB5A51" w:rsidP="00DB5A51">
      <w:r>
        <w:t xml:space="preserve">If </w:t>
      </w:r>
      <w:r w:rsidR="003723E4">
        <w:t xml:space="preserve">a </w:t>
      </w:r>
      <w:r>
        <w:t xml:space="preserve">participant thinks the experimental rod is as </w:t>
      </w:r>
      <w:r w:rsidR="003723E4">
        <w:t>heavy</w:t>
      </w:r>
      <w:r>
        <w:t xml:space="preserve"> as the reference rod, they should say </w:t>
      </w:r>
      <w:r w:rsidR="003723E4">
        <w:t>1</w:t>
      </w:r>
      <w:r>
        <w:t xml:space="preserve">. If it feels twice </w:t>
      </w:r>
      <w:r w:rsidR="003723E4">
        <w:t>lighter</w:t>
      </w:r>
      <w:r>
        <w:t xml:space="preserve">, they should say </w:t>
      </w:r>
      <w:r w:rsidR="003723E4">
        <w:t>.5</w:t>
      </w:r>
      <w:r>
        <w:t xml:space="preserve">. Or if it feels twice </w:t>
      </w:r>
      <w:r w:rsidR="003723E4">
        <w:t>heavier</w:t>
      </w:r>
      <w:r>
        <w:t xml:space="preserve"> to move, say </w:t>
      </w:r>
      <w:r w:rsidR="003723E4">
        <w:t>2</w:t>
      </w:r>
      <w:r>
        <w:t xml:space="preserve"> if it feels twice easier to move.</w:t>
      </w:r>
    </w:p>
    <w:p w14:paraId="2FEA7D52" w14:textId="77777777" w:rsidR="00DB5A51" w:rsidRDefault="00DB5A51">
      <w:r w:rsidRPr="00DB5A51">
        <w:rPr>
          <w:noProof/>
        </w:rPr>
        <w:lastRenderedPageBreak/>
        <w:drawing>
          <wp:inline distT="0" distB="0" distL="0" distR="0" wp14:anchorId="3614FCA1" wp14:editId="5E2C8F8B">
            <wp:extent cx="5918200" cy="5207000"/>
            <wp:effectExtent l="25400" t="0" r="0" b="0"/>
            <wp:docPr id="3" name="C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1D66F7B" w14:textId="77777777" w:rsidR="00DB5A51" w:rsidRDefault="00DB5A51" w:rsidP="00DB5A51">
      <w:r>
        <w:t>What did you find and did that support your hypothesis?</w:t>
      </w:r>
    </w:p>
    <w:p w14:paraId="2A7FA078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7D3BECD0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7EF8E3DD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2D4AA2AD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234F9766" w14:textId="77777777" w:rsidR="00DB5A51" w:rsidRDefault="00DB5A51" w:rsidP="00DB5A51">
      <w:r>
        <w:t xml:space="preserve">_________________________________________________________________________________________________  </w:t>
      </w:r>
    </w:p>
    <w:p w14:paraId="3F6FE1A5" w14:textId="77777777" w:rsidR="00F24951" w:rsidRDefault="00F24951"/>
    <w:sectPr w:rsidR="00F24951" w:rsidSect="00F249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951"/>
    <w:rsid w:val="003150FD"/>
    <w:rsid w:val="003723E4"/>
    <w:rsid w:val="0038756D"/>
    <w:rsid w:val="003F0902"/>
    <w:rsid w:val="008F2E47"/>
    <w:rsid w:val="009946F2"/>
    <w:rsid w:val="00AE12D5"/>
    <w:rsid w:val="00D11597"/>
    <w:rsid w:val="00D92DE2"/>
    <w:rsid w:val="00DB5A51"/>
    <w:rsid w:val="00DC1C6D"/>
    <w:rsid w:val="00F2495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68F0"/>
  <w15:docId w15:val="{24B46BAD-824B-4342-8E6F-7D1CA42D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nikitakuznetsov:Documents:Dynamics%20P&amp;A:Demos:Demo2Cha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Rod 2 location</c:v>
                </c:pt>
              </c:strCache>
            </c:strRef>
          </c:tx>
          <c:spPr>
            <a:ln w="28575">
              <a:noFill/>
            </a:ln>
          </c:spPr>
          <c:marker>
            <c:spPr>
              <a:noFill/>
              <a:ln>
                <a:noFill/>
              </a:ln>
            </c:spPr>
          </c:marker>
          <c:xVal>
            <c:numRef>
              <c:f>Sheet1!$B$2:$B$14</c:f>
              <c:numCache>
                <c:formatCode>General</c:formatCode>
                <c:ptCount val="13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  <c:pt idx="8">
                  <c:v>70</c:v>
                </c:pt>
                <c:pt idx="9">
                  <c:v>75</c:v>
                </c:pt>
                <c:pt idx="10">
                  <c:v>110</c:v>
                </c:pt>
                <c:pt idx="11">
                  <c:v>115</c:v>
                </c:pt>
                <c:pt idx="12">
                  <c:v>120</c:v>
                </c:pt>
              </c:numCache>
            </c:numRef>
          </c:xVal>
          <c:yVal>
            <c:numRef>
              <c:f>Sheet1!$C$2:$C$14</c:f>
              <c:numCache>
                <c:formatCode>General</c:formatCode>
                <c:ptCount val="13"/>
                <c:pt idx="12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AEC-4F76-B02D-9117F923DD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2190360"/>
        <c:axId val="592108152"/>
      </c:scatterChart>
      <c:valAx>
        <c:axId val="592190360"/>
        <c:scaling>
          <c:orientation val="minMax"/>
          <c:max val="50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Experimental rod weight location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592108152"/>
        <c:crosses val="autoZero"/>
        <c:crossBetween val="midCat"/>
      </c:valAx>
      <c:valAx>
        <c:axId val="592108152"/>
        <c:scaling>
          <c:orientation val="minMax"/>
          <c:max val="300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Similarity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592190360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txPr>
    <a:bodyPr/>
    <a:lstStyle/>
    <a:p>
      <a:pPr>
        <a:defRPr sz="15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293</Words>
  <Characters>3633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Cincinnati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Kuznetsov, Nikita (kuznetna)</cp:lastModifiedBy>
  <cp:revision>5</cp:revision>
  <dcterms:created xsi:type="dcterms:W3CDTF">2012-10-23T13:10:00Z</dcterms:created>
  <dcterms:modified xsi:type="dcterms:W3CDTF">2022-10-20T13:27:00Z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652be1859a3917b9a87c9b921bcc7b17ac508a69592500fada356bd7c95a34b1</vt:lpwstr>
  </property>
</Properties>
</file>