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243B64"/>
          <w:sz w:val="32"/>
        </w:rPr>
        <w:t>A PROJECT REPORT</w:t>
      </w:r>
    </w:p>
    <w:p>
      <w:pPr>
        <w:jc w:val="center"/>
      </w:pPr>
      <w:r>
        <w:rPr>
          <w:b/>
          <w:sz w:val="24"/>
        </w:rPr>
        <w:t>ON</w:t>
      </w:r>
    </w:p>
    <w:p>
      <w:pPr>
        <w:spacing w:before="320" w:after="360"/>
        <w:jc w:val="center"/>
      </w:pPr>
      <w:r>
        <w:rPr>
          <w:b/>
          <w:color w:val="243B64"/>
          <w:sz w:val="42"/>
        </w:rPr>
        <w:t>HYBRID EXPLAINABLE MACHINE LEARNING FRAMEWORK FOR INTELLIGENT CROP RECOMMENDATION</w:t>
      </w:r>
    </w:p>
    <w:p>
      <w:pPr>
        <w:jc w:val="center"/>
      </w:pPr>
      <w:r>
        <w:rPr>
          <w:sz w:val="22"/>
        </w:rPr>
        <w:t>Project report submitted in partial fulfilment of the requirements for the course</w:t>
      </w:r>
    </w:p>
    <w:p>
      <w:pPr>
        <w:jc w:val="center"/>
      </w:pPr>
      <w:r>
        <w:rPr>
          <w:b/>
          <w:sz w:val="28"/>
        </w:rPr>
        <w:t>MACHINE LEARNING</w:t>
      </w:r>
    </w:p>
    <w:p>
      <w:pPr>
        <w:jc w:val="center"/>
      </w:pPr>
      <w:r>
        <w:rPr>
          <w:b/>
        </w:rPr>
        <w:t>BACHELOR OF TECHNOLOGY IN COMPUTER SCIENCE AND ENGINEERING</w:t>
      </w:r>
    </w:p>
    <w:p>
      <w:pPr>
        <w:jc w:val="center"/>
      </w:pPr>
      <w:r>
        <w:t>A.Y.: 2026–27</w:t>
      </w:r>
    </w:p>
    <w:p/>
    <w:p>
      <w:pPr>
        <w:jc w:val="center"/>
      </w:pPr>
      <w:r>
        <w:rPr>
          <w:b/>
        </w:rPr>
        <w:t>Submitted by</w:t>
      </w:r>
    </w:p>
    <w:p>
      <w:pPr>
        <w:jc w:val="center"/>
      </w:pPr>
      <w:r>
        <w:t>Geethika Chowdary  (2520030354)</w:t>
      </w:r>
    </w:p>
    <w:p>
      <w:pPr>
        <w:jc w:val="center"/>
      </w:pPr>
      <w:r>
        <w:t>Tehseen Ashraff  (2500030280)</w:t>
      </w:r>
    </w:p>
    <w:p>
      <w:pPr>
        <w:jc w:val="center"/>
      </w:pPr>
      <w:r>
        <w:t>Sait Lahari  (2520030311)</w:t>
      </w:r>
    </w:p>
    <w:p/>
    <w:p>
      <w:pPr>
        <w:jc w:val="center"/>
      </w:pPr>
      <w:r>
        <w:rPr>
          <w:i/>
        </w:rPr>
        <w:t>Under the esteemed guidance of</w:t>
      </w:r>
    </w:p>
    <w:p>
      <w:pPr>
        <w:jc w:val="center"/>
      </w:pPr>
      <w:r>
        <w:rPr>
          <w:b/>
        </w:rPr>
        <w:t>Dr. N. Nirmalajyothi</w:t>
      </w:r>
    </w:p>
    <w:p>
      <w:pPr>
        <w:jc w:val="center"/>
      </w:pPr>
      <w:r>
        <w:t>Associate Professor, CSE</w:t>
      </w:r>
    </w:p>
    <w:p>
      <w:pPr>
        <w:jc w:val="center"/>
      </w:pPr>
      <w:r>
        <w:t>Department of Computer Science and Engineering</w:t>
      </w:r>
    </w:p>
    <w:p>
      <w:r>
        <w:br w:type="page"/>
      </w:r>
    </w:p>
    <w:p>
      <w:pPr>
        <w:pStyle w:val="Heading1"/>
      </w:pPr>
      <w:r>
        <w:t>Abstract</w:t>
      </w:r>
    </w:p>
    <w:p>
      <w:r>
        <w:rPr>
          <w:i w:val="0"/>
        </w:rPr>
        <w:t>Agriculture is strongly influenced by soil nutrients and local climatic conditions. Selecting a suitable crop from these conditions is a multi-class classification problem, and recommendations based only on experience may not consistently account for the interactions among nitrogen (N), phosphorus (P), potassium (K), temperature, humidity, soil pH, and rainfall. This project proposes a Hybrid Explainable Machine Learning Framework for Intelligent Crop Recommendation. The planned system uses these seven numerical features to predict one of 22 crop classes in a benchmark dataset reported to contain 2,200 records, with 100 records per class.</w:t>
      </w:r>
    </w:p>
    <w:p>
      <w:r>
        <w:rPr>
          <w:i w:val="0"/>
        </w:rPr>
        <w:t>The proposed workflow includes dataset validation, exploratory data analysis, train/test separation, comparison of baseline classifiers, development of a hybrid ensemble, and explanation of predictions using Explainable AI (XAI) methods such as SHAP and/or LIME. The system is intended to return both a crop recommendation and a human-readable explanation of the factors influencing it. The supplied project presentation defines the dataset and proposed architecture but does not include measured experimental results; therefore, model-performance values are intentionally not fabricated in this report and must be filled in after implementation and testing.</w:t>
      </w:r>
    </w:p>
    <w:p>
      <w:r>
        <w:rPr>
          <w:i w:val="0"/>
        </w:rPr>
        <w:t>Keywords: Crop recommendation; Machine learning; Ensemble learning; Explainable AI; SHAP; LIME.</w:t>
      </w:r>
    </w:p>
    <w:p>
      <w:pPr>
        <w:pStyle w:val="Heading1"/>
      </w:pPr>
      <w:r>
        <w:t>1. Introduction</w:t>
      </w:r>
    </w:p>
    <w:p>
      <w:pPr>
        <w:pStyle w:val="Heading2"/>
      </w:pPr>
      <w:r>
        <w:t>1.1 Purpose of the Project</w:t>
      </w:r>
    </w:p>
    <w:p>
      <w:r>
        <w:rPr>
          <w:i w:val="0"/>
        </w:rPr>
        <w:t>Crop selection depends on a combination of soil fertility and environmental conditions. Nitrogen, phosphorus, and potassium contribute to plant growth, while temperature, humidity, soil pH, and rainfall affect whether a crop can grow under a particular set of conditions. Farmers often use experience and local knowledge to make crop decisions; these remain valuable, but conditions can vary across seasons and locations. A data-driven decision-support tool can help analyse several input factors together and provide a consistent initial recommendation.</w:t>
      </w:r>
    </w:p>
    <w:p>
      <w:r>
        <w:rPr>
          <w:i w:val="0"/>
        </w:rPr>
        <w:t>Machine learning can identify patterns in historical examples and classify a given soil-and-climate profile into a crop category. However, a high-performing prediction alone may not be sufficient for practical adoption if users cannot understand why it was produced. This project therefore combines model comparison and hybrid prediction with explainability, with the goal of making recommendations more transparent for farmers, agricultural professionals, and students studying precision agriculture.</w:t>
      </w:r>
    </w:p>
    <w:p>
      <w:pPr>
        <w:pStyle w:val="Heading2"/>
      </w:pPr>
      <w:r>
        <w:t>1.2 Problem Statement</w:t>
      </w:r>
    </w:p>
    <w:p>
      <w:r>
        <w:rPr>
          <w:i w:val="0"/>
        </w:rPr>
        <w:t>The project addresses the problem of recommending a suitable crop from seven numerical inputs—N, P, K, temperature, humidity, pH, and rainfall. Given a feature vector representing the soil and environmental conditions, the system must classify the input into one of 22 crop labels and explain which input factors contributed to the predicted class. The intended output is a crop recommendation accompanied by an understandable explanation, rather than an unexplained label alone.</w:t>
      </w:r>
    </w:p>
    <w:p>
      <w:pPr>
        <w:pStyle w:val="Heading2"/>
      </w:pPr>
      <w:r>
        <w:t>1.3 Existing Methods and Disadvantages</w:t>
      </w:r>
    </w:p>
    <w:p>
      <w:r>
        <w:rPr>
          <w:i w:val="0"/>
        </w:rPr>
        <w:t>Traditional crop selection commonly draws on farmers’ experience, historical practice, and general knowledge of local growing conditions. Such knowledge is important, but a manual assessment may not systematically compare all seven factors or consistently account for complex relationships among them. It may also be difficult to scale a manual approach to many crop choices or to update recommendations as input conditions change.</w:t>
      </w:r>
    </w:p>
    <w:p>
      <w:r>
        <w:rPr>
          <w:i w:val="0"/>
        </w:rPr>
        <w:t>Machine-learning crop recommenders can automate pattern recognition, but their usefulness depends on dataset quality, representative training examples, sound validation, and generalisation to new conditions. A single complex model may also behave like a black box. Reported high accuracy on a small benchmark dataset does not guarantee performance on new regions, seasons, or real farms. A further limitation is that crop labels and recommendations from a benchmark dataset may not reflect local agronomic constraints, market demand, water availability, or expert advice.</w:t>
      </w:r>
    </w:p>
    <w:p>
      <w:pPr>
        <w:pStyle w:val="Heading2"/>
      </w:pPr>
      <w:r>
        <w:t>1.4 Proposed System</w:t>
      </w:r>
    </w:p>
    <w:p>
      <w:r>
        <w:rPr>
          <w:i w:val="0"/>
        </w:rPr>
        <w:t>The proposed system accepts the seven soil and climate features, validates and preprocesses the data, and trains multiple candidate classifiers. Their performance will be compared under the same train/test split and evaluation protocol. A hybrid ensemble will then combine predictions from selected models using a defined voting strategy, if experimental results support this choice. SHAP and/or LIME will be applied to explain global feature importance and individual predictions. The final interface may be developed using Streamlit or Flask and will display the predicted crop, relevant input values, and an explanation. These are proposed design choices; the final model and metrics must be confirmed by implementation.</w:t>
      </w:r>
    </w:p>
    <w:p>
      <w:pPr>
        <w:pStyle w:val="Heading2"/>
      </w:pPr>
      <w:r>
        <w:t>1.5 Research Objectives</w:t>
      </w:r>
    </w:p>
    <w:p>
      <w:pPr>
        <w:pStyle w:val="ListNumber"/>
        <w:spacing w:after="40"/>
      </w:pPr>
      <w:r>
        <w:t>Prepare and validate the crop-recommendation dataset containing seven soil and climatic features and 22 target classes.</w:t>
      </w:r>
    </w:p>
    <w:p>
      <w:pPr>
        <w:pStyle w:val="ListNumber"/>
        <w:spacing w:after="40"/>
      </w:pPr>
      <w:r>
        <w:t>Perform exploratory data analysis to understand feature distributions, correlations, outliers, and class balance.</w:t>
      </w:r>
    </w:p>
    <w:p>
      <w:pPr>
        <w:pStyle w:val="ListNumber"/>
        <w:spacing w:after="40"/>
      </w:pPr>
      <w:r>
        <w:t>Develop a reproducible preprocessing and train/test pipeline that avoids data leakage.</w:t>
      </w:r>
    </w:p>
    <w:p>
      <w:pPr>
        <w:pStyle w:val="ListNumber"/>
        <w:spacing w:after="40"/>
      </w:pPr>
      <w:r>
        <w:t>Train and compare suitable baseline classifiers such as Decision Tree, Random Forest, Support Vector Machine, K-Nearest Neighbors, and Gradient Boosting.</w:t>
      </w:r>
    </w:p>
    <w:p>
      <w:pPr>
        <w:pStyle w:val="ListNumber"/>
        <w:spacing w:after="40"/>
      </w:pPr>
      <w:r>
        <w:t>Design and evaluate a hybrid ensemble using a documented voting or combination strategy.</w:t>
      </w:r>
    </w:p>
    <w:p>
      <w:pPr>
        <w:pStyle w:val="ListNumber"/>
        <w:spacing w:after="40"/>
      </w:pPr>
      <w:r>
        <w:t>Apply SHAP and/or LIME to explain the model’s global behaviour and individual crop recommendations.</w:t>
      </w:r>
    </w:p>
    <w:p>
      <w:pPr>
        <w:pStyle w:val="ListNumber"/>
        <w:spacing w:after="40"/>
      </w:pPr>
      <w:r>
        <w:t>Evaluate the models using accuracy, macro/weighted precision, recall, F1-score, and a confusion matrix; use ROC-AUC only with a clearly stated multiclass method.</w:t>
      </w:r>
    </w:p>
    <w:p>
      <w:pPr>
        <w:pStyle w:val="ListNumber"/>
        <w:spacing w:after="40"/>
      </w:pPr>
      <w:r>
        <w:t>Discuss limitations and outline a path toward a usable, transparent crop decision-support application.</w:t>
      </w:r>
    </w:p>
    <w:p>
      <w:pPr>
        <w:pStyle w:val="Heading1"/>
      </w:pPr>
      <w:r>
        <w:t>2. Literature Survey</w:t>
      </w:r>
    </w:p>
    <w:p>
      <w:r>
        <w:rPr>
          <w:i w:val="0"/>
        </w:rPr>
        <w:t>The following studies were selected for their relevance to crop recommendation, comparative machine learning, and explainability. Bibliographic information and DOI links were checked against publisher or indexing pages where available. The literature indicates that ensemble models can perform strongly on benchmark crop datasets, while XAI can help explain predictions. It also highlights continuing concerns about geographic generalisation, uncertainty, and the gap between benchmark performance and real-world farming. The review below summarises the papers; it does not imply that the current project has reproduced their results.</w:t>
      </w:r>
    </w:p>
    <w:tbl>
      <w:tblPr>
        <w:tblStyle w:val="TableGrid"/>
        <w:tblW w:type="auto" w:w="0"/>
        <w:jc w:val="center"/>
        <w:tblLook w:firstColumn="1" w:firstRow="1" w:lastColumn="0" w:lastRow="0" w:noHBand="0" w:noVBand="1" w:val="04A0"/>
      </w:tblPr>
      <w:tblGrid>
        <w:gridCol w:w="1271"/>
        <w:gridCol w:w="1271"/>
        <w:gridCol w:w="1271"/>
        <w:gridCol w:w="1271"/>
        <w:gridCol w:w="1271"/>
        <w:gridCol w:w="1271"/>
        <w:gridCol w:w="1271"/>
        <w:gridCol w:w="1271"/>
      </w:tblGrid>
      <w:tr>
        <w:tc>
          <w:tcPr>
            <w:tcW w:type="dxa" w:w="504"/>
            <w:vAlign w:val="center"/>
            <w:shd w:fill="243B64"/>
          </w:tcPr>
          <w:p>
            <w:pPr>
              <w:spacing w:after="20" w:line="240" w:lineRule="auto"/>
            </w:pPr>
            <w:r/>
            <w:r>
              <w:rPr>
                <w:rFonts w:ascii="Times New Roman" w:hAnsi="Times New Roman"/>
                <w:b/>
                <w:color w:val="FFFFFF"/>
                <w:sz w:val="13"/>
              </w:rPr>
              <w:t>S.No.</w:t>
            </w:r>
          </w:p>
        </w:tc>
        <w:tc>
          <w:tcPr>
            <w:tcW w:type="dxa" w:w="2088"/>
            <w:vAlign w:val="center"/>
            <w:shd w:fill="243B64"/>
          </w:tcPr>
          <w:p>
            <w:pPr>
              <w:spacing w:after="20" w:line="240" w:lineRule="auto"/>
            </w:pPr>
            <w:r/>
            <w:r>
              <w:rPr>
                <w:rFonts w:ascii="Times New Roman" w:hAnsi="Times New Roman"/>
                <w:b/>
                <w:color w:val="FFFFFF"/>
                <w:sz w:val="13"/>
              </w:rPr>
              <w:t>Study title</w:t>
            </w:r>
          </w:p>
        </w:tc>
        <w:tc>
          <w:tcPr>
            <w:tcW w:type="dxa" w:w="2376"/>
            <w:vAlign w:val="center"/>
            <w:shd w:fill="243B64"/>
          </w:tcPr>
          <w:p>
            <w:pPr>
              <w:spacing w:after="20" w:line="240" w:lineRule="auto"/>
            </w:pPr>
            <w:r/>
            <w:r>
              <w:rPr>
                <w:rFonts w:ascii="Times New Roman" w:hAnsi="Times New Roman"/>
                <w:b/>
                <w:color w:val="FFFFFF"/>
                <w:sz w:val="13"/>
              </w:rPr>
              <w:t>Reference with DOI</w:t>
            </w:r>
          </w:p>
        </w:tc>
        <w:tc>
          <w:tcPr>
            <w:tcW w:type="dxa" w:w="1656"/>
            <w:vAlign w:val="center"/>
            <w:shd w:fill="243B64"/>
          </w:tcPr>
          <w:p>
            <w:pPr>
              <w:spacing w:after="20" w:line="240" w:lineRule="auto"/>
            </w:pPr>
            <w:r/>
            <w:r>
              <w:rPr>
                <w:rFonts w:ascii="Times New Roman" w:hAnsi="Times New Roman"/>
                <w:b/>
                <w:color w:val="FFFFFF"/>
                <w:sz w:val="13"/>
              </w:rPr>
              <w:t>Problem / gap</w:t>
            </w:r>
          </w:p>
        </w:tc>
        <w:tc>
          <w:tcPr>
            <w:tcW w:type="dxa" w:w="1656"/>
            <w:vAlign w:val="center"/>
            <w:shd w:fill="243B64"/>
          </w:tcPr>
          <w:p>
            <w:pPr>
              <w:spacing w:after="20" w:line="240" w:lineRule="auto"/>
            </w:pPr>
            <w:r/>
            <w:r>
              <w:rPr>
                <w:rFonts w:ascii="Times New Roman" w:hAnsi="Times New Roman"/>
                <w:b/>
                <w:color w:val="FFFFFF"/>
                <w:sz w:val="13"/>
              </w:rPr>
              <w:t>Objective</w:t>
            </w:r>
          </w:p>
        </w:tc>
        <w:tc>
          <w:tcPr>
            <w:tcW w:type="dxa" w:w="1800"/>
            <w:vAlign w:val="center"/>
            <w:shd w:fill="243B64"/>
          </w:tcPr>
          <w:p>
            <w:pPr>
              <w:spacing w:after="20" w:line="240" w:lineRule="auto"/>
            </w:pPr>
            <w:r/>
            <w:r>
              <w:rPr>
                <w:rFonts w:ascii="Times New Roman" w:hAnsi="Times New Roman"/>
                <w:b/>
                <w:color w:val="FFFFFF"/>
                <w:sz w:val="13"/>
              </w:rPr>
              <w:t>Methods</w:t>
            </w:r>
          </w:p>
        </w:tc>
        <w:tc>
          <w:tcPr>
            <w:tcW w:type="dxa" w:w="1872"/>
            <w:vAlign w:val="center"/>
            <w:shd w:fill="243B64"/>
          </w:tcPr>
          <w:p>
            <w:pPr>
              <w:spacing w:after="20" w:line="240" w:lineRule="auto"/>
            </w:pPr>
            <w:r/>
            <w:r>
              <w:rPr>
                <w:rFonts w:ascii="Times New Roman" w:hAnsi="Times New Roman"/>
                <w:b/>
                <w:color w:val="FFFFFF"/>
                <w:sz w:val="13"/>
              </w:rPr>
              <w:t>Inference</w:t>
            </w:r>
          </w:p>
        </w:tc>
        <w:tc>
          <w:tcPr>
            <w:tcW w:type="dxa" w:w="1656"/>
            <w:vAlign w:val="center"/>
            <w:shd w:fill="243B64"/>
          </w:tcPr>
          <w:p>
            <w:pPr>
              <w:spacing w:after="20" w:line="240" w:lineRule="auto"/>
            </w:pPr>
            <w:r/>
            <w:r>
              <w:rPr>
                <w:rFonts w:ascii="Times New Roman" w:hAnsi="Times New Roman"/>
                <w:b/>
                <w:color w:val="FFFFFF"/>
                <w:sz w:val="13"/>
              </w:rPr>
              <w:t>Future research</w:t>
            </w:r>
          </w:p>
        </w:tc>
      </w:tr>
      <w:tr>
        <w:tc>
          <w:tcPr>
            <w:tcW w:type="dxa" w:w="504"/>
            <w:vAlign w:val="center"/>
          </w:tcPr>
          <w:p>
            <w:pPr>
              <w:spacing w:after="20" w:line="240" w:lineRule="auto"/>
            </w:pPr>
            <w:r/>
            <w:r>
              <w:rPr>
                <w:rFonts w:ascii="Times New Roman" w:hAnsi="Times New Roman"/>
                <w:b w:val="0"/>
                <w:sz w:val="13"/>
              </w:rPr>
              <w:t>Enhancing crop recommendation systems with explainable artificial intelligence: a study on agricultural decision-making</w:t>
            </w:r>
          </w:p>
        </w:tc>
        <w:tc>
          <w:tcPr>
            <w:tcW w:type="dxa" w:w="2088"/>
            <w:vAlign w:val="center"/>
          </w:tcPr>
          <w:p>
            <w:pPr>
              <w:spacing w:after="20" w:line="240" w:lineRule="auto"/>
            </w:pPr>
            <w:r/>
            <w:r>
              <w:rPr>
                <w:rFonts w:ascii="Times New Roman" w:hAnsi="Times New Roman"/>
                <w:b w:val="0"/>
                <w:sz w:val="13"/>
              </w:rPr>
              <w:t>Shams, M. Y., Gamel, S. A., &amp; Talaat, F. M. (2024). Neural Computing and Applications, 36, 5695–5714. DOI: 10.1007/s00521-023-09391-2</w:t>
            </w:r>
          </w:p>
        </w:tc>
        <w:tc>
          <w:tcPr>
            <w:tcW w:type="dxa" w:w="2376"/>
            <w:vAlign w:val="center"/>
          </w:tcPr>
          <w:p>
            <w:pPr>
              <w:spacing w:after="20" w:line="240" w:lineRule="auto"/>
            </w:pPr>
            <w:r/>
            <w:r>
              <w:rPr>
                <w:rFonts w:ascii="Times New Roman" w:hAnsi="Times New Roman"/>
                <w:b w:val="0"/>
                <w:sz w:val="13"/>
              </w:rPr>
              <w:t>Black-box recommendations reduce user trust.</w:t>
            </w:r>
          </w:p>
        </w:tc>
        <w:tc>
          <w:tcPr>
            <w:tcW w:type="dxa" w:w="1656"/>
            <w:vAlign w:val="center"/>
          </w:tcPr>
          <w:p>
            <w:pPr>
              <w:spacing w:after="20" w:line="240" w:lineRule="auto"/>
            </w:pPr>
            <w:r/>
            <w:r>
              <w:rPr>
                <w:rFonts w:ascii="Times New Roman" w:hAnsi="Times New Roman"/>
                <w:b w:val="0"/>
                <w:sz w:val="13"/>
              </w:rPr>
              <w:t>Make crop recommendations interpretable.</w:t>
            </w:r>
          </w:p>
        </w:tc>
        <w:tc>
          <w:tcPr>
            <w:tcW w:type="dxa" w:w="1656"/>
            <w:vAlign w:val="center"/>
          </w:tcPr>
          <w:p>
            <w:pPr>
              <w:spacing w:after="20" w:line="240" w:lineRule="auto"/>
            </w:pPr>
            <w:r/>
            <w:r>
              <w:rPr>
                <w:rFonts w:ascii="Times New Roman" w:hAnsi="Times New Roman"/>
                <w:b w:val="0"/>
                <w:sz w:val="13"/>
              </w:rPr>
              <w:t>XAI-CROP; Decision Tree; LIME.</w:t>
            </w:r>
          </w:p>
        </w:tc>
        <w:tc>
          <w:tcPr>
            <w:tcW w:type="dxa" w:w="1800"/>
            <w:vAlign w:val="center"/>
          </w:tcPr>
          <w:p>
            <w:pPr>
              <w:spacing w:after="20" w:line="240" w:lineRule="auto"/>
            </w:pPr>
            <w:r/>
            <w:r>
              <w:rPr>
                <w:rFonts w:ascii="Times New Roman" w:hAnsi="Times New Roman"/>
                <w:b w:val="0"/>
                <w:sz w:val="13"/>
              </w:rPr>
              <w:t>Demonstrates how local explanations can describe why a crop was recommended.</w:t>
            </w:r>
          </w:p>
        </w:tc>
        <w:tc>
          <w:tcPr>
            <w:tcW w:type="dxa" w:w="1872"/>
            <w:vAlign w:val="center"/>
          </w:tcPr>
          <w:p>
            <w:pPr>
              <w:spacing w:after="20" w:line="240" w:lineRule="auto"/>
            </w:pPr>
            <w:r/>
            <w:r>
              <w:rPr>
                <w:rFonts w:ascii="Times New Roman" w:hAnsi="Times New Roman"/>
                <w:b w:val="0"/>
                <w:sz w:val="13"/>
              </w:rPr>
              <w:t>Test explanations with farmers and across regions.</w:t>
            </w:r>
          </w:p>
        </w:tc>
        <w:tc>
          <w:tcPr>
            <w:tcW w:type="dxa" w:w="1656"/>
          </w:tcPr>
          <w:p/>
        </w:tc>
      </w:tr>
      <w:tr>
        <w:tc>
          <w:tcPr>
            <w:tcW w:type="dxa" w:w="504"/>
            <w:vAlign w:val="center"/>
            <w:shd w:fill="EEF3F8"/>
          </w:tcPr>
          <w:p>
            <w:pPr>
              <w:spacing w:after="20" w:line="240" w:lineRule="auto"/>
            </w:pPr>
            <w:r/>
            <w:r>
              <w:rPr>
                <w:rFonts w:ascii="Times New Roman" w:hAnsi="Times New Roman"/>
                <w:b w:val="0"/>
                <w:sz w:val="13"/>
              </w:rPr>
              <w:t>Interpretable Machine Learning Techniques for an Advanced Crop Recommendation Model</w:t>
            </w:r>
          </w:p>
        </w:tc>
        <w:tc>
          <w:tcPr>
            <w:tcW w:type="dxa" w:w="2088"/>
            <w:vAlign w:val="center"/>
            <w:shd w:fill="EEF3F8"/>
          </w:tcPr>
          <w:p>
            <w:pPr>
              <w:spacing w:after="20" w:line="240" w:lineRule="auto"/>
            </w:pPr>
            <w:r/>
            <w:r>
              <w:rPr>
                <w:rFonts w:ascii="Times New Roman" w:hAnsi="Times New Roman"/>
                <w:b w:val="0"/>
                <w:sz w:val="13"/>
              </w:rPr>
              <w:t>Bouni, M., Hssina, B., Douzi, K., &amp; Douzi, S. (2024). Journal of Electrical and Computer Engineering, 2024, Article 7405217. DOI: 10.1155/2024/7405217</w:t>
            </w:r>
          </w:p>
        </w:tc>
        <w:tc>
          <w:tcPr>
            <w:tcW w:type="dxa" w:w="2376"/>
            <w:vAlign w:val="center"/>
            <w:shd w:fill="EEF3F8"/>
          </w:tcPr>
          <w:p>
            <w:pPr>
              <w:spacing w:after="20" w:line="240" w:lineRule="auto"/>
            </w:pPr>
            <w:r/>
            <w:r>
              <w:rPr>
                <w:rFonts w:ascii="Times New Roman" w:hAnsi="Times New Roman"/>
                <w:b w:val="0"/>
                <w:sz w:val="13"/>
              </w:rPr>
              <w:t>Accurate predictions may not explain the role of each input.</w:t>
            </w:r>
          </w:p>
        </w:tc>
        <w:tc>
          <w:tcPr>
            <w:tcW w:type="dxa" w:w="1656"/>
            <w:vAlign w:val="center"/>
            <w:shd w:fill="EEF3F8"/>
          </w:tcPr>
          <w:p>
            <w:pPr>
              <w:spacing w:after="20" w:line="240" w:lineRule="auto"/>
            </w:pPr>
            <w:r/>
            <w:r>
              <w:rPr>
                <w:rFonts w:ascii="Times New Roman" w:hAnsi="Times New Roman"/>
                <w:b w:val="0"/>
                <w:sz w:val="13"/>
              </w:rPr>
              <w:t>Combine crop prediction with interpretable explanations.</w:t>
            </w:r>
          </w:p>
        </w:tc>
        <w:tc>
          <w:tcPr>
            <w:tcW w:type="dxa" w:w="1656"/>
            <w:vAlign w:val="center"/>
            <w:shd w:fill="EEF3F8"/>
          </w:tcPr>
          <w:p>
            <w:pPr>
              <w:spacing w:after="20" w:line="240" w:lineRule="auto"/>
            </w:pPr>
            <w:r/>
            <w:r>
              <w:rPr>
                <w:rFonts w:ascii="Times New Roman" w:hAnsi="Times New Roman"/>
                <w:b w:val="0"/>
                <w:sz w:val="13"/>
              </w:rPr>
              <w:t>Random Forest with SHAP and LIME.</w:t>
            </w:r>
          </w:p>
        </w:tc>
        <w:tc>
          <w:tcPr>
            <w:tcW w:type="dxa" w:w="1800"/>
            <w:vAlign w:val="center"/>
            <w:shd w:fill="EEF3F8"/>
          </w:tcPr>
          <w:p>
            <w:pPr>
              <w:spacing w:after="20" w:line="240" w:lineRule="auto"/>
            </w:pPr>
            <w:r/>
            <w:r>
              <w:rPr>
                <w:rFonts w:ascii="Times New Roman" w:hAnsi="Times New Roman"/>
                <w:b w:val="0"/>
                <w:sz w:val="13"/>
              </w:rPr>
              <w:t>Feature attribution can help explain both broad patterns and individual predictions.</w:t>
            </w:r>
          </w:p>
        </w:tc>
        <w:tc>
          <w:tcPr>
            <w:tcW w:type="dxa" w:w="1872"/>
            <w:vAlign w:val="center"/>
            <w:shd w:fill="EEF3F8"/>
          </w:tcPr>
          <w:p>
            <w:pPr>
              <w:spacing w:after="20" w:line="240" w:lineRule="auto"/>
            </w:pPr>
            <w:r/>
            <w:r>
              <w:rPr>
                <w:rFonts w:ascii="Times New Roman" w:hAnsi="Times New Roman"/>
                <w:b w:val="0"/>
                <w:sz w:val="13"/>
              </w:rPr>
              <w:t>Validate on independent, regionally diverse datasets.</w:t>
            </w:r>
          </w:p>
        </w:tc>
        <w:tc>
          <w:tcPr>
            <w:tcW w:type="dxa" w:w="1656"/>
          </w:tcPr>
          <w:p/>
        </w:tc>
      </w:tr>
      <w:tr>
        <w:tc>
          <w:tcPr>
            <w:tcW w:type="dxa" w:w="504"/>
            <w:vAlign w:val="center"/>
          </w:tcPr>
          <w:p>
            <w:pPr>
              <w:spacing w:after="20" w:line="240" w:lineRule="auto"/>
            </w:pPr>
            <w:r/>
            <w:r>
              <w:rPr>
                <w:rFonts w:ascii="Times New Roman" w:hAnsi="Times New Roman"/>
                <w:b w:val="0"/>
                <w:sz w:val="13"/>
              </w:rPr>
              <w:t>Enhancing Agricultural Productivity: A Machine Learning Approach to Crop Recommendations</w:t>
            </w:r>
          </w:p>
        </w:tc>
        <w:tc>
          <w:tcPr>
            <w:tcW w:type="dxa" w:w="2088"/>
            <w:vAlign w:val="center"/>
          </w:tcPr>
          <w:p>
            <w:pPr>
              <w:spacing w:after="20" w:line="240" w:lineRule="auto"/>
            </w:pPr>
            <w:r/>
            <w:r>
              <w:rPr>
                <w:rFonts w:ascii="Times New Roman" w:hAnsi="Times New Roman"/>
                <w:b w:val="0"/>
                <w:sz w:val="13"/>
              </w:rPr>
              <w:t>Prity, F. S., Hasan, M. M., Saif, S. H., et al. (2024). Human-Centric Intelligent Systems, 4, 497–510. DOI: 10.1007/s44230-024-00081-3</w:t>
            </w:r>
          </w:p>
        </w:tc>
        <w:tc>
          <w:tcPr>
            <w:tcW w:type="dxa" w:w="2376"/>
            <w:vAlign w:val="center"/>
          </w:tcPr>
          <w:p>
            <w:pPr>
              <w:spacing w:after="20" w:line="240" w:lineRule="auto"/>
            </w:pPr>
            <w:r/>
            <w:r>
              <w:rPr>
                <w:rFonts w:ascii="Times New Roman" w:hAnsi="Times New Roman"/>
                <w:b w:val="0"/>
                <w:sz w:val="13"/>
              </w:rPr>
              <w:t>Need to compare multiple classifiers for crop advice.</w:t>
            </w:r>
          </w:p>
        </w:tc>
        <w:tc>
          <w:tcPr>
            <w:tcW w:type="dxa" w:w="1656"/>
            <w:vAlign w:val="center"/>
          </w:tcPr>
          <w:p>
            <w:pPr>
              <w:spacing w:after="20" w:line="240" w:lineRule="auto"/>
            </w:pPr>
            <w:r/>
            <w:r>
              <w:rPr>
                <w:rFonts w:ascii="Times New Roman" w:hAnsi="Times New Roman"/>
                <w:b w:val="0"/>
                <w:sz w:val="13"/>
              </w:rPr>
              <w:t>Evaluate a broad set of ML models for crop recommendation.</w:t>
            </w:r>
          </w:p>
        </w:tc>
        <w:tc>
          <w:tcPr>
            <w:tcW w:type="dxa" w:w="1656"/>
            <w:vAlign w:val="center"/>
          </w:tcPr>
          <w:p>
            <w:pPr>
              <w:spacing w:after="20" w:line="240" w:lineRule="auto"/>
            </w:pPr>
            <w:r/>
            <w:r>
              <w:rPr>
                <w:rFonts w:ascii="Times New Roman" w:hAnsi="Times New Roman"/>
                <w:b w:val="0"/>
                <w:sz w:val="13"/>
              </w:rPr>
              <w:t>Nine classifiers including LR, SVM, KNN, DT, RF, Bagging, AdaBoost, Gradient Boosting, and Extra Trees.</w:t>
            </w:r>
          </w:p>
        </w:tc>
        <w:tc>
          <w:tcPr>
            <w:tcW w:type="dxa" w:w="1800"/>
            <w:vAlign w:val="center"/>
          </w:tcPr>
          <w:p>
            <w:pPr>
              <w:spacing w:after="20" w:line="240" w:lineRule="auto"/>
            </w:pPr>
            <w:r/>
            <w:r>
              <w:rPr>
                <w:rFonts w:ascii="Times New Roman" w:hAnsi="Times New Roman"/>
                <w:b w:val="0"/>
                <w:sz w:val="13"/>
              </w:rPr>
              <w:t>The paper reports Random Forest as its strongest model in its experimental setting.</w:t>
            </w:r>
          </w:p>
        </w:tc>
        <w:tc>
          <w:tcPr>
            <w:tcW w:type="dxa" w:w="1872"/>
            <w:vAlign w:val="center"/>
          </w:tcPr>
          <w:p>
            <w:pPr>
              <w:spacing w:after="20" w:line="240" w:lineRule="auto"/>
            </w:pPr>
            <w:r/>
            <w:r>
              <w:rPr>
                <w:rFonts w:ascii="Times New Roman" w:hAnsi="Times New Roman"/>
                <w:b w:val="0"/>
                <w:sz w:val="13"/>
              </w:rPr>
              <w:t>Assess external validity and align features/units carefully.</w:t>
            </w:r>
          </w:p>
        </w:tc>
        <w:tc>
          <w:tcPr>
            <w:tcW w:type="dxa" w:w="1656"/>
          </w:tcPr>
          <w:p/>
        </w:tc>
      </w:tr>
      <w:tr>
        <w:tc>
          <w:tcPr>
            <w:tcW w:type="dxa" w:w="504"/>
            <w:vAlign w:val="center"/>
            <w:shd w:fill="EEF3F8"/>
          </w:tcPr>
          <w:p>
            <w:pPr>
              <w:spacing w:after="20" w:line="240" w:lineRule="auto"/>
            </w:pPr>
            <w:r/>
            <w:r>
              <w:rPr>
                <w:rFonts w:ascii="Times New Roman" w:hAnsi="Times New Roman"/>
                <w:b w:val="0"/>
                <w:sz w:val="13"/>
              </w:rPr>
              <w:t>Incorporating soil information with machine learning for crop recommendation to improve agricultural output</w:t>
            </w:r>
          </w:p>
        </w:tc>
        <w:tc>
          <w:tcPr>
            <w:tcW w:type="dxa" w:w="2088"/>
            <w:vAlign w:val="center"/>
            <w:shd w:fill="EEF3F8"/>
          </w:tcPr>
          <w:p>
            <w:pPr>
              <w:spacing w:after="20" w:line="240" w:lineRule="auto"/>
            </w:pPr>
            <w:r/>
            <w:r>
              <w:rPr>
                <w:rFonts w:ascii="Times New Roman" w:hAnsi="Times New Roman"/>
                <w:b w:val="0"/>
                <w:sz w:val="13"/>
              </w:rPr>
              <w:t>Afzal, H., Amjad, M., Raza, A., et al. (2025). Scientific Reports, 15, Article 8560. DOI: 10.1038/s41598-025-88676-z</w:t>
            </w:r>
          </w:p>
        </w:tc>
        <w:tc>
          <w:tcPr>
            <w:tcW w:type="dxa" w:w="2376"/>
            <w:vAlign w:val="center"/>
            <w:shd w:fill="EEF3F8"/>
          </w:tcPr>
          <w:p>
            <w:pPr>
              <w:spacing w:after="20" w:line="240" w:lineRule="auto"/>
            </w:pPr>
            <w:r/>
            <w:r>
              <w:rPr>
                <w:rFonts w:ascii="Times New Roman" w:hAnsi="Times New Roman"/>
                <w:b w:val="0"/>
                <w:sz w:val="13"/>
              </w:rPr>
              <w:t>Crop recommendation needs soil information alongside climate variables.</w:t>
            </w:r>
          </w:p>
        </w:tc>
        <w:tc>
          <w:tcPr>
            <w:tcW w:type="dxa" w:w="1656"/>
            <w:vAlign w:val="center"/>
            <w:shd w:fill="EEF3F8"/>
          </w:tcPr>
          <w:p>
            <w:pPr>
              <w:spacing w:after="20" w:line="240" w:lineRule="auto"/>
            </w:pPr>
            <w:r/>
            <w:r>
              <w:rPr>
                <w:rFonts w:ascii="Times New Roman" w:hAnsi="Times New Roman"/>
                <w:b w:val="0"/>
                <w:sz w:val="13"/>
              </w:rPr>
              <w:t>Use soil-related information in ML crop recommendation.</w:t>
            </w:r>
          </w:p>
        </w:tc>
        <w:tc>
          <w:tcPr>
            <w:tcW w:type="dxa" w:w="1656"/>
            <w:vAlign w:val="center"/>
            <w:shd w:fill="EEF3F8"/>
          </w:tcPr>
          <w:p>
            <w:pPr>
              <w:spacing w:after="20" w:line="240" w:lineRule="auto"/>
            </w:pPr>
            <w:r/>
            <w:r>
              <w:rPr>
                <w:rFonts w:ascii="Times New Roman" w:hAnsi="Times New Roman"/>
                <w:b w:val="0"/>
                <w:sz w:val="13"/>
              </w:rPr>
              <w:t>Machine-learning pipeline using agronomic and environmental inputs.</w:t>
            </w:r>
          </w:p>
        </w:tc>
        <w:tc>
          <w:tcPr>
            <w:tcW w:type="dxa" w:w="1800"/>
            <w:vAlign w:val="center"/>
            <w:shd w:fill="EEF3F8"/>
          </w:tcPr>
          <w:p>
            <w:pPr>
              <w:spacing w:after="20" w:line="240" w:lineRule="auto"/>
            </w:pPr>
            <w:r/>
            <w:r>
              <w:rPr>
                <w:rFonts w:ascii="Times New Roman" w:hAnsi="Times New Roman"/>
                <w:b w:val="0"/>
                <w:sz w:val="13"/>
              </w:rPr>
              <w:t>Highlights the value of including soil context in crop prediction.</w:t>
            </w:r>
          </w:p>
        </w:tc>
        <w:tc>
          <w:tcPr>
            <w:tcW w:type="dxa" w:w="1872"/>
            <w:vAlign w:val="center"/>
            <w:shd w:fill="EEF3F8"/>
          </w:tcPr>
          <w:p>
            <w:pPr>
              <w:spacing w:after="20" w:line="240" w:lineRule="auto"/>
            </w:pPr>
            <w:r/>
            <w:r>
              <w:rPr>
                <w:rFonts w:ascii="Times New Roman" w:hAnsi="Times New Roman"/>
                <w:b w:val="0"/>
                <w:sz w:val="13"/>
              </w:rPr>
              <w:t>Broaden field-level validation and local calibration.</w:t>
            </w:r>
          </w:p>
        </w:tc>
        <w:tc>
          <w:tcPr>
            <w:tcW w:type="dxa" w:w="1656"/>
          </w:tcPr>
          <w:p/>
        </w:tc>
      </w:tr>
      <w:tr>
        <w:tc>
          <w:tcPr>
            <w:tcW w:type="dxa" w:w="504"/>
            <w:vAlign w:val="center"/>
          </w:tcPr>
          <w:p>
            <w:pPr>
              <w:spacing w:after="20" w:line="240" w:lineRule="auto"/>
            </w:pPr>
            <w:r/>
            <w:r>
              <w:rPr>
                <w:rFonts w:ascii="Times New Roman" w:hAnsi="Times New Roman"/>
                <w:b w:val="0"/>
                <w:sz w:val="13"/>
              </w:rPr>
              <w:t>Crop classification and prediction based on soil nutrition using machine learning methods</w:t>
            </w:r>
          </w:p>
        </w:tc>
        <w:tc>
          <w:tcPr>
            <w:tcW w:type="dxa" w:w="2088"/>
            <w:vAlign w:val="center"/>
          </w:tcPr>
          <w:p>
            <w:pPr>
              <w:spacing w:after="20" w:line="240" w:lineRule="auto"/>
            </w:pPr>
            <w:r/>
            <w:r>
              <w:rPr>
                <w:rFonts w:ascii="Times New Roman" w:hAnsi="Times New Roman"/>
                <w:b w:val="0"/>
                <w:sz w:val="13"/>
              </w:rPr>
              <w:t>Swathi, T., &amp; Sudha, S. (2023). International Journal of Information Technology, 15, 2951–2960. DOI: 10.1007/s41870-023-01345-0</w:t>
            </w:r>
          </w:p>
        </w:tc>
        <w:tc>
          <w:tcPr>
            <w:tcW w:type="dxa" w:w="2376"/>
            <w:vAlign w:val="center"/>
          </w:tcPr>
          <w:p>
            <w:pPr>
              <w:spacing w:after="20" w:line="240" w:lineRule="auto"/>
            </w:pPr>
            <w:r/>
            <w:r>
              <w:rPr>
                <w:rFonts w:ascii="Times New Roman" w:hAnsi="Times New Roman"/>
                <w:b w:val="0"/>
                <w:sz w:val="13"/>
              </w:rPr>
              <w:t>Soil nutrient patterns can support crop classification.</w:t>
            </w:r>
          </w:p>
        </w:tc>
        <w:tc>
          <w:tcPr>
            <w:tcW w:type="dxa" w:w="1656"/>
            <w:vAlign w:val="center"/>
          </w:tcPr>
          <w:p>
            <w:pPr>
              <w:spacing w:after="20" w:line="240" w:lineRule="auto"/>
            </w:pPr>
            <w:r/>
            <w:r>
              <w:rPr>
                <w:rFonts w:ascii="Times New Roman" w:hAnsi="Times New Roman"/>
                <w:b w:val="0"/>
                <w:sz w:val="13"/>
              </w:rPr>
              <w:t>Investigate ML methods for soil-nutrition-based crop prediction.</w:t>
            </w:r>
          </w:p>
        </w:tc>
        <w:tc>
          <w:tcPr>
            <w:tcW w:type="dxa" w:w="1656"/>
            <w:vAlign w:val="center"/>
          </w:tcPr>
          <w:p>
            <w:pPr>
              <w:spacing w:after="20" w:line="240" w:lineRule="auto"/>
            </w:pPr>
            <w:r/>
            <w:r>
              <w:rPr>
                <w:rFonts w:ascii="Times New Roman" w:hAnsi="Times New Roman"/>
                <w:b w:val="0"/>
                <w:sz w:val="13"/>
              </w:rPr>
              <w:t>Comparative ML classification approaches.</w:t>
            </w:r>
          </w:p>
        </w:tc>
        <w:tc>
          <w:tcPr>
            <w:tcW w:type="dxa" w:w="1800"/>
            <w:vAlign w:val="center"/>
          </w:tcPr>
          <w:p>
            <w:pPr>
              <w:spacing w:after="20" w:line="240" w:lineRule="auto"/>
            </w:pPr>
            <w:r/>
            <w:r>
              <w:rPr>
                <w:rFonts w:ascii="Times New Roman" w:hAnsi="Times New Roman"/>
                <w:b w:val="0"/>
                <w:sz w:val="13"/>
              </w:rPr>
              <w:t>Supports the relevance of nutrient variables to data-driven crop classification.</w:t>
            </w:r>
          </w:p>
        </w:tc>
        <w:tc>
          <w:tcPr>
            <w:tcW w:type="dxa" w:w="1872"/>
            <w:vAlign w:val="center"/>
          </w:tcPr>
          <w:p>
            <w:pPr>
              <w:spacing w:after="20" w:line="240" w:lineRule="auto"/>
            </w:pPr>
            <w:r/>
            <w:r>
              <w:rPr>
                <w:rFonts w:ascii="Times New Roman" w:hAnsi="Times New Roman"/>
                <w:b w:val="0"/>
                <w:sz w:val="13"/>
              </w:rPr>
              <w:t>Report robustness and validate across soil types.</w:t>
            </w:r>
          </w:p>
        </w:tc>
        <w:tc>
          <w:tcPr>
            <w:tcW w:type="dxa" w:w="1656"/>
          </w:tcPr>
          <w:p/>
        </w:tc>
      </w:tr>
      <w:tr>
        <w:tc>
          <w:tcPr>
            <w:tcW w:type="dxa" w:w="504"/>
            <w:vAlign w:val="center"/>
            <w:shd w:fill="EEF3F8"/>
          </w:tcPr>
          <w:p>
            <w:pPr>
              <w:spacing w:after="20" w:line="240" w:lineRule="auto"/>
            </w:pPr>
            <w:r/>
            <w:r>
              <w:rPr>
                <w:rFonts w:ascii="Times New Roman" w:hAnsi="Times New Roman"/>
                <w:b w:val="0"/>
                <w:sz w:val="13"/>
              </w:rPr>
              <w:t>Explainable Machine Learning for Crop Recommendation from Agriculture Sensor Data—A New Paradigm</w:t>
            </w:r>
          </w:p>
        </w:tc>
        <w:tc>
          <w:tcPr>
            <w:tcW w:type="dxa" w:w="2088"/>
            <w:vAlign w:val="center"/>
            <w:shd w:fill="EEF3F8"/>
          </w:tcPr>
          <w:p>
            <w:pPr>
              <w:spacing w:after="20" w:line="240" w:lineRule="auto"/>
            </w:pPr>
            <w:r/>
            <w:r>
              <w:rPr>
                <w:rFonts w:ascii="Times New Roman" w:hAnsi="Times New Roman"/>
                <w:b w:val="0"/>
                <w:sz w:val="13"/>
              </w:rPr>
              <w:t>IEEE ICCCNT conference paper (2023). DOI: 10.1109/ICCCNT56998.2023.10308154</w:t>
            </w:r>
          </w:p>
        </w:tc>
        <w:tc>
          <w:tcPr>
            <w:tcW w:type="dxa" w:w="2376"/>
            <w:vAlign w:val="center"/>
            <w:shd w:fill="EEF3F8"/>
          </w:tcPr>
          <w:p>
            <w:pPr>
              <w:spacing w:after="20" w:line="240" w:lineRule="auto"/>
            </w:pPr>
            <w:r/>
            <w:r>
              <w:rPr>
                <w:rFonts w:ascii="Times New Roman" w:hAnsi="Times New Roman"/>
                <w:b w:val="0"/>
                <w:sz w:val="13"/>
              </w:rPr>
              <w:t>Sensor-driven predictions can be hard to interpret.</w:t>
            </w:r>
          </w:p>
        </w:tc>
        <w:tc>
          <w:tcPr>
            <w:tcW w:type="dxa" w:w="1656"/>
            <w:vAlign w:val="center"/>
            <w:shd w:fill="EEF3F8"/>
          </w:tcPr>
          <w:p>
            <w:pPr>
              <w:spacing w:after="20" w:line="240" w:lineRule="auto"/>
            </w:pPr>
            <w:r/>
            <w:r>
              <w:rPr>
                <w:rFonts w:ascii="Times New Roman" w:hAnsi="Times New Roman"/>
                <w:b w:val="0"/>
                <w:sz w:val="13"/>
              </w:rPr>
              <w:t>Explain feature importance and individual prediction outcomes.</w:t>
            </w:r>
          </w:p>
        </w:tc>
        <w:tc>
          <w:tcPr>
            <w:tcW w:type="dxa" w:w="1656"/>
            <w:vAlign w:val="center"/>
            <w:shd w:fill="EEF3F8"/>
          </w:tcPr>
          <w:p>
            <w:pPr>
              <w:spacing w:after="20" w:line="240" w:lineRule="auto"/>
            </w:pPr>
            <w:r/>
            <w:r>
              <w:rPr>
                <w:rFonts w:ascii="Times New Roman" w:hAnsi="Times New Roman"/>
                <w:b w:val="0"/>
                <w:sz w:val="13"/>
              </w:rPr>
              <w:t>Post-hoc local interpretable model-agnostic explanation methods.</w:t>
            </w:r>
          </w:p>
        </w:tc>
        <w:tc>
          <w:tcPr>
            <w:tcW w:type="dxa" w:w="1800"/>
            <w:vAlign w:val="center"/>
            <w:shd w:fill="EEF3F8"/>
          </w:tcPr>
          <w:p>
            <w:pPr>
              <w:spacing w:after="20" w:line="240" w:lineRule="auto"/>
            </w:pPr>
            <w:r/>
            <w:r>
              <w:rPr>
                <w:rFonts w:ascii="Times New Roman" w:hAnsi="Times New Roman"/>
                <w:b w:val="0"/>
                <w:sz w:val="13"/>
              </w:rPr>
              <w:t>Explanation methods can help users understand which sensor features influence a result.</w:t>
            </w:r>
          </w:p>
        </w:tc>
        <w:tc>
          <w:tcPr>
            <w:tcW w:type="dxa" w:w="1872"/>
            <w:vAlign w:val="center"/>
            <w:shd w:fill="EEF3F8"/>
          </w:tcPr>
          <w:p>
            <w:pPr>
              <w:spacing w:after="20" w:line="240" w:lineRule="auto"/>
            </w:pPr>
            <w:r/>
            <w:r>
              <w:rPr>
                <w:rFonts w:ascii="Times New Roman" w:hAnsi="Times New Roman"/>
                <w:b w:val="0"/>
                <w:sz w:val="13"/>
              </w:rPr>
              <w:t>Test explanations with domain experts and changing sensor conditions.</w:t>
            </w:r>
          </w:p>
        </w:tc>
        <w:tc>
          <w:tcPr>
            <w:tcW w:type="dxa" w:w="1656"/>
          </w:tcPr>
          <w:p/>
        </w:tc>
      </w:tr>
      <w:tr>
        <w:tc>
          <w:tcPr>
            <w:tcW w:type="dxa" w:w="504"/>
            <w:vAlign w:val="center"/>
          </w:tcPr>
          <w:p>
            <w:pPr>
              <w:spacing w:after="20" w:line="240" w:lineRule="auto"/>
            </w:pPr>
            <w:r/>
            <w:r>
              <w:rPr>
                <w:rFonts w:ascii="Times New Roman" w:hAnsi="Times New Roman"/>
                <w:b w:val="0"/>
                <w:sz w:val="13"/>
              </w:rPr>
              <w:t>Smart Crop Recommendation System Using Machine Learning and Explainable AI</w:t>
            </w:r>
          </w:p>
        </w:tc>
        <w:tc>
          <w:tcPr>
            <w:tcW w:type="dxa" w:w="2088"/>
            <w:vAlign w:val="center"/>
          </w:tcPr>
          <w:p>
            <w:pPr>
              <w:spacing w:after="20" w:line="240" w:lineRule="auto"/>
            </w:pPr>
            <w:r/>
            <w:r>
              <w:rPr>
                <w:rFonts w:ascii="Times New Roman" w:hAnsi="Times New Roman"/>
                <w:b w:val="0"/>
                <w:sz w:val="13"/>
              </w:rPr>
              <w:t>IEEE 27th International Conference on Computer and Information Technology (ICCIT), conference paper (2024; indexed 2025). DOI: 10.1109/ICCIT64611.2024.11021774</w:t>
            </w:r>
          </w:p>
        </w:tc>
        <w:tc>
          <w:tcPr>
            <w:tcW w:type="dxa" w:w="2376"/>
            <w:vAlign w:val="center"/>
          </w:tcPr>
          <w:p>
            <w:pPr>
              <w:spacing w:after="20" w:line="240" w:lineRule="auto"/>
            </w:pPr>
            <w:r/>
            <w:r>
              <w:rPr>
                <w:rFonts w:ascii="Times New Roman" w:hAnsi="Times New Roman"/>
                <w:b w:val="0"/>
                <w:sz w:val="13"/>
              </w:rPr>
              <w:t>High-performing crop prediction needs explanations.</w:t>
            </w:r>
          </w:p>
        </w:tc>
        <w:tc>
          <w:tcPr>
            <w:tcW w:type="dxa" w:w="1656"/>
            <w:vAlign w:val="center"/>
          </w:tcPr>
          <w:p>
            <w:pPr>
              <w:spacing w:after="20" w:line="240" w:lineRule="auto"/>
            </w:pPr>
            <w:r/>
            <w:r>
              <w:rPr>
                <w:rFonts w:ascii="Times New Roman" w:hAnsi="Times New Roman"/>
                <w:b w:val="0"/>
                <w:sz w:val="13"/>
              </w:rPr>
              <w:t>Compare classifiers and explain the best model’s decisions.</w:t>
            </w:r>
          </w:p>
        </w:tc>
        <w:tc>
          <w:tcPr>
            <w:tcW w:type="dxa" w:w="1656"/>
            <w:vAlign w:val="center"/>
          </w:tcPr>
          <w:p>
            <w:pPr>
              <w:spacing w:after="20" w:line="240" w:lineRule="auto"/>
            </w:pPr>
            <w:r/>
            <w:r>
              <w:rPr>
                <w:rFonts w:ascii="Times New Roman" w:hAnsi="Times New Roman"/>
                <w:b w:val="0"/>
                <w:sz w:val="13"/>
              </w:rPr>
              <w:t>SVM, Decision Tree, Random Forest, Gaussian Naive Bayes, AdaBoost; SHAP and LIME.</w:t>
            </w:r>
          </w:p>
        </w:tc>
        <w:tc>
          <w:tcPr>
            <w:tcW w:type="dxa" w:w="1800"/>
            <w:vAlign w:val="center"/>
          </w:tcPr>
          <w:p>
            <w:pPr>
              <w:spacing w:after="20" w:line="240" w:lineRule="auto"/>
            </w:pPr>
            <w:r/>
            <w:r>
              <w:rPr>
                <w:rFonts w:ascii="Times New Roman" w:hAnsi="Times New Roman"/>
                <w:b w:val="0"/>
                <w:sz w:val="13"/>
              </w:rPr>
              <w:t>The paper reports strong AdaBoost performance on its benchmark setting and applies two XAI techniques.</w:t>
            </w:r>
          </w:p>
        </w:tc>
        <w:tc>
          <w:tcPr>
            <w:tcW w:type="dxa" w:w="1872"/>
            <w:vAlign w:val="center"/>
          </w:tcPr>
          <w:p>
            <w:pPr>
              <w:spacing w:after="20" w:line="240" w:lineRule="auto"/>
            </w:pPr>
            <w:r/>
            <w:r>
              <w:rPr>
                <w:rFonts w:ascii="Times New Roman" w:hAnsi="Times New Roman"/>
                <w:b w:val="0"/>
                <w:sz w:val="13"/>
              </w:rPr>
              <w:t>Reproduce results under consistent splits and test generalisation.</w:t>
            </w:r>
          </w:p>
        </w:tc>
        <w:tc>
          <w:tcPr>
            <w:tcW w:type="dxa" w:w="1656"/>
          </w:tcPr>
          <w:p/>
        </w:tc>
      </w:tr>
      <w:tr>
        <w:tc>
          <w:tcPr>
            <w:tcW w:type="dxa" w:w="504"/>
            <w:vAlign w:val="center"/>
            <w:shd w:fill="EEF3F8"/>
          </w:tcPr>
          <w:p>
            <w:pPr>
              <w:spacing w:after="20" w:line="240" w:lineRule="auto"/>
            </w:pPr>
            <w:r/>
            <w:r>
              <w:rPr>
                <w:rFonts w:ascii="Times New Roman" w:hAnsi="Times New Roman"/>
                <w:b w:val="0"/>
                <w:sz w:val="13"/>
              </w:rPr>
              <w:t>A Decision Support System for Crop Recommendation Using Machine Learning Classification Algorithms</w:t>
            </w:r>
          </w:p>
        </w:tc>
        <w:tc>
          <w:tcPr>
            <w:tcW w:type="dxa" w:w="2088"/>
            <w:vAlign w:val="center"/>
            <w:shd w:fill="EEF3F8"/>
          </w:tcPr>
          <w:p>
            <w:pPr>
              <w:spacing w:after="20" w:line="240" w:lineRule="auto"/>
            </w:pPr>
            <w:r/>
            <w:r>
              <w:rPr>
                <w:rFonts w:ascii="Times New Roman" w:hAnsi="Times New Roman"/>
                <w:b w:val="0"/>
                <w:sz w:val="13"/>
              </w:rPr>
              <w:t>Agriculture (2024), 14(8), Article 1256. DOI: 10.3390/agriculture14081256</w:t>
            </w:r>
          </w:p>
        </w:tc>
        <w:tc>
          <w:tcPr>
            <w:tcW w:type="dxa" w:w="2376"/>
            <w:vAlign w:val="center"/>
            <w:shd w:fill="EEF3F8"/>
          </w:tcPr>
          <w:p>
            <w:pPr>
              <w:spacing w:after="20" w:line="240" w:lineRule="auto"/>
            </w:pPr>
            <w:r/>
            <w:r>
              <w:rPr>
                <w:rFonts w:ascii="Times New Roman" w:hAnsi="Times New Roman"/>
                <w:b w:val="0"/>
                <w:sz w:val="13"/>
              </w:rPr>
              <w:t>Crop decisions can benefit from automated classification and real-time data.</w:t>
            </w:r>
          </w:p>
        </w:tc>
        <w:tc>
          <w:tcPr>
            <w:tcW w:type="dxa" w:w="1656"/>
            <w:vAlign w:val="center"/>
            <w:shd w:fill="EEF3F8"/>
          </w:tcPr>
          <w:p>
            <w:pPr>
              <w:spacing w:after="20" w:line="240" w:lineRule="auto"/>
            </w:pPr>
            <w:r/>
            <w:r>
              <w:rPr>
                <w:rFonts w:ascii="Times New Roman" w:hAnsi="Times New Roman"/>
                <w:b w:val="0"/>
                <w:sz w:val="13"/>
              </w:rPr>
              <w:t>Build and evaluate an ML-based crop decision-support system.</w:t>
            </w:r>
          </w:p>
        </w:tc>
        <w:tc>
          <w:tcPr>
            <w:tcW w:type="dxa" w:w="1656"/>
            <w:vAlign w:val="center"/>
            <w:shd w:fill="EEF3F8"/>
          </w:tcPr>
          <w:p>
            <w:pPr>
              <w:spacing w:after="20" w:line="240" w:lineRule="auto"/>
            </w:pPr>
            <w:r/>
            <w:r>
              <w:rPr>
                <w:rFonts w:ascii="Times New Roman" w:hAnsi="Times New Roman"/>
                <w:b w:val="0"/>
                <w:sz w:val="13"/>
              </w:rPr>
              <w:t>Classification algorithms and a sensor-informed decision-support workflow.</w:t>
            </w:r>
          </w:p>
        </w:tc>
        <w:tc>
          <w:tcPr>
            <w:tcW w:type="dxa" w:w="1800"/>
            <w:vAlign w:val="center"/>
            <w:shd w:fill="EEF3F8"/>
          </w:tcPr>
          <w:p>
            <w:pPr>
              <w:spacing w:after="20" w:line="240" w:lineRule="auto"/>
            </w:pPr>
            <w:r/>
            <w:r>
              <w:rPr>
                <w:rFonts w:ascii="Times New Roman" w:hAnsi="Times New Roman"/>
                <w:b w:val="0"/>
                <w:sz w:val="13"/>
              </w:rPr>
              <w:t>Reports comparative classifier results and a practical decision-support framing.</w:t>
            </w:r>
          </w:p>
        </w:tc>
        <w:tc>
          <w:tcPr>
            <w:tcW w:type="dxa" w:w="1872"/>
            <w:vAlign w:val="center"/>
            <w:shd w:fill="EEF3F8"/>
          </w:tcPr>
          <w:p>
            <w:pPr>
              <w:spacing w:after="20" w:line="240" w:lineRule="auto"/>
            </w:pPr>
            <w:r/>
            <w:r>
              <w:rPr>
                <w:rFonts w:ascii="Times New Roman" w:hAnsi="Times New Roman"/>
                <w:b w:val="0"/>
                <w:sz w:val="13"/>
              </w:rPr>
              <w:t>Expand field testing and examine performance across locations.</w:t>
            </w:r>
          </w:p>
        </w:tc>
        <w:tc>
          <w:tcPr>
            <w:tcW w:type="dxa" w:w="1656"/>
          </w:tcPr>
          <w:p/>
        </w:tc>
      </w:tr>
      <w:tr>
        <w:tc>
          <w:tcPr>
            <w:tcW w:type="dxa" w:w="504"/>
            <w:vAlign w:val="center"/>
          </w:tcPr>
          <w:p>
            <w:pPr>
              <w:spacing w:after="20" w:line="240" w:lineRule="auto"/>
            </w:pPr>
            <w:r/>
            <w:r>
              <w:rPr>
                <w:rFonts w:ascii="Times New Roman" w:hAnsi="Times New Roman"/>
                <w:b w:val="0"/>
                <w:sz w:val="13"/>
              </w:rPr>
              <w:t>Robust and Interpretable Crop Recommendation: A Case Study on a Balanced Multi-crop Agronomic Dataset</w:t>
            </w:r>
          </w:p>
        </w:tc>
        <w:tc>
          <w:tcPr>
            <w:tcW w:type="dxa" w:w="2088"/>
            <w:vAlign w:val="center"/>
          </w:tcPr>
          <w:p>
            <w:pPr>
              <w:spacing w:after="20" w:line="240" w:lineRule="auto"/>
            </w:pPr>
            <w:r/>
            <w:r>
              <w:rPr>
                <w:rFonts w:ascii="Times New Roman" w:hAnsi="Times New Roman"/>
                <w:b w:val="0"/>
                <w:sz w:val="13"/>
              </w:rPr>
              <w:t>Alam, M. I., Hemal, M. A. K. P., Sami, M. A., &amp; Rahman, M. L. (2024). European Journal of Ecology, Biology and Agriculture. DOI: 10.59324/ejeba.2024.1(5).14</w:t>
            </w:r>
          </w:p>
        </w:tc>
        <w:tc>
          <w:tcPr>
            <w:tcW w:type="dxa" w:w="2376"/>
            <w:vAlign w:val="center"/>
          </w:tcPr>
          <w:p>
            <w:pPr>
              <w:spacing w:after="20" w:line="240" w:lineRule="auto"/>
            </w:pPr>
            <w:r/>
            <w:r>
              <w:rPr>
                <w:rFonts w:ascii="Times New Roman" w:hAnsi="Times New Roman"/>
                <w:b w:val="0"/>
                <w:sz w:val="13"/>
              </w:rPr>
              <w:t>Accuracy and interpretability need to be considered together.</w:t>
            </w:r>
          </w:p>
        </w:tc>
        <w:tc>
          <w:tcPr>
            <w:tcW w:type="dxa" w:w="1656"/>
            <w:vAlign w:val="center"/>
          </w:tcPr>
          <w:p>
            <w:pPr>
              <w:spacing w:after="20" w:line="240" w:lineRule="auto"/>
            </w:pPr>
            <w:r/>
            <w:r>
              <w:rPr>
                <w:rFonts w:ascii="Times New Roman" w:hAnsi="Times New Roman"/>
                <w:b w:val="0"/>
                <w:sz w:val="13"/>
              </w:rPr>
              <w:t>Study robust, interpretable multi-crop recommendation.</w:t>
            </w:r>
          </w:p>
        </w:tc>
        <w:tc>
          <w:tcPr>
            <w:tcW w:type="dxa" w:w="1656"/>
            <w:vAlign w:val="center"/>
          </w:tcPr>
          <w:p>
            <w:pPr>
              <w:spacing w:after="20" w:line="240" w:lineRule="auto"/>
            </w:pPr>
            <w:r/>
            <w:r>
              <w:rPr>
                <w:rFonts w:ascii="Times New Roman" w:hAnsi="Times New Roman"/>
                <w:b w:val="0"/>
                <w:sz w:val="13"/>
              </w:rPr>
              <w:t>Machine-learning crop classification with interpretability-oriented analysis.</w:t>
            </w:r>
          </w:p>
        </w:tc>
        <w:tc>
          <w:tcPr>
            <w:tcW w:type="dxa" w:w="1800"/>
            <w:vAlign w:val="center"/>
          </w:tcPr>
          <w:p>
            <w:pPr>
              <w:spacing w:after="20" w:line="240" w:lineRule="auto"/>
            </w:pPr>
            <w:r/>
            <w:r>
              <w:rPr>
                <w:rFonts w:ascii="Times New Roman" w:hAnsi="Times New Roman"/>
                <w:b w:val="0"/>
                <w:sz w:val="13"/>
              </w:rPr>
              <w:t>Emphasises the value of pairing predictive performance with explanations.</w:t>
            </w:r>
          </w:p>
        </w:tc>
        <w:tc>
          <w:tcPr>
            <w:tcW w:type="dxa" w:w="1872"/>
            <w:vAlign w:val="center"/>
          </w:tcPr>
          <w:p>
            <w:pPr>
              <w:spacing w:after="20" w:line="240" w:lineRule="auto"/>
            </w:pPr>
            <w:r/>
            <w:r>
              <w:rPr>
                <w:rFonts w:ascii="Times New Roman" w:hAnsi="Times New Roman"/>
                <w:b w:val="0"/>
                <w:sz w:val="13"/>
              </w:rPr>
              <w:t>Evaluate across additional datasets and real-world farm settings.</w:t>
            </w:r>
          </w:p>
        </w:tc>
        <w:tc>
          <w:tcPr>
            <w:tcW w:type="dxa" w:w="1656"/>
          </w:tcPr>
          <w:p/>
        </w:tc>
      </w:tr>
      <w:tr>
        <w:tc>
          <w:tcPr>
            <w:tcW w:type="dxa" w:w="504"/>
            <w:vAlign w:val="center"/>
            <w:shd w:fill="EEF3F8"/>
          </w:tcPr>
          <w:p>
            <w:pPr>
              <w:spacing w:after="20" w:line="240" w:lineRule="auto"/>
            </w:pPr>
            <w:r/>
            <w:r>
              <w:rPr>
                <w:rFonts w:ascii="Times New Roman" w:hAnsi="Times New Roman"/>
                <w:b w:val="0"/>
                <w:sz w:val="13"/>
              </w:rPr>
              <w:t>Data-driven crop recommendation from soil and climate parameters: a comparative machine-learning study</w:t>
            </w:r>
          </w:p>
        </w:tc>
        <w:tc>
          <w:tcPr>
            <w:tcW w:type="dxa" w:w="2088"/>
            <w:vAlign w:val="center"/>
            <w:shd w:fill="EEF3F8"/>
          </w:tcPr>
          <w:p>
            <w:pPr>
              <w:spacing w:after="20" w:line="240" w:lineRule="auto"/>
            </w:pPr>
            <w:r/>
            <w:r>
              <w:rPr>
                <w:rFonts w:ascii="Times New Roman" w:hAnsi="Times New Roman"/>
                <w:b w:val="0"/>
                <w:sz w:val="13"/>
              </w:rPr>
              <w:t>Rajendran, T. (2025). International Journal of Agriculture and Animal Production. DOI: 10.55529/ijaap.52.71.80</w:t>
            </w:r>
          </w:p>
        </w:tc>
        <w:tc>
          <w:tcPr>
            <w:tcW w:type="dxa" w:w="2376"/>
            <w:vAlign w:val="center"/>
            <w:shd w:fill="EEF3F8"/>
          </w:tcPr>
          <w:p>
            <w:pPr>
              <w:spacing w:after="20" w:line="240" w:lineRule="auto"/>
            </w:pPr>
            <w:r/>
            <w:r>
              <w:rPr>
                <w:rFonts w:ascii="Times New Roman" w:hAnsi="Times New Roman"/>
                <w:b w:val="0"/>
                <w:sz w:val="13"/>
              </w:rPr>
              <w:t>A systematic comparison is needed for soil/climate-based crop selection.</w:t>
            </w:r>
          </w:p>
        </w:tc>
        <w:tc>
          <w:tcPr>
            <w:tcW w:type="dxa" w:w="1656"/>
            <w:vAlign w:val="center"/>
            <w:shd w:fill="EEF3F8"/>
          </w:tcPr>
          <w:p>
            <w:pPr>
              <w:spacing w:after="20" w:line="240" w:lineRule="auto"/>
            </w:pPr>
            <w:r/>
            <w:r>
              <w:rPr>
                <w:rFonts w:ascii="Times New Roman" w:hAnsi="Times New Roman"/>
                <w:b w:val="0"/>
                <w:sz w:val="13"/>
              </w:rPr>
              <w:t>Compare several supervised classifiers on a public crop dataset.</w:t>
            </w:r>
          </w:p>
        </w:tc>
        <w:tc>
          <w:tcPr>
            <w:tcW w:type="dxa" w:w="1656"/>
            <w:vAlign w:val="center"/>
            <w:shd w:fill="EEF3F8"/>
          </w:tcPr>
          <w:p>
            <w:pPr>
              <w:spacing w:after="20" w:line="240" w:lineRule="auto"/>
            </w:pPr>
            <w:r/>
            <w:r>
              <w:rPr>
                <w:rFonts w:ascii="Times New Roman" w:hAnsi="Times New Roman"/>
                <w:b w:val="0"/>
                <w:sz w:val="13"/>
              </w:rPr>
              <w:t>Logistic Regression, KNN, Gaussian Naive Bayes, Decision Tree, SVM, Random Forest, and Gradient Boosting.</w:t>
            </w:r>
          </w:p>
        </w:tc>
        <w:tc>
          <w:tcPr>
            <w:tcW w:type="dxa" w:w="1800"/>
            <w:vAlign w:val="center"/>
            <w:shd w:fill="EEF3F8"/>
          </w:tcPr>
          <w:p>
            <w:pPr>
              <w:spacing w:after="20" w:line="240" w:lineRule="auto"/>
            </w:pPr>
            <w:r/>
            <w:r>
              <w:rPr>
                <w:rFonts w:ascii="Times New Roman" w:hAnsi="Times New Roman"/>
                <w:b w:val="0"/>
                <w:sz w:val="13"/>
              </w:rPr>
              <w:t>Provides a directly comparable model-comparison framing for the same broad task.</w:t>
            </w:r>
          </w:p>
        </w:tc>
        <w:tc>
          <w:tcPr>
            <w:tcW w:type="dxa" w:w="1872"/>
            <w:vAlign w:val="center"/>
            <w:shd w:fill="EEF3F8"/>
          </w:tcPr>
          <w:p>
            <w:pPr>
              <w:spacing w:after="20" w:line="240" w:lineRule="auto"/>
            </w:pPr>
            <w:r/>
            <w:r>
              <w:rPr>
                <w:rFonts w:ascii="Times New Roman" w:hAnsi="Times New Roman"/>
                <w:b w:val="0"/>
                <w:sz w:val="13"/>
              </w:rPr>
              <w:t>Use repeated validation and report class-wise errors and external performance.</w:t>
            </w:r>
          </w:p>
        </w:tc>
        <w:tc>
          <w:tcPr>
            <w:tcW w:type="dxa" w:w="1656"/>
          </w:tcPr>
          <w:p/>
        </w:tc>
      </w:tr>
    </w:tbl>
    <w:p/>
    <w:p>
      <w:pPr>
        <w:pStyle w:val="Heading2"/>
      </w:pPr>
      <w:r>
        <w:t>2.1 Research Gap Identified</w:t>
      </w:r>
    </w:p>
    <w:p>
      <w:r>
        <w:rPr>
          <w:i w:val="0"/>
        </w:rPr>
        <w:t>The reviewed work supports the use of machine learning for crop classification and shows growing interest in SHAP/LIME explanations. The project’s intended contribution is to bring these two directions together in a hybrid framework: compare multiple candidate models under a controlled evaluation protocol, select a justified ensemble rather than assuming that hybridisation automatically improves accuracy, and pair the final recommendation with a local explanation. A key limitation to address is that a balanced 2,200-row benchmark dataset may not capture the full variation in farms, seasons, soil testing methods, irrigation, pests, or economic constraints.</w:t>
      </w:r>
    </w:p>
    <w:p>
      <w:pPr>
        <w:pStyle w:val="Heading1"/>
      </w:pPr>
      <w:r>
        <w:t>3. Methodology</w:t>
      </w:r>
    </w:p>
    <w:p>
      <w:pPr>
        <w:pStyle w:val="Heading2"/>
      </w:pPr>
      <w:r>
        <w:t>3.1 Proposed System Flow Diagram</w:t>
      </w:r>
    </w:p>
    <w:p>
      <w:pPr>
        <w:jc w:val="center"/>
      </w:pPr>
      <w:r>
        <w:rPr>
          <w:b/>
        </w:rPr>
        <w:t>Dataset (2,200 rows; 7 input features; 22 crop labels)</w:t>
      </w:r>
    </w:p>
    <w:p>
      <w:pPr>
        <w:jc w:val="center"/>
      </w:pPr>
      <w:r>
        <w:rPr>
          <w:b/>
          <w:color w:val="506E96"/>
        </w:rPr>
        <w:t>↓</w:t>
      </w:r>
    </w:p>
    <w:p>
      <w:pPr>
        <w:jc w:val="center"/>
      </w:pPr>
      <w:r>
        <w:rPr>
          <w:b w:val="0"/>
        </w:rPr>
        <w:t>Data inspection → schema validation → duplicate and missing-value checks</w:t>
      </w:r>
    </w:p>
    <w:p>
      <w:pPr>
        <w:jc w:val="center"/>
      </w:pPr>
      <w:r>
        <w:rPr>
          <w:b/>
          <w:color w:val="506E96"/>
        </w:rPr>
        <w:t>↓</w:t>
      </w:r>
    </w:p>
    <w:p>
      <w:pPr>
        <w:jc w:val="center"/>
      </w:pPr>
      <w:r>
        <w:rPr>
          <w:b w:val="0"/>
        </w:rPr>
        <w:t>Exploratory data analysis → class balance, distributions, correlations, outliers</w:t>
      </w:r>
    </w:p>
    <w:p>
      <w:pPr>
        <w:jc w:val="center"/>
      </w:pPr>
      <w:r>
        <w:rPr>
          <w:b/>
          <w:color w:val="506E96"/>
        </w:rPr>
        <w:t>↓</w:t>
      </w:r>
    </w:p>
    <w:p>
      <w:pPr>
        <w:jc w:val="center"/>
      </w:pPr>
      <w:r>
        <w:rPr>
          <w:b w:val="0"/>
        </w:rPr>
        <w:t>Stratified train/test split (fit preprocessing only on training data)</w:t>
      </w:r>
    </w:p>
    <w:p>
      <w:pPr>
        <w:jc w:val="center"/>
      </w:pPr>
      <w:r>
        <w:rPr>
          <w:b/>
          <w:color w:val="506E96"/>
        </w:rPr>
        <w:t>↓</w:t>
      </w:r>
    </w:p>
    <w:p>
      <w:pPr>
        <w:jc w:val="center"/>
      </w:pPr>
      <w:r>
        <w:rPr>
          <w:b w:val="0"/>
        </w:rPr>
        <w:t>Train baseline classifiers → cross-validation / hyperparameter tuning</w:t>
      </w:r>
    </w:p>
    <w:p>
      <w:pPr>
        <w:jc w:val="center"/>
      </w:pPr>
      <w:r>
        <w:rPr>
          <w:b/>
          <w:color w:val="506E96"/>
        </w:rPr>
        <w:t>↓</w:t>
      </w:r>
    </w:p>
    <w:p>
      <w:pPr>
        <w:jc w:val="center"/>
      </w:pPr>
      <w:r>
        <w:rPr>
          <w:b w:val="0"/>
        </w:rPr>
        <w:t>Compare metrics → select candidate models → hybrid ensemble</w:t>
      </w:r>
    </w:p>
    <w:p>
      <w:pPr>
        <w:jc w:val="center"/>
      </w:pPr>
      <w:r>
        <w:rPr>
          <w:b/>
          <w:color w:val="506E96"/>
        </w:rPr>
        <w:t>↓</w:t>
      </w:r>
    </w:p>
    <w:p>
      <w:pPr>
        <w:jc w:val="center"/>
      </w:pPr>
      <w:r>
        <w:rPr>
          <w:b w:val="0"/>
        </w:rPr>
        <w:t>Evaluate final model on held-out test data</w:t>
      </w:r>
    </w:p>
    <w:p>
      <w:pPr>
        <w:jc w:val="center"/>
      </w:pPr>
      <w:r>
        <w:rPr>
          <w:b/>
          <w:color w:val="506E96"/>
        </w:rPr>
        <w:t>↓</w:t>
      </w:r>
    </w:p>
    <w:p>
      <w:pPr>
        <w:jc w:val="center"/>
      </w:pPr>
      <w:r>
        <w:rPr>
          <w:b w:val="0"/>
        </w:rPr>
        <w:t>SHAP / LIME explanation layer</w:t>
      </w:r>
    </w:p>
    <w:p>
      <w:pPr>
        <w:jc w:val="center"/>
      </w:pPr>
      <w:r>
        <w:rPr>
          <w:b/>
          <w:color w:val="506E96"/>
        </w:rPr>
        <w:t>↓</w:t>
      </w:r>
    </w:p>
    <w:p>
      <w:pPr>
        <w:jc w:val="center"/>
      </w:pPr>
      <w:r>
        <w:rPr>
          <w:b/>
        </w:rPr>
        <w:t>Crop recommendation + human-readable explanation (Streamlit / Flask interface)</w:t>
      </w:r>
    </w:p>
    <w:p>
      <w:pPr>
        <w:pStyle w:val="Heading2"/>
      </w:pPr>
      <w:r>
        <w:t>3.2 Dataset Description</w:t>
      </w:r>
    </w:p>
    <w:p>
      <w:r>
        <w:rPr>
          <w:i w:val="0"/>
        </w:rPr>
        <w:t>According to the project presentation, the dataset contains 2,200 records, seven numerical input features, and 22 target crop classes. The classes are reported as balanced, with 100 records per crop. The features are nitrogen (N), phosphorus (P), potassium (K), temperature, relative humidity, soil pH, and rainfall. The target is the recommended crop label; examples include rice, maize, cotton, banana, and coffee. The presentation reports no missing values. The dataset link supplied in the presentation is https://drive.google.com/file/d/1snn74xwRtdLWYoYCau0rf7Vj_jfYw2Ht/view. Before final submission, confirm that the downloaded file matches these dimensions and inspect its provenance and measurement units.</w:t>
      </w:r>
    </w:p>
    <w:tbl>
      <w:tblPr>
        <w:tblStyle w:val="TableGrid"/>
        <w:tblW w:type="auto" w:w="0"/>
        <w:jc w:val="center"/>
        <w:tblLook w:firstColumn="1" w:firstRow="1" w:lastColumn="0" w:lastRow="0" w:noHBand="0" w:noVBand="1" w:val="04A0"/>
      </w:tblPr>
      <w:tblGrid>
        <w:gridCol w:w="3389"/>
        <w:gridCol w:w="3389"/>
        <w:gridCol w:w="3389"/>
      </w:tblGrid>
      <w:tr>
        <w:tc>
          <w:tcPr>
            <w:tcW w:type="dxa" w:w="1728"/>
            <w:vAlign w:val="center"/>
            <w:shd w:fill="243B64"/>
          </w:tcPr>
          <w:p>
            <w:pPr>
              <w:spacing w:after="20" w:line="240" w:lineRule="auto"/>
            </w:pPr>
            <w:r/>
            <w:r>
              <w:rPr>
                <w:rFonts w:ascii="Times New Roman" w:hAnsi="Times New Roman"/>
                <w:b/>
                <w:color w:val="FFFFFF"/>
                <w:sz w:val="17"/>
              </w:rPr>
              <w:t>Feature</w:t>
            </w:r>
          </w:p>
        </w:tc>
        <w:tc>
          <w:tcPr>
            <w:tcW w:type="dxa" w:w="6912"/>
            <w:vAlign w:val="center"/>
            <w:shd w:fill="243B64"/>
          </w:tcPr>
          <w:p>
            <w:pPr>
              <w:spacing w:after="20" w:line="240" w:lineRule="auto"/>
            </w:pPr>
            <w:r/>
            <w:r>
              <w:rPr>
                <w:rFonts w:ascii="Times New Roman" w:hAnsi="Times New Roman"/>
                <w:b/>
                <w:color w:val="FFFFFF"/>
                <w:sz w:val="17"/>
              </w:rPr>
              <w:t>Meaning</w:t>
            </w:r>
          </w:p>
        </w:tc>
        <w:tc>
          <w:tcPr>
            <w:tcW w:type="dxa" w:w="2016"/>
            <w:vAlign w:val="center"/>
            <w:shd w:fill="243B64"/>
          </w:tcPr>
          <w:p>
            <w:pPr>
              <w:spacing w:after="20" w:line="240" w:lineRule="auto"/>
            </w:pPr>
            <w:r/>
            <w:r>
              <w:rPr>
                <w:rFonts w:ascii="Times New Roman" w:hAnsi="Times New Roman"/>
                <w:b/>
                <w:color w:val="FFFFFF"/>
                <w:sz w:val="17"/>
              </w:rPr>
              <w:t>Type</w:t>
            </w:r>
          </w:p>
        </w:tc>
      </w:tr>
      <w:tr>
        <w:tc>
          <w:tcPr>
            <w:tcW w:type="dxa" w:w="1728"/>
            <w:vAlign w:val="center"/>
          </w:tcPr>
          <w:p>
            <w:pPr>
              <w:spacing w:after="20" w:line="240" w:lineRule="auto"/>
            </w:pPr>
            <w:r/>
            <w:r>
              <w:rPr>
                <w:rFonts w:ascii="Times New Roman" w:hAnsi="Times New Roman"/>
                <w:b w:val="0"/>
                <w:sz w:val="17"/>
              </w:rPr>
              <w:t>N</w:t>
            </w:r>
          </w:p>
        </w:tc>
        <w:tc>
          <w:tcPr>
            <w:tcW w:type="dxa" w:w="6912"/>
            <w:vAlign w:val="center"/>
          </w:tcPr>
          <w:p>
            <w:pPr>
              <w:spacing w:after="20" w:line="240" w:lineRule="auto"/>
            </w:pPr>
            <w:r/>
            <w:r>
              <w:rPr>
                <w:rFonts w:ascii="Times New Roman" w:hAnsi="Times New Roman"/>
                <w:b w:val="0"/>
                <w:sz w:val="17"/>
              </w:rPr>
              <w:t>Nitrogen content in soil</w:t>
            </w:r>
          </w:p>
        </w:tc>
        <w:tc>
          <w:tcPr>
            <w:tcW w:type="dxa" w:w="2016"/>
            <w:vAlign w:val="center"/>
          </w:tcPr>
          <w:p>
            <w:pPr>
              <w:spacing w:after="20" w:line="240" w:lineRule="auto"/>
            </w:pPr>
            <w:r/>
            <w:r>
              <w:rPr>
                <w:rFonts w:ascii="Times New Roman" w:hAnsi="Times New Roman"/>
                <w:b w:val="0"/>
                <w:sz w:val="17"/>
              </w:rPr>
              <w:t>Numeric</w:t>
            </w:r>
          </w:p>
        </w:tc>
      </w:tr>
      <w:tr>
        <w:tc>
          <w:tcPr>
            <w:tcW w:type="dxa" w:w="1728"/>
            <w:vAlign w:val="center"/>
            <w:shd w:fill="EEF3F8"/>
          </w:tcPr>
          <w:p>
            <w:pPr>
              <w:spacing w:after="20" w:line="240" w:lineRule="auto"/>
            </w:pPr>
            <w:r/>
            <w:r>
              <w:rPr>
                <w:rFonts w:ascii="Times New Roman" w:hAnsi="Times New Roman"/>
                <w:b w:val="0"/>
                <w:sz w:val="17"/>
              </w:rPr>
              <w:t>P</w:t>
            </w:r>
          </w:p>
        </w:tc>
        <w:tc>
          <w:tcPr>
            <w:tcW w:type="dxa" w:w="6912"/>
            <w:vAlign w:val="center"/>
            <w:shd w:fill="EEF3F8"/>
          </w:tcPr>
          <w:p>
            <w:pPr>
              <w:spacing w:after="20" w:line="240" w:lineRule="auto"/>
            </w:pPr>
            <w:r/>
            <w:r>
              <w:rPr>
                <w:rFonts w:ascii="Times New Roman" w:hAnsi="Times New Roman"/>
                <w:b w:val="0"/>
                <w:sz w:val="17"/>
              </w:rPr>
              <w:t>Phosphorus content in soil</w:t>
            </w:r>
          </w:p>
        </w:tc>
        <w:tc>
          <w:tcPr>
            <w:tcW w:type="dxa" w:w="2016"/>
            <w:vAlign w:val="center"/>
            <w:shd w:fill="EEF3F8"/>
          </w:tcPr>
          <w:p>
            <w:pPr>
              <w:spacing w:after="20" w:line="240" w:lineRule="auto"/>
            </w:pPr>
            <w:r/>
            <w:r>
              <w:rPr>
                <w:rFonts w:ascii="Times New Roman" w:hAnsi="Times New Roman"/>
                <w:b w:val="0"/>
                <w:sz w:val="17"/>
              </w:rPr>
              <w:t>Numeric</w:t>
            </w:r>
          </w:p>
        </w:tc>
      </w:tr>
      <w:tr>
        <w:tc>
          <w:tcPr>
            <w:tcW w:type="dxa" w:w="1728"/>
            <w:vAlign w:val="center"/>
          </w:tcPr>
          <w:p>
            <w:pPr>
              <w:spacing w:after="20" w:line="240" w:lineRule="auto"/>
            </w:pPr>
            <w:r/>
            <w:r>
              <w:rPr>
                <w:rFonts w:ascii="Times New Roman" w:hAnsi="Times New Roman"/>
                <w:b w:val="0"/>
                <w:sz w:val="17"/>
              </w:rPr>
              <w:t>K</w:t>
            </w:r>
          </w:p>
        </w:tc>
        <w:tc>
          <w:tcPr>
            <w:tcW w:type="dxa" w:w="6912"/>
            <w:vAlign w:val="center"/>
          </w:tcPr>
          <w:p>
            <w:pPr>
              <w:spacing w:after="20" w:line="240" w:lineRule="auto"/>
            </w:pPr>
            <w:r/>
            <w:r>
              <w:rPr>
                <w:rFonts w:ascii="Times New Roman" w:hAnsi="Times New Roman"/>
                <w:b w:val="0"/>
                <w:sz w:val="17"/>
              </w:rPr>
              <w:t>Potassium content in soil</w:t>
            </w:r>
          </w:p>
        </w:tc>
        <w:tc>
          <w:tcPr>
            <w:tcW w:type="dxa" w:w="2016"/>
            <w:vAlign w:val="center"/>
          </w:tcPr>
          <w:p>
            <w:pPr>
              <w:spacing w:after="20" w:line="240" w:lineRule="auto"/>
            </w:pPr>
            <w:r/>
            <w:r>
              <w:rPr>
                <w:rFonts w:ascii="Times New Roman" w:hAnsi="Times New Roman"/>
                <w:b w:val="0"/>
                <w:sz w:val="17"/>
              </w:rPr>
              <w:t>Numeric</w:t>
            </w:r>
          </w:p>
        </w:tc>
      </w:tr>
      <w:tr>
        <w:tc>
          <w:tcPr>
            <w:tcW w:type="dxa" w:w="1728"/>
            <w:vAlign w:val="center"/>
            <w:shd w:fill="EEF3F8"/>
          </w:tcPr>
          <w:p>
            <w:pPr>
              <w:spacing w:after="20" w:line="240" w:lineRule="auto"/>
            </w:pPr>
            <w:r/>
            <w:r>
              <w:rPr>
                <w:rFonts w:ascii="Times New Roman" w:hAnsi="Times New Roman"/>
                <w:b w:val="0"/>
                <w:sz w:val="17"/>
              </w:rPr>
              <w:t>Temperature</w:t>
            </w:r>
          </w:p>
        </w:tc>
        <w:tc>
          <w:tcPr>
            <w:tcW w:type="dxa" w:w="6912"/>
            <w:vAlign w:val="center"/>
            <w:shd w:fill="EEF3F8"/>
          </w:tcPr>
          <w:p>
            <w:pPr>
              <w:spacing w:after="20" w:line="240" w:lineRule="auto"/>
            </w:pPr>
            <w:r/>
            <w:r>
              <w:rPr>
                <w:rFonts w:ascii="Times New Roman" w:hAnsi="Times New Roman"/>
                <w:b w:val="0"/>
                <w:sz w:val="17"/>
              </w:rPr>
              <w:t>Ambient temperature (°C, as described in the presentation)</w:t>
            </w:r>
          </w:p>
        </w:tc>
        <w:tc>
          <w:tcPr>
            <w:tcW w:type="dxa" w:w="2016"/>
            <w:vAlign w:val="center"/>
            <w:shd w:fill="EEF3F8"/>
          </w:tcPr>
          <w:p>
            <w:pPr>
              <w:spacing w:after="20" w:line="240" w:lineRule="auto"/>
            </w:pPr>
            <w:r/>
            <w:r>
              <w:rPr>
                <w:rFonts w:ascii="Times New Roman" w:hAnsi="Times New Roman"/>
                <w:b w:val="0"/>
                <w:sz w:val="17"/>
              </w:rPr>
              <w:t>Numeric</w:t>
            </w:r>
          </w:p>
        </w:tc>
      </w:tr>
      <w:tr>
        <w:tc>
          <w:tcPr>
            <w:tcW w:type="dxa" w:w="1728"/>
            <w:vAlign w:val="center"/>
          </w:tcPr>
          <w:p>
            <w:pPr>
              <w:spacing w:after="20" w:line="240" w:lineRule="auto"/>
            </w:pPr>
            <w:r/>
            <w:r>
              <w:rPr>
                <w:rFonts w:ascii="Times New Roman" w:hAnsi="Times New Roman"/>
                <w:b w:val="0"/>
                <w:sz w:val="17"/>
              </w:rPr>
              <w:t>Humidity</w:t>
            </w:r>
          </w:p>
        </w:tc>
        <w:tc>
          <w:tcPr>
            <w:tcW w:type="dxa" w:w="6912"/>
            <w:vAlign w:val="center"/>
          </w:tcPr>
          <w:p>
            <w:pPr>
              <w:spacing w:after="20" w:line="240" w:lineRule="auto"/>
            </w:pPr>
            <w:r/>
            <w:r>
              <w:rPr>
                <w:rFonts w:ascii="Times New Roman" w:hAnsi="Times New Roman"/>
                <w:b w:val="0"/>
                <w:sz w:val="17"/>
              </w:rPr>
              <w:t>Relative humidity (%)</w:t>
            </w:r>
          </w:p>
        </w:tc>
        <w:tc>
          <w:tcPr>
            <w:tcW w:type="dxa" w:w="2016"/>
            <w:vAlign w:val="center"/>
          </w:tcPr>
          <w:p>
            <w:pPr>
              <w:spacing w:after="20" w:line="240" w:lineRule="auto"/>
            </w:pPr>
            <w:r/>
            <w:r>
              <w:rPr>
                <w:rFonts w:ascii="Times New Roman" w:hAnsi="Times New Roman"/>
                <w:b w:val="0"/>
                <w:sz w:val="17"/>
              </w:rPr>
              <w:t>Numeric</w:t>
            </w:r>
          </w:p>
        </w:tc>
      </w:tr>
      <w:tr>
        <w:tc>
          <w:tcPr>
            <w:tcW w:type="dxa" w:w="1728"/>
            <w:vAlign w:val="center"/>
            <w:shd w:fill="EEF3F8"/>
          </w:tcPr>
          <w:p>
            <w:pPr>
              <w:spacing w:after="20" w:line="240" w:lineRule="auto"/>
            </w:pPr>
            <w:r/>
            <w:r>
              <w:rPr>
                <w:rFonts w:ascii="Times New Roman" w:hAnsi="Times New Roman"/>
                <w:b w:val="0"/>
                <w:sz w:val="17"/>
              </w:rPr>
              <w:t>pH</w:t>
            </w:r>
          </w:p>
        </w:tc>
        <w:tc>
          <w:tcPr>
            <w:tcW w:type="dxa" w:w="6912"/>
            <w:vAlign w:val="center"/>
            <w:shd w:fill="EEF3F8"/>
          </w:tcPr>
          <w:p>
            <w:pPr>
              <w:spacing w:after="20" w:line="240" w:lineRule="auto"/>
            </w:pPr>
            <w:r/>
            <w:r>
              <w:rPr>
                <w:rFonts w:ascii="Times New Roman" w:hAnsi="Times New Roman"/>
                <w:b w:val="0"/>
                <w:sz w:val="17"/>
              </w:rPr>
              <w:t>Soil acidity/alkalinity indicator</w:t>
            </w:r>
          </w:p>
        </w:tc>
        <w:tc>
          <w:tcPr>
            <w:tcW w:type="dxa" w:w="2016"/>
            <w:vAlign w:val="center"/>
            <w:shd w:fill="EEF3F8"/>
          </w:tcPr>
          <w:p>
            <w:pPr>
              <w:spacing w:after="20" w:line="240" w:lineRule="auto"/>
            </w:pPr>
            <w:r/>
            <w:r>
              <w:rPr>
                <w:rFonts w:ascii="Times New Roman" w:hAnsi="Times New Roman"/>
                <w:b w:val="0"/>
                <w:sz w:val="17"/>
              </w:rPr>
              <w:t>Numeric</w:t>
            </w:r>
          </w:p>
        </w:tc>
      </w:tr>
      <w:tr>
        <w:tc>
          <w:tcPr>
            <w:tcW w:type="dxa" w:w="1728"/>
            <w:vAlign w:val="center"/>
          </w:tcPr>
          <w:p>
            <w:pPr>
              <w:spacing w:after="20" w:line="240" w:lineRule="auto"/>
            </w:pPr>
            <w:r/>
            <w:r>
              <w:rPr>
                <w:rFonts w:ascii="Times New Roman" w:hAnsi="Times New Roman"/>
                <w:b w:val="0"/>
                <w:sz w:val="17"/>
              </w:rPr>
              <w:t>Rainfall</w:t>
            </w:r>
          </w:p>
        </w:tc>
        <w:tc>
          <w:tcPr>
            <w:tcW w:type="dxa" w:w="6912"/>
            <w:vAlign w:val="center"/>
          </w:tcPr>
          <w:p>
            <w:pPr>
              <w:spacing w:after="20" w:line="240" w:lineRule="auto"/>
            </w:pPr>
            <w:r/>
            <w:r>
              <w:rPr>
                <w:rFonts w:ascii="Times New Roman" w:hAnsi="Times New Roman"/>
                <w:b w:val="0"/>
                <w:sz w:val="17"/>
              </w:rPr>
              <w:t>Rainfall amount (mm, as described in the presentation)</w:t>
            </w:r>
          </w:p>
        </w:tc>
        <w:tc>
          <w:tcPr>
            <w:tcW w:type="dxa" w:w="2016"/>
            <w:vAlign w:val="center"/>
          </w:tcPr>
          <w:p>
            <w:pPr>
              <w:spacing w:after="20" w:line="240" w:lineRule="auto"/>
            </w:pPr>
            <w:r/>
            <w:r>
              <w:rPr>
                <w:rFonts w:ascii="Times New Roman" w:hAnsi="Times New Roman"/>
                <w:b w:val="0"/>
                <w:sz w:val="17"/>
              </w:rPr>
              <w:t>Numeric</w:t>
            </w:r>
          </w:p>
        </w:tc>
      </w:tr>
      <w:tr>
        <w:tc>
          <w:tcPr>
            <w:tcW w:type="dxa" w:w="1728"/>
            <w:vAlign w:val="center"/>
            <w:shd w:fill="EEF3F8"/>
          </w:tcPr>
          <w:p>
            <w:pPr>
              <w:spacing w:after="20" w:line="240" w:lineRule="auto"/>
            </w:pPr>
            <w:r/>
            <w:r>
              <w:rPr>
                <w:rFonts w:ascii="Times New Roman" w:hAnsi="Times New Roman"/>
                <w:b w:val="0"/>
                <w:sz w:val="17"/>
              </w:rPr>
              <w:t>Label</w:t>
            </w:r>
          </w:p>
        </w:tc>
        <w:tc>
          <w:tcPr>
            <w:tcW w:type="dxa" w:w="6912"/>
            <w:vAlign w:val="center"/>
            <w:shd w:fill="EEF3F8"/>
          </w:tcPr>
          <w:p>
            <w:pPr>
              <w:spacing w:after="20" w:line="240" w:lineRule="auto"/>
            </w:pPr>
            <w:r/>
            <w:r>
              <w:rPr>
                <w:rFonts w:ascii="Times New Roman" w:hAnsi="Times New Roman"/>
                <w:b w:val="0"/>
                <w:sz w:val="17"/>
              </w:rPr>
              <w:t>Recommended crop (22 classes)</w:t>
            </w:r>
          </w:p>
        </w:tc>
        <w:tc>
          <w:tcPr>
            <w:tcW w:type="dxa" w:w="2016"/>
            <w:vAlign w:val="center"/>
            <w:shd w:fill="EEF3F8"/>
          </w:tcPr>
          <w:p>
            <w:pPr>
              <w:spacing w:after="20" w:line="240" w:lineRule="auto"/>
            </w:pPr>
            <w:r/>
            <w:r>
              <w:rPr>
                <w:rFonts w:ascii="Times New Roman" w:hAnsi="Times New Roman"/>
                <w:b w:val="0"/>
                <w:sz w:val="17"/>
              </w:rPr>
              <w:t>Categorical target</w:t>
            </w:r>
          </w:p>
        </w:tc>
      </w:tr>
    </w:tbl>
    <w:p/>
    <w:p>
      <w:pPr>
        <w:pStyle w:val="Heading2"/>
      </w:pPr>
      <w:r>
        <w:t>3.3 Experimental Setup</w:t>
      </w:r>
    </w:p>
    <w:p>
      <w:r>
        <w:rPr>
          <w:i w:val="0"/>
        </w:rPr>
        <w:t>The presentation proposes Windows 10/11, Python 3.x, and Jupyter Notebook, Google Colab, or Visual Studio Code. The planned libraries are Pandas and NumPy for data processing, scikit-learn for model development and evaluation, Matplotlib and Seaborn for visualisation, SHAP and/or LIME for explanations, and Streamlit or Flask for a user interface. Minimum hardware stated in the presentation is 4 GB RAM and an Intel Core i3 or equivalent; internet access is required to obtain the dataset and libraries. Exact software/library versions and the machine used should be recorded when experiments are run.</w:t>
      </w:r>
    </w:p>
    <w:p>
      <w:pPr>
        <w:pStyle w:val="Heading2"/>
      </w:pPr>
      <w:r>
        <w:t>3.4 Data Preprocessing</w:t>
      </w:r>
    </w:p>
    <w:p>
      <w:pPr>
        <w:pStyle w:val="ListBullet"/>
        <w:spacing w:after="40"/>
      </w:pPr>
      <w:r>
        <w:t>Load the dataset and verify column names, data types, row count, target labels, and feature units.</w:t>
      </w:r>
    </w:p>
    <w:p>
      <w:pPr>
        <w:pStyle w:val="ListBullet"/>
        <w:spacing w:after="40"/>
      </w:pPr>
      <w:r>
        <w:t>Check duplicate rows and missing values. The presentation reports no missing values, but this must be confirmed on the actual file.</w:t>
      </w:r>
    </w:p>
    <w:p>
      <w:pPr>
        <w:pStyle w:val="ListBullet"/>
        <w:spacing w:after="40"/>
      </w:pPr>
      <w:r>
        <w:t>Inspect ranges and outliers using summary statistics and box plots. Do not remove valid agronomic extremes without evidence.</w:t>
      </w:r>
    </w:p>
    <w:p>
      <w:pPr>
        <w:pStyle w:val="ListBullet"/>
        <w:spacing w:after="40"/>
      </w:pPr>
      <w:r>
        <w:t>Confirm that all seven inputs are numeric and that the target contains the expected 22 crop classes.</w:t>
      </w:r>
    </w:p>
    <w:p>
      <w:pPr>
        <w:pStyle w:val="ListBullet"/>
        <w:spacing w:after="40"/>
      </w:pPr>
      <w:r>
        <w:t>Use a stratified train/test split to preserve class proportions. A proposed starting point is 80% training and 20% testing, with a fixed random seed.</w:t>
      </w:r>
    </w:p>
    <w:p>
      <w:pPr>
        <w:pStyle w:val="ListBullet"/>
        <w:spacing w:after="40"/>
      </w:pPr>
      <w:r>
        <w:t>Fit scaling, imputation, feature selection, and any other learned preprocessing only on training data; apply the fitted transformation to validation/test data to prevent leakage.</w:t>
      </w:r>
    </w:p>
    <w:p>
      <w:pPr>
        <w:pStyle w:val="ListBullet"/>
        <w:spacing w:after="40"/>
      </w:pPr>
      <w:r>
        <w:t>Use feature scaling for distance- or margin-based models such as KNN and SVM where appropriate. Tree-based models generally do not require standardisation.</w:t>
      </w:r>
    </w:p>
    <w:p>
      <w:pPr>
        <w:pStyle w:val="ListBullet"/>
        <w:spacing w:after="40"/>
      </w:pPr>
      <w:r>
        <w:t>Keep the test set untouched until final model selection and report the split details in the final version.</w:t>
      </w:r>
    </w:p>
    <w:p>
      <w:pPr>
        <w:pStyle w:val="Heading2"/>
      </w:pPr>
      <w:r>
        <w:t>3.5 Exploratory Data Analysis</w:t>
      </w:r>
    </w:p>
    <w:p>
      <w:r>
        <w:rPr>
          <w:i w:val="0"/>
        </w:rPr>
        <w:t>The EDA stage should include (i) a bar chart of crop-class counts to confirm balance, (ii) histograms or density plots for all seven numeric features, (iii) box plots to inspect ranges and potential outliers, (iv) a correlation heatmap for numeric inputs, and (v) scatter plots or pair plots for selected feature pairs coloured by crop label. EDA should be performed before modelling, while any decisions that learn parameters from the data must be based on the training partition only. Since the dataset is reported as balanced, accuracy can be informative, but class-wise metrics remain useful.</w:t>
      </w:r>
    </w:p>
    <w:p>
      <w:pPr>
        <w:pStyle w:val="Heading2"/>
      </w:pPr>
      <w:r>
        <w:t>3.6 Feature Engineering and Feature Selection</w:t>
      </w:r>
    </w:p>
    <w:p>
      <w:r>
        <w:rPr>
          <w:i w:val="0"/>
        </w:rPr>
        <w:t>The initial model will use the seven supplied features without adding unsupported assumptions. Feature importance from a tree-based model and SHAP explanations can be used to study which inputs are influential, but importance is not proof of causation. Any feature removal or derived feature should be justified, evaluated on validation data, and documented. Feature selection must not use test-set outcomes.</w:t>
      </w:r>
    </w:p>
    <w:p>
      <w:pPr>
        <w:pStyle w:val="Heading2"/>
      </w:pPr>
      <w:r>
        <w:t>3.7 Model Building and Training</w:t>
      </w:r>
    </w:p>
    <w:p>
      <w:r>
        <w:rPr>
          <w:i w:val="0"/>
        </w:rPr>
        <w:t>The baseline comparison should include a Decision Tree, Random Forest, Support Vector Machine, K-Nearest Neighbors, and Gradient Boosting classifier. A Gaussian Naive Bayes or Logistic Regression model may be added as a simple reference. All models must use the same training/test partitions and comparable evaluation procedures. For the proposed hybrid, candidate models can be combined using soft voting when class probabilities are available and appropriately calibrated, or hard voting when only class labels are combined. The final ensemble should be retained only if validation results justify its additional complexity.</w:t>
      </w:r>
    </w:p>
    <w:p>
      <w:r>
        <w:rPr>
          <w:i w:val="0"/>
        </w:rPr>
        <w:t>For tree-based models, relevant parameters include number of trees, maximum depth, minimum samples per split/leaf, and feature-sampling strategy. For SVM, kernel and regularisation parameter can be tuned; for KNN, neighbour count and distance metric can be tuned. A stratified cross-validation procedure on the training data can be used to select parameters. The exact chosen models, parameter values, random seeds, and library versions must be reported after implementation.</w:t>
      </w:r>
    </w:p>
    <w:p>
      <w:pPr>
        <w:pStyle w:val="Heading2"/>
      </w:pPr>
      <w:r>
        <w:t>3.8 Hyperparameter Tuning</w:t>
      </w:r>
    </w:p>
    <w:p>
      <w:r>
        <w:rPr>
          <w:i w:val="0"/>
        </w:rPr>
        <w:t>GridSearchCV or RandomizedSearchCV with stratified cross-validation can be used to search a documented parameter space. Macro-F1 or balanced accuracy is a reasonable selection metric alongside accuracy because it gives visibility to per-class performance. The held-out test set must not be used to select hyperparameters. If no tuning has yet been performed, the final report should state that tuning is planned rather than claiming it is complete.</w:t>
      </w:r>
    </w:p>
    <w:p>
      <w:pPr>
        <w:pStyle w:val="Heading2"/>
      </w:pPr>
      <w:r>
        <w:t>3.9 Model Evaluation</w:t>
      </w:r>
    </w:p>
    <w:p>
      <w:pPr>
        <w:pStyle w:val="ListBullet"/>
        <w:spacing w:after="40"/>
      </w:pPr>
      <w:r>
        <w:t>Accuracy: proportion of all test examples classified correctly.</w:t>
      </w:r>
    </w:p>
    <w:p>
      <w:pPr>
        <w:pStyle w:val="ListBullet"/>
        <w:spacing w:after="40"/>
      </w:pPr>
      <w:r>
        <w:t>Precision: proportion of predicted examples for a class that are correct; report macro and weighted averages.</w:t>
      </w:r>
    </w:p>
    <w:p>
      <w:pPr>
        <w:pStyle w:val="ListBullet"/>
        <w:spacing w:after="40"/>
      </w:pPr>
      <w:r>
        <w:t>Recall: proportion of actual examples for a class recovered by the model; report macro and weighted averages.</w:t>
      </w:r>
    </w:p>
    <w:p>
      <w:pPr>
        <w:pStyle w:val="ListBullet"/>
        <w:spacing w:after="40"/>
      </w:pPr>
      <w:r>
        <w:t>F1-score: harmonic mean of precision and recall; macro-F1 is useful for class-wise comparison.</w:t>
      </w:r>
    </w:p>
    <w:p>
      <w:pPr>
        <w:pStyle w:val="ListBullet"/>
        <w:spacing w:after="40"/>
      </w:pPr>
      <w:r>
        <w:t>Confusion matrix: identifies which crop classes are confused with one another.</w:t>
      </w:r>
    </w:p>
    <w:p>
      <w:pPr>
        <w:pStyle w:val="ListBullet"/>
        <w:spacing w:after="40"/>
      </w:pPr>
      <w:r>
        <w:t>ROC-AUC: optional for multiclass classification; if reported, specify one-vs-rest or one-vs-one and the averaging method.</w:t>
      </w:r>
    </w:p>
    <w:p>
      <w:pPr>
        <w:pStyle w:val="Heading1"/>
      </w:pPr>
      <w:r>
        <w:t>4. Results and Discussion</w:t>
      </w:r>
    </w:p>
    <w:p>
      <w:pPr>
        <w:pStyle w:val="Heading2"/>
      </w:pPr>
      <w:r>
        <w:t>4.1 Preprocessing Results</w:t>
      </w:r>
    </w:p>
    <w:p>
      <w:r>
        <w:rPr>
          <w:i w:val="0"/>
        </w:rPr>
        <w:t>The project presentation reports 2,200 records, seven input features, 22 crop classes, 100 samples per class, numeric input features, and no missing values. These are the dataset facts currently available from the supplied presentation; they should be verified against the actual downloaded file. Duplicate counts, post-cleaning dimensions, train/test counts, and any scaling results are not included in the presentation and should be added after running the preprocessing pipeline.</w:t>
      </w:r>
    </w:p>
    <w:tbl>
      <w:tblPr>
        <w:tblStyle w:val="TableGrid"/>
        <w:tblW w:type="auto" w:w="0"/>
        <w:jc w:val="center"/>
        <w:tblLook w:firstColumn="1" w:firstRow="1" w:lastColumn="0" w:lastRow="0" w:noHBand="0" w:noVBand="1" w:val="04A0"/>
      </w:tblPr>
      <w:tblGrid>
        <w:gridCol w:w="3389"/>
        <w:gridCol w:w="3389"/>
        <w:gridCol w:w="3389"/>
      </w:tblGrid>
      <w:tr>
        <w:tc>
          <w:tcPr>
            <w:tcW w:type="dxa" w:w="2304"/>
            <w:vAlign w:val="center"/>
            <w:shd w:fill="243B64"/>
          </w:tcPr>
          <w:p>
            <w:pPr>
              <w:spacing w:after="20" w:line="240" w:lineRule="auto"/>
            </w:pPr>
            <w:r/>
            <w:r>
              <w:rPr>
                <w:rFonts w:ascii="Times New Roman" w:hAnsi="Times New Roman"/>
                <w:b/>
                <w:color w:val="FFFFFF"/>
                <w:sz w:val="16"/>
              </w:rPr>
              <w:t>Item</w:t>
            </w:r>
          </w:p>
        </w:tc>
        <w:tc>
          <w:tcPr>
            <w:tcW w:type="dxa" w:w="4032"/>
            <w:vAlign w:val="center"/>
            <w:shd w:fill="243B64"/>
          </w:tcPr>
          <w:p>
            <w:pPr>
              <w:spacing w:after="20" w:line="240" w:lineRule="auto"/>
            </w:pPr>
            <w:r/>
            <w:r>
              <w:rPr>
                <w:rFonts w:ascii="Times New Roman" w:hAnsi="Times New Roman"/>
                <w:b/>
                <w:color w:val="FFFFFF"/>
                <w:sz w:val="16"/>
              </w:rPr>
              <w:t>Reported / planned status</w:t>
            </w:r>
          </w:p>
        </w:tc>
        <w:tc>
          <w:tcPr>
            <w:tcW w:type="dxa" w:w="4464"/>
            <w:vAlign w:val="center"/>
            <w:shd w:fill="243B64"/>
          </w:tcPr>
          <w:p>
            <w:pPr>
              <w:spacing w:after="20" w:line="240" w:lineRule="auto"/>
            </w:pPr>
            <w:r/>
            <w:r>
              <w:rPr>
                <w:rFonts w:ascii="Times New Roman" w:hAnsi="Times New Roman"/>
                <w:b/>
                <w:color w:val="FFFFFF"/>
                <w:sz w:val="16"/>
              </w:rPr>
              <w:t>Final value to record</w:t>
            </w:r>
          </w:p>
        </w:tc>
      </w:tr>
      <w:tr>
        <w:tc>
          <w:tcPr>
            <w:tcW w:type="dxa" w:w="2304"/>
            <w:vAlign w:val="center"/>
          </w:tcPr>
          <w:p>
            <w:pPr>
              <w:spacing w:after="20" w:line="240" w:lineRule="auto"/>
            </w:pPr>
            <w:r/>
            <w:r>
              <w:rPr>
                <w:rFonts w:ascii="Times New Roman" w:hAnsi="Times New Roman"/>
                <w:b w:val="0"/>
                <w:sz w:val="16"/>
              </w:rPr>
              <w:t>Dataset records</w:t>
            </w:r>
          </w:p>
        </w:tc>
        <w:tc>
          <w:tcPr>
            <w:tcW w:type="dxa" w:w="4032"/>
            <w:vAlign w:val="center"/>
          </w:tcPr>
          <w:p>
            <w:pPr>
              <w:spacing w:after="20" w:line="240" w:lineRule="auto"/>
            </w:pPr>
            <w:r/>
            <w:r>
              <w:rPr>
                <w:rFonts w:ascii="Times New Roman" w:hAnsi="Times New Roman"/>
                <w:b w:val="0"/>
                <w:sz w:val="16"/>
              </w:rPr>
              <w:t>2,200 reported</w:t>
            </w:r>
          </w:p>
        </w:tc>
        <w:tc>
          <w:tcPr>
            <w:tcW w:type="dxa" w:w="4464"/>
            <w:vAlign w:val="center"/>
          </w:tcPr>
          <w:p>
            <w:pPr>
              <w:spacing w:after="20" w:line="240" w:lineRule="auto"/>
            </w:pPr>
            <w:r/>
            <w:r>
              <w:rPr>
                <w:rFonts w:ascii="Times New Roman" w:hAnsi="Times New Roman"/>
                <w:b w:val="0"/>
                <w:sz w:val="16"/>
              </w:rPr>
              <w:t>Confirm from loaded file</w:t>
            </w:r>
          </w:p>
        </w:tc>
      </w:tr>
      <w:tr>
        <w:tc>
          <w:tcPr>
            <w:tcW w:type="dxa" w:w="2304"/>
            <w:vAlign w:val="center"/>
            <w:shd w:fill="EEF3F8"/>
          </w:tcPr>
          <w:p>
            <w:pPr>
              <w:spacing w:after="20" w:line="240" w:lineRule="auto"/>
            </w:pPr>
            <w:r/>
            <w:r>
              <w:rPr>
                <w:rFonts w:ascii="Times New Roman" w:hAnsi="Times New Roman"/>
                <w:b w:val="0"/>
                <w:sz w:val="16"/>
              </w:rPr>
              <w:t>Input features</w:t>
            </w:r>
          </w:p>
        </w:tc>
        <w:tc>
          <w:tcPr>
            <w:tcW w:type="dxa" w:w="4032"/>
            <w:vAlign w:val="center"/>
            <w:shd w:fill="EEF3F8"/>
          </w:tcPr>
          <w:p>
            <w:pPr>
              <w:spacing w:after="20" w:line="240" w:lineRule="auto"/>
            </w:pPr>
            <w:r/>
            <w:r>
              <w:rPr>
                <w:rFonts w:ascii="Times New Roman" w:hAnsi="Times New Roman"/>
                <w:b w:val="0"/>
                <w:sz w:val="16"/>
              </w:rPr>
              <w:t>7 reported</w:t>
            </w:r>
          </w:p>
        </w:tc>
        <w:tc>
          <w:tcPr>
            <w:tcW w:type="dxa" w:w="4464"/>
            <w:vAlign w:val="center"/>
            <w:shd w:fill="EEF3F8"/>
          </w:tcPr>
          <w:p>
            <w:pPr>
              <w:spacing w:after="20" w:line="240" w:lineRule="auto"/>
            </w:pPr>
            <w:r/>
            <w:r>
              <w:rPr>
                <w:rFonts w:ascii="Times New Roman" w:hAnsi="Times New Roman"/>
                <w:b w:val="0"/>
                <w:sz w:val="16"/>
              </w:rPr>
              <w:t>7 if schema is confirmed</w:t>
            </w:r>
          </w:p>
        </w:tc>
      </w:tr>
      <w:tr>
        <w:tc>
          <w:tcPr>
            <w:tcW w:type="dxa" w:w="2304"/>
            <w:vAlign w:val="center"/>
          </w:tcPr>
          <w:p>
            <w:pPr>
              <w:spacing w:after="20" w:line="240" w:lineRule="auto"/>
            </w:pPr>
            <w:r/>
            <w:r>
              <w:rPr>
                <w:rFonts w:ascii="Times New Roman" w:hAnsi="Times New Roman"/>
                <w:b w:val="0"/>
                <w:sz w:val="16"/>
              </w:rPr>
              <w:t>Crop classes</w:t>
            </w:r>
          </w:p>
        </w:tc>
        <w:tc>
          <w:tcPr>
            <w:tcW w:type="dxa" w:w="4032"/>
            <w:vAlign w:val="center"/>
          </w:tcPr>
          <w:p>
            <w:pPr>
              <w:spacing w:after="20" w:line="240" w:lineRule="auto"/>
            </w:pPr>
            <w:r/>
            <w:r>
              <w:rPr>
                <w:rFonts w:ascii="Times New Roman" w:hAnsi="Times New Roman"/>
                <w:b w:val="0"/>
                <w:sz w:val="16"/>
              </w:rPr>
              <w:t>22 reported</w:t>
            </w:r>
          </w:p>
        </w:tc>
        <w:tc>
          <w:tcPr>
            <w:tcW w:type="dxa" w:w="4464"/>
            <w:vAlign w:val="center"/>
          </w:tcPr>
          <w:p>
            <w:pPr>
              <w:spacing w:after="20" w:line="240" w:lineRule="auto"/>
            </w:pPr>
            <w:r/>
            <w:r>
              <w:rPr>
                <w:rFonts w:ascii="Times New Roman" w:hAnsi="Times New Roman"/>
                <w:b w:val="0"/>
                <w:sz w:val="16"/>
              </w:rPr>
              <w:t>Confirm unique target labels</w:t>
            </w:r>
          </w:p>
        </w:tc>
      </w:tr>
      <w:tr>
        <w:tc>
          <w:tcPr>
            <w:tcW w:type="dxa" w:w="2304"/>
            <w:vAlign w:val="center"/>
            <w:shd w:fill="EEF3F8"/>
          </w:tcPr>
          <w:p>
            <w:pPr>
              <w:spacing w:after="20" w:line="240" w:lineRule="auto"/>
            </w:pPr>
            <w:r/>
            <w:r>
              <w:rPr>
                <w:rFonts w:ascii="Times New Roman" w:hAnsi="Times New Roman"/>
                <w:b w:val="0"/>
                <w:sz w:val="16"/>
              </w:rPr>
              <w:t>Samples per class</w:t>
            </w:r>
          </w:p>
        </w:tc>
        <w:tc>
          <w:tcPr>
            <w:tcW w:type="dxa" w:w="4032"/>
            <w:vAlign w:val="center"/>
            <w:shd w:fill="EEF3F8"/>
          </w:tcPr>
          <w:p>
            <w:pPr>
              <w:spacing w:after="20" w:line="240" w:lineRule="auto"/>
            </w:pPr>
            <w:r/>
            <w:r>
              <w:rPr>
                <w:rFonts w:ascii="Times New Roman" w:hAnsi="Times New Roman"/>
                <w:b w:val="0"/>
                <w:sz w:val="16"/>
              </w:rPr>
              <w:t>100 reported per class</w:t>
            </w:r>
          </w:p>
        </w:tc>
        <w:tc>
          <w:tcPr>
            <w:tcW w:type="dxa" w:w="4464"/>
            <w:vAlign w:val="center"/>
            <w:shd w:fill="EEF3F8"/>
          </w:tcPr>
          <w:p>
            <w:pPr>
              <w:spacing w:after="20" w:line="240" w:lineRule="auto"/>
            </w:pPr>
            <w:r/>
            <w:r>
              <w:rPr>
                <w:rFonts w:ascii="Times New Roman" w:hAnsi="Times New Roman"/>
                <w:b w:val="0"/>
                <w:sz w:val="16"/>
              </w:rPr>
              <w:t>Verify with class-count table</w:t>
            </w:r>
          </w:p>
        </w:tc>
      </w:tr>
      <w:tr>
        <w:tc>
          <w:tcPr>
            <w:tcW w:type="dxa" w:w="2304"/>
            <w:vAlign w:val="center"/>
          </w:tcPr>
          <w:p>
            <w:pPr>
              <w:spacing w:after="20" w:line="240" w:lineRule="auto"/>
            </w:pPr>
            <w:r/>
            <w:r>
              <w:rPr>
                <w:rFonts w:ascii="Times New Roman" w:hAnsi="Times New Roman"/>
                <w:b w:val="0"/>
                <w:sz w:val="16"/>
              </w:rPr>
              <w:t>Missing values</w:t>
            </w:r>
          </w:p>
        </w:tc>
        <w:tc>
          <w:tcPr>
            <w:tcW w:type="dxa" w:w="4032"/>
            <w:vAlign w:val="center"/>
          </w:tcPr>
          <w:p>
            <w:pPr>
              <w:spacing w:after="20" w:line="240" w:lineRule="auto"/>
            </w:pPr>
            <w:r/>
            <w:r>
              <w:rPr>
                <w:rFonts w:ascii="Times New Roman" w:hAnsi="Times New Roman"/>
                <w:b w:val="0"/>
                <w:sz w:val="16"/>
              </w:rPr>
              <w:t>None reported</w:t>
            </w:r>
          </w:p>
        </w:tc>
        <w:tc>
          <w:tcPr>
            <w:tcW w:type="dxa" w:w="4464"/>
            <w:vAlign w:val="center"/>
          </w:tcPr>
          <w:p>
            <w:pPr>
              <w:spacing w:after="20" w:line="240" w:lineRule="auto"/>
            </w:pPr>
            <w:r/>
            <w:r>
              <w:rPr>
                <w:rFonts w:ascii="Times New Roman" w:hAnsi="Times New Roman"/>
                <w:b w:val="0"/>
                <w:sz w:val="16"/>
              </w:rPr>
              <w:t>Run isna().sum()</w:t>
            </w:r>
          </w:p>
        </w:tc>
      </w:tr>
      <w:tr>
        <w:tc>
          <w:tcPr>
            <w:tcW w:type="dxa" w:w="2304"/>
            <w:vAlign w:val="center"/>
            <w:shd w:fill="EEF3F8"/>
          </w:tcPr>
          <w:p>
            <w:pPr>
              <w:spacing w:after="20" w:line="240" w:lineRule="auto"/>
            </w:pPr>
            <w:r/>
            <w:r>
              <w:rPr>
                <w:rFonts w:ascii="Times New Roman" w:hAnsi="Times New Roman"/>
                <w:b w:val="0"/>
                <w:sz w:val="16"/>
              </w:rPr>
              <w:t>Duplicates</w:t>
            </w:r>
          </w:p>
        </w:tc>
        <w:tc>
          <w:tcPr>
            <w:tcW w:type="dxa" w:w="4032"/>
            <w:vAlign w:val="center"/>
            <w:shd w:fill="EEF3F8"/>
          </w:tcPr>
          <w:p>
            <w:pPr>
              <w:spacing w:after="20" w:line="240" w:lineRule="auto"/>
            </w:pPr>
            <w:r/>
            <w:r>
              <w:rPr>
                <w:rFonts w:ascii="Times New Roman" w:hAnsi="Times New Roman"/>
                <w:b w:val="0"/>
                <w:sz w:val="16"/>
              </w:rPr>
              <w:t>Not stated</w:t>
            </w:r>
          </w:p>
        </w:tc>
        <w:tc>
          <w:tcPr>
            <w:tcW w:type="dxa" w:w="4464"/>
            <w:vAlign w:val="center"/>
            <w:shd w:fill="EEF3F8"/>
          </w:tcPr>
          <w:p>
            <w:pPr>
              <w:spacing w:after="20" w:line="240" w:lineRule="auto"/>
            </w:pPr>
            <w:r/>
            <w:r>
              <w:rPr>
                <w:rFonts w:ascii="Times New Roman" w:hAnsi="Times New Roman"/>
                <w:b w:val="0"/>
                <w:sz w:val="16"/>
              </w:rPr>
              <w:t>Run duplicated().sum()</w:t>
            </w:r>
          </w:p>
        </w:tc>
      </w:tr>
      <w:tr>
        <w:tc>
          <w:tcPr>
            <w:tcW w:type="dxa" w:w="2304"/>
            <w:vAlign w:val="center"/>
          </w:tcPr>
          <w:p>
            <w:pPr>
              <w:spacing w:after="20" w:line="240" w:lineRule="auto"/>
            </w:pPr>
            <w:r/>
            <w:r>
              <w:rPr>
                <w:rFonts w:ascii="Times New Roman" w:hAnsi="Times New Roman"/>
                <w:b w:val="0"/>
                <w:sz w:val="16"/>
              </w:rPr>
              <w:t>Train/test split</w:t>
            </w:r>
          </w:p>
        </w:tc>
        <w:tc>
          <w:tcPr>
            <w:tcW w:type="dxa" w:w="4032"/>
            <w:vAlign w:val="center"/>
          </w:tcPr>
          <w:p>
            <w:pPr>
              <w:spacing w:after="20" w:line="240" w:lineRule="auto"/>
            </w:pPr>
            <w:r/>
            <w:r>
              <w:rPr>
                <w:rFonts w:ascii="Times New Roman" w:hAnsi="Times New Roman"/>
                <w:b w:val="0"/>
                <w:sz w:val="16"/>
              </w:rPr>
              <w:t>Split is mentioned; ratio not stated</w:t>
            </w:r>
          </w:p>
        </w:tc>
        <w:tc>
          <w:tcPr>
            <w:tcW w:type="dxa" w:w="4464"/>
            <w:vAlign w:val="center"/>
          </w:tcPr>
          <w:p>
            <w:pPr>
              <w:spacing w:after="20" w:line="240" w:lineRule="auto"/>
            </w:pPr>
            <w:r/>
            <w:r>
              <w:rPr>
                <w:rFonts w:ascii="Times New Roman" w:hAnsi="Times New Roman"/>
                <w:b w:val="0"/>
                <w:sz w:val="16"/>
              </w:rPr>
              <w:t>Record actual split and random seed</w:t>
            </w:r>
          </w:p>
        </w:tc>
      </w:tr>
    </w:tbl>
    <w:p/>
    <w:p>
      <w:pPr>
        <w:pStyle w:val="Heading2"/>
      </w:pPr>
      <w:r>
        <w:t>4.2 Model Performance</w:t>
      </w:r>
    </w:p>
    <w:p>
      <w:r>
        <w:rPr>
          <w:i w:val="0"/>
        </w:rPr>
        <w:t>No experimental model metrics were supplied in the project presentation. To avoid reporting fabricated results, the table below is intentionally left as a results-entry template. Fill it only after evaluating the trained models on the held-out test set. If results from a published paper are added for comparison, clearly label them as literature results and note that differences in dataset split, preprocessing, and evaluation protocol may make direct comparison imperfect.</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c>
          <w:tcPr>
            <w:tcW w:type="dxa" w:w="2592"/>
            <w:vAlign w:val="center"/>
            <w:shd w:fill="243B64"/>
          </w:tcPr>
          <w:p>
            <w:pPr>
              <w:spacing w:after="20" w:line="240" w:lineRule="auto"/>
            </w:pPr>
            <w:r/>
            <w:r>
              <w:rPr>
                <w:rFonts w:ascii="Times New Roman" w:hAnsi="Times New Roman"/>
                <w:b/>
                <w:color w:val="FFFFFF"/>
                <w:sz w:val="16"/>
              </w:rPr>
              <w:t>Model</w:t>
            </w:r>
          </w:p>
        </w:tc>
        <w:tc>
          <w:tcPr>
            <w:tcW w:type="dxa" w:w="1440"/>
            <w:vAlign w:val="center"/>
            <w:shd w:fill="243B64"/>
          </w:tcPr>
          <w:p>
            <w:pPr>
              <w:spacing w:after="20" w:line="240" w:lineRule="auto"/>
            </w:pPr>
            <w:r/>
            <w:r>
              <w:rPr>
                <w:rFonts w:ascii="Times New Roman" w:hAnsi="Times New Roman"/>
                <w:b/>
                <w:color w:val="FFFFFF"/>
                <w:sz w:val="16"/>
              </w:rPr>
              <w:t>Accuracy</w:t>
            </w:r>
          </w:p>
        </w:tc>
        <w:tc>
          <w:tcPr>
            <w:tcW w:type="dxa" w:w="1512"/>
            <w:vAlign w:val="center"/>
            <w:shd w:fill="243B64"/>
          </w:tcPr>
          <w:p>
            <w:pPr>
              <w:spacing w:after="20" w:line="240" w:lineRule="auto"/>
            </w:pPr>
            <w:r/>
            <w:r>
              <w:rPr>
                <w:rFonts w:ascii="Times New Roman" w:hAnsi="Times New Roman"/>
                <w:b/>
                <w:color w:val="FFFFFF"/>
                <w:sz w:val="16"/>
              </w:rPr>
              <w:t>Macro Precision</w:t>
            </w:r>
          </w:p>
        </w:tc>
        <w:tc>
          <w:tcPr>
            <w:tcW w:type="dxa" w:w="1440"/>
            <w:vAlign w:val="center"/>
            <w:shd w:fill="243B64"/>
          </w:tcPr>
          <w:p>
            <w:pPr>
              <w:spacing w:after="20" w:line="240" w:lineRule="auto"/>
            </w:pPr>
            <w:r/>
            <w:r>
              <w:rPr>
                <w:rFonts w:ascii="Times New Roman" w:hAnsi="Times New Roman"/>
                <w:b/>
                <w:color w:val="FFFFFF"/>
                <w:sz w:val="16"/>
              </w:rPr>
              <w:t>Macro Recall</w:t>
            </w:r>
          </w:p>
        </w:tc>
        <w:tc>
          <w:tcPr>
            <w:tcW w:type="dxa" w:w="1440"/>
            <w:vAlign w:val="center"/>
            <w:shd w:fill="243B64"/>
          </w:tcPr>
          <w:p>
            <w:pPr>
              <w:spacing w:after="20" w:line="240" w:lineRule="auto"/>
            </w:pPr>
            <w:r/>
            <w:r>
              <w:rPr>
                <w:rFonts w:ascii="Times New Roman" w:hAnsi="Times New Roman"/>
                <w:b/>
                <w:color w:val="FFFFFF"/>
                <w:sz w:val="16"/>
              </w:rPr>
              <w:t>Macro F1</w:t>
            </w:r>
          </w:p>
        </w:tc>
        <w:tc>
          <w:tcPr>
            <w:tcW w:type="dxa" w:w="2304"/>
            <w:vAlign w:val="center"/>
            <w:shd w:fill="243B64"/>
          </w:tcPr>
          <w:p>
            <w:pPr>
              <w:spacing w:after="20" w:line="240" w:lineRule="auto"/>
            </w:pPr>
            <w:r/>
            <w:r>
              <w:rPr>
                <w:rFonts w:ascii="Times New Roman" w:hAnsi="Times New Roman"/>
                <w:b/>
                <w:color w:val="FFFFFF"/>
                <w:sz w:val="16"/>
              </w:rPr>
              <w:t>Multiclass ROC-AUC (if used)</w:t>
            </w:r>
          </w:p>
        </w:tc>
      </w:tr>
      <w:tr>
        <w:tc>
          <w:tcPr>
            <w:tcW w:type="dxa" w:w="2592"/>
            <w:vAlign w:val="center"/>
          </w:tcPr>
          <w:p>
            <w:pPr>
              <w:spacing w:after="20" w:line="240" w:lineRule="auto"/>
            </w:pPr>
            <w:r/>
            <w:r>
              <w:rPr>
                <w:rFonts w:ascii="Times New Roman" w:hAnsi="Times New Roman"/>
                <w:b w:val="0"/>
                <w:sz w:val="16"/>
              </w:rPr>
              <w:t>Decision Tree</w:t>
            </w:r>
          </w:p>
        </w:tc>
        <w:tc>
          <w:tcPr>
            <w:tcW w:type="dxa" w:w="1440"/>
            <w:vAlign w:val="center"/>
          </w:tcPr>
          <w:p>
            <w:pPr>
              <w:spacing w:after="20" w:line="240" w:lineRule="auto"/>
            </w:pPr>
            <w:r/>
            <w:r>
              <w:rPr>
                <w:rFonts w:ascii="Times New Roman" w:hAnsi="Times New Roman"/>
                <w:b w:val="0"/>
                <w:sz w:val="16"/>
              </w:rPr>
              <w:t>Pending</w:t>
            </w:r>
          </w:p>
        </w:tc>
        <w:tc>
          <w:tcPr>
            <w:tcW w:type="dxa" w:w="1512"/>
            <w:vAlign w:val="center"/>
          </w:tcPr>
          <w:p>
            <w:pPr>
              <w:spacing w:after="20" w:line="240" w:lineRule="auto"/>
            </w:pPr>
            <w:r/>
            <w:r>
              <w:rPr>
                <w:rFonts w:ascii="Times New Roman" w:hAnsi="Times New Roman"/>
                <w:b w:val="0"/>
                <w:sz w:val="16"/>
              </w:rPr>
              <w:t>Pending</w:t>
            </w:r>
          </w:p>
        </w:tc>
        <w:tc>
          <w:tcPr>
            <w:tcW w:type="dxa" w:w="1440"/>
            <w:vAlign w:val="center"/>
          </w:tcPr>
          <w:p>
            <w:pPr>
              <w:spacing w:after="20" w:line="240" w:lineRule="auto"/>
            </w:pPr>
            <w:r/>
            <w:r>
              <w:rPr>
                <w:rFonts w:ascii="Times New Roman" w:hAnsi="Times New Roman"/>
                <w:b w:val="0"/>
                <w:sz w:val="16"/>
              </w:rPr>
              <w:t>Pending</w:t>
            </w:r>
          </w:p>
        </w:tc>
        <w:tc>
          <w:tcPr>
            <w:tcW w:type="dxa" w:w="1440"/>
            <w:vAlign w:val="center"/>
          </w:tcPr>
          <w:p>
            <w:pPr>
              <w:spacing w:after="20" w:line="240" w:lineRule="auto"/>
            </w:pPr>
            <w:r/>
            <w:r>
              <w:rPr>
                <w:rFonts w:ascii="Times New Roman" w:hAnsi="Times New Roman"/>
                <w:b w:val="0"/>
                <w:sz w:val="16"/>
              </w:rPr>
              <w:t>Pending</w:t>
            </w:r>
          </w:p>
        </w:tc>
        <w:tc>
          <w:tcPr>
            <w:tcW w:type="dxa" w:w="2304"/>
            <w:vAlign w:val="center"/>
          </w:tcPr>
          <w:p>
            <w:pPr>
              <w:spacing w:after="20" w:line="240" w:lineRule="auto"/>
            </w:pPr>
            <w:r/>
            <w:r>
              <w:rPr>
                <w:rFonts w:ascii="Times New Roman" w:hAnsi="Times New Roman"/>
                <w:b w:val="0"/>
                <w:sz w:val="16"/>
              </w:rPr>
              <w:t>Pending</w:t>
            </w:r>
          </w:p>
        </w:tc>
      </w:tr>
      <w:tr>
        <w:tc>
          <w:tcPr>
            <w:tcW w:type="dxa" w:w="2592"/>
            <w:vAlign w:val="center"/>
            <w:shd w:fill="EEF3F8"/>
          </w:tcPr>
          <w:p>
            <w:pPr>
              <w:spacing w:after="20" w:line="240" w:lineRule="auto"/>
            </w:pPr>
            <w:r/>
            <w:r>
              <w:rPr>
                <w:rFonts w:ascii="Times New Roman" w:hAnsi="Times New Roman"/>
                <w:b w:val="0"/>
                <w:sz w:val="16"/>
              </w:rPr>
              <w:t>Random Forest</w:t>
            </w:r>
          </w:p>
        </w:tc>
        <w:tc>
          <w:tcPr>
            <w:tcW w:type="dxa" w:w="1440"/>
            <w:vAlign w:val="center"/>
            <w:shd w:fill="EEF3F8"/>
          </w:tcPr>
          <w:p>
            <w:pPr>
              <w:spacing w:after="20" w:line="240" w:lineRule="auto"/>
            </w:pPr>
            <w:r/>
            <w:r>
              <w:rPr>
                <w:rFonts w:ascii="Times New Roman" w:hAnsi="Times New Roman"/>
                <w:b w:val="0"/>
                <w:sz w:val="16"/>
              </w:rPr>
              <w:t>Pending</w:t>
            </w:r>
          </w:p>
        </w:tc>
        <w:tc>
          <w:tcPr>
            <w:tcW w:type="dxa" w:w="1512"/>
            <w:vAlign w:val="center"/>
            <w:shd w:fill="EEF3F8"/>
          </w:tcPr>
          <w:p>
            <w:pPr>
              <w:spacing w:after="20" w:line="240" w:lineRule="auto"/>
            </w:pPr>
            <w:r/>
            <w:r>
              <w:rPr>
                <w:rFonts w:ascii="Times New Roman" w:hAnsi="Times New Roman"/>
                <w:b w:val="0"/>
                <w:sz w:val="16"/>
              </w:rPr>
              <w:t>Pending</w:t>
            </w:r>
          </w:p>
        </w:tc>
        <w:tc>
          <w:tcPr>
            <w:tcW w:type="dxa" w:w="1440"/>
            <w:vAlign w:val="center"/>
            <w:shd w:fill="EEF3F8"/>
          </w:tcPr>
          <w:p>
            <w:pPr>
              <w:spacing w:after="20" w:line="240" w:lineRule="auto"/>
            </w:pPr>
            <w:r/>
            <w:r>
              <w:rPr>
                <w:rFonts w:ascii="Times New Roman" w:hAnsi="Times New Roman"/>
                <w:b w:val="0"/>
                <w:sz w:val="16"/>
              </w:rPr>
              <w:t>Pending</w:t>
            </w:r>
          </w:p>
        </w:tc>
        <w:tc>
          <w:tcPr>
            <w:tcW w:type="dxa" w:w="1440"/>
            <w:vAlign w:val="center"/>
            <w:shd w:fill="EEF3F8"/>
          </w:tcPr>
          <w:p>
            <w:pPr>
              <w:spacing w:after="20" w:line="240" w:lineRule="auto"/>
            </w:pPr>
            <w:r/>
            <w:r>
              <w:rPr>
                <w:rFonts w:ascii="Times New Roman" w:hAnsi="Times New Roman"/>
                <w:b w:val="0"/>
                <w:sz w:val="16"/>
              </w:rPr>
              <w:t>Pending</w:t>
            </w:r>
          </w:p>
        </w:tc>
        <w:tc>
          <w:tcPr>
            <w:tcW w:type="dxa" w:w="2304"/>
            <w:vAlign w:val="center"/>
            <w:shd w:fill="EEF3F8"/>
          </w:tcPr>
          <w:p>
            <w:pPr>
              <w:spacing w:after="20" w:line="240" w:lineRule="auto"/>
            </w:pPr>
            <w:r/>
            <w:r>
              <w:rPr>
                <w:rFonts w:ascii="Times New Roman" w:hAnsi="Times New Roman"/>
                <w:b w:val="0"/>
                <w:sz w:val="16"/>
              </w:rPr>
              <w:t>Pending</w:t>
            </w:r>
          </w:p>
        </w:tc>
      </w:tr>
      <w:tr>
        <w:tc>
          <w:tcPr>
            <w:tcW w:type="dxa" w:w="2592"/>
            <w:vAlign w:val="center"/>
          </w:tcPr>
          <w:p>
            <w:pPr>
              <w:spacing w:after="20" w:line="240" w:lineRule="auto"/>
            </w:pPr>
            <w:r/>
            <w:r>
              <w:rPr>
                <w:rFonts w:ascii="Times New Roman" w:hAnsi="Times New Roman"/>
                <w:b w:val="0"/>
                <w:sz w:val="16"/>
              </w:rPr>
              <w:t>SVM</w:t>
            </w:r>
          </w:p>
        </w:tc>
        <w:tc>
          <w:tcPr>
            <w:tcW w:type="dxa" w:w="1440"/>
            <w:vAlign w:val="center"/>
          </w:tcPr>
          <w:p>
            <w:pPr>
              <w:spacing w:after="20" w:line="240" w:lineRule="auto"/>
            </w:pPr>
            <w:r/>
            <w:r>
              <w:rPr>
                <w:rFonts w:ascii="Times New Roman" w:hAnsi="Times New Roman"/>
                <w:b w:val="0"/>
                <w:sz w:val="16"/>
              </w:rPr>
              <w:t>Pending</w:t>
            </w:r>
          </w:p>
        </w:tc>
        <w:tc>
          <w:tcPr>
            <w:tcW w:type="dxa" w:w="1512"/>
            <w:vAlign w:val="center"/>
          </w:tcPr>
          <w:p>
            <w:pPr>
              <w:spacing w:after="20" w:line="240" w:lineRule="auto"/>
            </w:pPr>
            <w:r/>
            <w:r>
              <w:rPr>
                <w:rFonts w:ascii="Times New Roman" w:hAnsi="Times New Roman"/>
                <w:b w:val="0"/>
                <w:sz w:val="16"/>
              </w:rPr>
              <w:t>Pending</w:t>
            </w:r>
          </w:p>
        </w:tc>
        <w:tc>
          <w:tcPr>
            <w:tcW w:type="dxa" w:w="1440"/>
            <w:vAlign w:val="center"/>
          </w:tcPr>
          <w:p>
            <w:pPr>
              <w:spacing w:after="20" w:line="240" w:lineRule="auto"/>
            </w:pPr>
            <w:r/>
            <w:r>
              <w:rPr>
                <w:rFonts w:ascii="Times New Roman" w:hAnsi="Times New Roman"/>
                <w:b w:val="0"/>
                <w:sz w:val="16"/>
              </w:rPr>
              <w:t>Pending</w:t>
            </w:r>
          </w:p>
        </w:tc>
        <w:tc>
          <w:tcPr>
            <w:tcW w:type="dxa" w:w="1440"/>
            <w:vAlign w:val="center"/>
          </w:tcPr>
          <w:p>
            <w:pPr>
              <w:spacing w:after="20" w:line="240" w:lineRule="auto"/>
            </w:pPr>
            <w:r/>
            <w:r>
              <w:rPr>
                <w:rFonts w:ascii="Times New Roman" w:hAnsi="Times New Roman"/>
                <w:b w:val="0"/>
                <w:sz w:val="16"/>
              </w:rPr>
              <w:t>Pending</w:t>
            </w:r>
          </w:p>
        </w:tc>
        <w:tc>
          <w:tcPr>
            <w:tcW w:type="dxa" w:w="2304"/>
            <w:vAlign w:val="center"/>
          </w:tcPr>
          <w:p>
            <w:pPr>
              <w:spacing w:after="20" w:line="240" w:lineRule="auto"/>
            </w:pPr>
            <w:r/>
            <w:r>
              <w:rPr>
                <w:rFonts w:ascii="Times New Roman" w:hAnsi="Times New Roman"/>
                <w:b w:val="0"/>
                <w:sz w:val="16"/>
              </w:rPr>
              <w:t>Pending</w:t>
            </w:r>
          </w:p>
        </w:tc>
      </w:tr>
      <w:tr>
        <w:tc>
          <w:tcPr>
            <w:tcW w:type="dxa" w:w="2592"/>
            <w:vAlign w:val="center"/>
            <w:shd w:fill="EEF3F8"/>
          </w:tcPr>
          <w:p>
            <w:pPr>
              <w:spacing w:after="20" w:line="240" w:lineRule="auto"/>
            </w:pPr>
            <w:r/>
            <w:r>
              <w:rPr>
                <w:rFonts w:ascii="Times New Roman" w:hAnsi="Times New Roman"/>
                <w:b w:val="0"/>
                <w:sz w:val="16"/>
              </w:rPr>
              <w:t>Gradient Boosting</w:t>
            </w:r>
          </w:p>
        </w:tc>
        <w:tc>
          <w:tcPr>
            <w:tcW w:type="dxa" w:w="1440"/>
            <w:vAlign w:val="center"/>
            <w:shd w:fill="EEF3F8"/>
          </w:tcPr>
          <w:p>
            <w:pPr>
              <w:spacing w:after="20" w:line="240" w:lineRule="auto"/>
            </w:pPr>
            <w:r/>
            <w:r>
              <w:rPr>
                <w:rFonts w:ascii="Times New Roman" w:hAnsi="Times New Roman"/>
                <w:b w:val="0"/>
                <w:sz w:val="16"/>
              </w:rPr>
              <w:t>Pending</w:t>
            </w:r>
          </w:p>
        </w:tc>
        <w:tc>
          <w:tcPr>
            <w:tcW w:type="dxa" w:w="1512"/>
            <w:vAlign w:val="center"/>
            <w:shd w:fill="EEF3F8"/>
          </w:tcPr>
          <w:p>
            <w:pPr>
              <w:spacing w:after="20" w:line="240" w:lineRule="auto"/>
            </w:pPr>
            <w:r/>
            <w:r>
              <w:rPr>
                <w:rFonts w:ascii="Times New Roman" w:hAnsi="Times New Roman"/>
                <w:b w:val="0"/>
                <w:sz w:val="16"/>
              </w:rPr>
              <w:t>Pending</w:t>
            </w:r>
          </w:p>
        </w:tc>
        <w:tc>
          <w:tcPr>
            <w:tcW w:type="dxa" w:w="1440"/>
            <w:vAlign w:val="center"/>
            <w:shd w:fill="EEF3F8"/>
          </w:tcPr>
          <w:p>
            <w:pPr>
              <w:spacing w:after="20" w:line="240" w:lineRule="auto"/>
            </w:pPr>
            <w:r/>
            <w:r>
              <w:rPr>
                <w:rFonts w:ascii="Times New Roman" w:hAnsi="Times New Roman"/>
                <w:b w:val="0"/>
                <w:sz w:val="16"/>
              </w:rPr>
              <w:t>Pending</w:t>
            </w:r>
          </w:p>
        </w:tc>
        <w:tc>
          <w:tcPr>
            <w:tcW w:type="dxa" w:w="1440"/>
            <w:vAlign w:val="center"/>
            <w:shd w:fill="EEF3F8"/>
          </w:tcPr>
          <w:p>
            <w:pPr>
              <w:spacing w:after="20" w:line="240" w:lineRule="auto"/>
            </w:pPr>
            <w:r/>
            <w:r>
              <w:rPr>
                <w:rFonts w:ascii="Times New Roman" w:hAnsi="Times New Roman"/>
                <w:b w:val="0"/>
                <w:sz w:val="16"/>
              </w:rPr>
              <w:t>Pending</w:t>
            </w:r>
          </w:p>
        </w:tc>
        <w:tc>
          <w:tcPr>
            <w:tcW w:type="dxa" w:w="2304"/>
            <w:vAlign w:val="center"/>
            <w:shd w:fill="EEF3F8"/>
          </w:tcPr>
          <w:p>
            <w:pPr>
              <w:spacing w:after="20" w:line="240" w:lineRule="auto"/>
            </w:pPr>
            <w:r/>
            <w:r>
              <w:rPr>
                <w:rFonts w:ascii="Times New Roman" w:hAnsi="Times New Roman"/>
                <w:b w:val="0"/>
                <w:sz w:val="16"/>
              </w:rPr>
              <w:t>Pending</w:t>
            </w:r>
          </w:p>
        </w:tc>
      </w:tr>
      <w:tr>
        <w:tc>
          <w:tcPr>
            <w:tcW w:type="dxa" w:w="2592"/>
            <w:vAlign w:val="center"/>
          </w:tcPr>
          <w:p>
            <w:pPr>
              <w:spacing w:after="20" w:line="240" w:lineRule="auto"/>
            </w:pPr>
            <w:r/>
            <w:r>
              <w:rPr>
                <w:rFonts w:ascii="Times New Roman" w:hAnsi="Times New Roman"/>
                <w:b w:val="0"/>
                <w:sz w:val="16"/>
              </w:rPr>
              <w:t>Proposed hybrid ensemble</w:t>
            </w:r>
          </w:p>
        </w:tc>
        <w:tc>
          <w:tcPr>
            <w:tcW w:type="dxa" w:w="1440"/>
            <w:vAlign w:val="center"/>
          </w:tcPr>
          <w:p>
            <w:pPr>
              <w:spacing w:after="20" w:line="240" w:lineRule="auto"/>
            </w:pPr>
            <w:r/>
            <w:r>
              <w:rPr>
                <w:rFonts w:ascii="Times New Roman" w:hAnsi="Times New Roman"/>
                <w:b w:val="0"/>
                <w:sz w:val="16"/>
              </w:rPr>
              <w:t>Pending</w:t>
            </w:r>
          </w:p>
        </w:tc>
        <w:tc>
          <w:tcPr>
            <w:tcW w:type="dxa" w:w="1512"/>
            <w:vAlign w:val="center"/>
          </w:tcPr>
          <w:p>
            <w:pPr>
              <w:spacing w:after="20" w:line="240" w:lineRule="auto"/>
            </w:pPr>
            <w:r/>
            <w:r>
              <w:rPr>
                <w:rFonts w:ascii="Times New Roman" w:hAnsi="Times New Roman"/>
                <w:b w:val="0"/>
                <w:sz w:val="16"/>
              </w:rPr>
              <w:t>Pending</w:t>
            </w:r>
          </w:p>
        </w:tc>
        <w:tc>
          <w:tcPr>
            <w:tcW w:type="dxa" w:w="1440"/>
            <w:vAlign w:val="center"/>
          </w:tcPr>
          <w:p>
            <w:pPr>
              <w:spacing w:after="20" w:line="240" w:lineRule="auto"/>
            </w:pPr>
            <w:r/>
            <w:r>
              <w:rPr>
                <w:rFonts w:ascii="Times New Roman" w:hAnsi="Times New Roman"/>
                <w:b w:val="0"/>
                <w:sz w:val="16"/>
              </w:rPr>
              <w:t>Pending</w:t>
            </w:r>
          </w:p>
        </w:tc>
        <w:tc>
          <w:tcPr>
            <w:tcW w:type="dxa" w:w="1440"/>
            <w:vAlign w:val="center"/>
          </w:tcPr>
          <w:p>
            <w:pPr>
              <w:spacing w:after="20" w:line="240" w:lineRule="auto"/>
            </w:pPr>
            <w:r/>
            <w:r>
              <w:rPr>
                <w:rFonts w:ascii="Times New Roman" w:hAnsi="Times New Roman"/>
                <w:b w:val="0"/>
                <w:sz w:val="16"/>
              </w:rPr>
              <w:t>Pending</w:t>
            </w:r>
          </w:p>
        </w:tc>
        <w:tc>
          <w:tcPr>
            <w:tcW w:type="dxa" w:w="2304"/>
            <w:vAlign w:val="center"/>
          </w:tcPr>
          <w:p>
            <w:pPr>
              <w:spacing w:after="20" w:line="240" w:lineRule="auto"/>
            </w:pPr>
            <w:r/>
            <w:r>
              <w:rPr>
                <w:rFonts w:ascii="Times New Roman" w:hAnsi="Times New Roman"/>
                <w:b w:val="0"/>
                <w:sz w:val="16"/>
              </w:rPr>
              <w:t>Pending</w:t>
            </w:r>
          </w:p>
        </w:tc>
      </w:tr>
    </w:tbl>
    <w:p/>
    <w:p>
      <w:pPr>
        <w:pStyle w:val="Heading2"/>
      </w:pPr>
      <w:r>
        <w:t>4.3 Visual Results and Discussion</w:t>
      </w:r>
    </w:p>
    <w:p>
      <w:r>
        <w:rPr>
          <w:i w:val="0"/>
        </w:rPr>
        <w:t>The final implementation should include a confusion matrix for the selected model, a comparison chart of accuracy and macro-F1 across classifiers, a feature-correlation heatmap, and at least one SHAP summary or LIME explanation. A confusion matrix will reveal which crops are commonly confused. A SHAP summary can show the overall direction and magnitude of feature contributions, while a LIME explanation can describe the factors influencing one individual prediction. Interpret these plots only after generating them from the trained model; no visual result is claimed here because model execution results were not included in the supplied materials.</w:t>
      </w:r>
    </w:p>
    <w:p>
      <w:pPr>
        <w:pStyle w:val="Heading2"/>
      </w:pPr>
      <w:r>
        <w:t>4.4 Limitations and Threats to Validity</w:t>
      </w:r>
    </w:p>
    <w:p>
      <w:pPr>
        <w:pStyle w:val="ListBullet"/>
        <w:spacing w:after="40"/>
      </w:pPr>
      <w:r>
        <w:t>The reported dataset is a small benchmark with 2,200 records; performance may not transfer to unseen regions or seasons.</w:t>
      </w:r>
    </w:p>
    <w:p>
      <w:pPr>
        <w:pStyle w:val="ListBullet"/>
        <w:spacing w:after="40"/>
      </w:pPr>
      <w:r>
        <w:t>The balanced class distribution is useful for comparison but may not reflect real-world crop prevalence.</w:t>
      </w:r>
    </w:p>
    <w:p>
      <w:pPr>
        <w:pStyle w:val="ListBullet"/>
        <w:spacing w:after="40"/>
      </w:pPr>
      <w:r>
        <w:t>The seven inputs do not directly represent all practical factors, such as location, season, soil texture, irrigation, pests, crop rotation, market price, or water availability.</w:t>
      </w:r>
    </w:p>
    <w:p>
      <w:pPr>
        <w:pStyle w:val="ListBullet"/>
        <w:spacing w:after="40"/>
      </w:pPr>
      <w:r>
        <w:t>Explainability methods describe model behaviour, not causal agricultural relationships. Explanations should be reviewed with domain experts.</w:t>
      </w:r>
    </w:p>
    <w:p>
      <w:pPr>
        <w:pStyle w:val="ListBullet"/>
        <w:spacing w:after="40"/>
      </w:pPr>
      <w:r>
        <w:t>Very high test accuracy can be misleading if duplicates, leakage, or a non-independent split are present; the pipeline must be checked carefully.</w:t>
      </w:r>
    </w:p>
    <w:p>
      <w:pPr>
        <w:pStyle w:val="Heading1"/>
      </w:pPr>
      <w:r>
        <w:t>5. Conclusion</w:t>
      </w:r>
    </w:p>
    <w:p>
      <w:r>
        <w:rPr>
          <w:i w:val="0"/>
        </w:rPr>
        <w:t>This report presents the design of a Hybrid Explainable Machine Learning Framework for Intelligent Crop Recommendation based on the supplied project presentation. The proposed system uses seven soil and climatic features to classify an input into one of 22 crop classes and adds an explanation layer using SHAP and/or LIME. The methodology includes dataset verification, EDA, leakage-aware preprocessing, baseline model comparison, cross-validation, ensemble evaluation, and transparent reporting of metrics. The central design principle is to assess both predictive performance and interpretability. Because no model-training results were supplied, the best-performing model and achieved metrics remain to be established experimentally.</w:t>
      </w:r>
    </w:p>
    <w:p>
      <w:pPr>
        <w:pStyle w:val="Heading1"/>
      </w:pPr>
      <w:r>
        <w:t>6. Future Work</w:t>
      </w:r>
    </w:p>
    <w:p>
      <w:pPr>
        <w:pStyle w:val="ListBullet"/>
        <w:spacing w:after="40"/>
      </w:pPr>
      <w:r>
        <w:t>Evaluate the pipeline on larger datasets containing varied regions, seasons, and soil conditions.</w:t>
      </w:r>
    </w:p>
    <w:p>
      <w:pPr>
        <w:pStyle w:val="ListBullet"/>
        <w:spacing w:after="40"/>
      </w:pPr>
      <w:r>
        <w:t>Collect field data and validate recommendations with agricultural experts and farmers.</w:t>
      </w:r>
    </w:p>
    <w:p>
      <w:pPr>
        <w:pStyle w:val="ListBullet"/>
        <w:spacing w:after="40"/>
      </w:pPr>
      <w:r>
        <w:t>Explore additional ensemble methods and calibrated probability estimates.</w:t>
      </w:r>
    </w:p>
    <w:p>
      <w:pPr>
        <w:pStyle w:val="ListBullet"/>
        <w:spacing w:after="40"/>
      </w:pPr>
      <w:r>
        <w:t>Add uncertainty estimates so the system can indicate when a recommendation is low-confidence.</w:t>
      </w:r>
    </w:p>
    <w:p>
      <w:pPr>
        <w:pStyle w:val="ListBullet"/>
        <w:spacing w:after="40"/>
      </w:pPr>
      <w:r>
        <w:t>Investigate explainability stability and compare SHAP and LIME outputs.</w:t>
      </w:r>
    </w:p>
    <w:p>
      <w:pPr>
        <w:pStyle w:val="ListBullet"/>
        <w:spacing w:after="40"/>
      </w:pPr>
      <w:r>
        <w:t>Include contextual variables such as location, season, irrigation, and local constraints where reliable data are available.</w:t>
      </w:r>
    </w:p>
    <w:p>
      <w:pPr>
        <w:pStyle w:val="ListBullet"/>
        <w:spacing w:after="40"/>
      </w:pPr>
      <w:r>
        <w:t>Deploy a simple Streamlit or Flask application and test usability with representative users.</w:t>
      </w:r>
    </w:p>
    <w:p>
      <w:pPr>
        <w:pStyle w:val="ListBullet"/>
        <w:spacing w:after="40"/>
      </w:pPr>
      <w:r>
        <w:t>Monitor model drift and periodically retrain when the data distribution changes.</w:t>
      </w:r>
    </w:p>
    <w:p>
      <w:pPr>
        <w:pStyle w:val="Heading1"/>
      </w:pPr>
      <w:r>
        <w:t>7. References</w:t>
      </w:r>
    </w:p>
    <w:p>
      <w:pPr>
        <w:spacing w:after="100"/>
        <w:ind w:left="360" w:hanging="360"/>
      </w:pPr>
      <w:r>
        <w:t>[1] Shams, M. Y., Gamel, S. A., &amp; Talaat, F. M. (2024). Enhancing crop recommendation systems with explainable artificial intelligence: A study on agricultural decision-making. Neural Computing and Applications, 36, 5695–5714. https://doi.org/10.1007/s00521-023-09391-2</w:t>
      </w:r>
    </w:p>
    <w:p>
      <w:pPr>
        <w:spacing w:after="100"/>
        <w:ind w:left="360" w:hanging="360"/>
      </w:pPr>
      <w:r>
        <w:t>[2] Bouni, M., Hssina, B., Douzi, K., &amp; Douzi, S. (2024). Interpretable Machine Learning Techniques for an Advanced Crop Recommendation Model. Journal of Electrical and Computer Engineering, 2024, Article 7405217. https://doi.org/10.1155/2024/7405217</w:t>
      </w:r>
    </w:p>
    <w:p>
      <w:pPr>
        <w:spacing w:after="100"/>
        <w:ind w:left="360" w:hanging="360"/>
      </w:pPr>
      <w:r>
        <w:t>[3] Prity, F. S., Hasan, M. M., Saif, S. H., Hossain, M. M., Bhuiyan, S. H., Islam, M. A., &amp; Lavlu, M. T. H. (2024). Enhancing Agricultural Productivity: A Machine Learning Approach to Crop Recommendations. Human-Centric Intelligent Systems, 4, 497–510. https://doi.org/10.1007/s44230-024-00081-3</w:t>
      </w:r>
    </w:p>
    <w:p>
      <w:pPr>
        <w:spacing w:after="100"/>
        <w:ind w:left="360" w:hanging="360"/>
      </w:pPr>
      <w:r>
        <w:t>[4] Afzal, H., Amjad, M., Raza, A., et al. (2025). Incorporating soil information with machine learning for crop recommendation to improve agricultural output. Scientific Reports, 15, Article 8560. https://doi.org/10.1038/s41598-025-88676-z</w:t>
      </w:r>
    </w:p>
    <w:p>
      <w:pPr>
        <w:spacing w:after="100"/>
        <w:ind w:left="360" w:hanging="360"/>
      </w:pPr>
      <w:r>
        <w:t>[5] Swathi, T., &amp; Sudha, S. (2023). Crop classification and prediction based on soil nutrition using machine learning methods. International Journal of Information Technology, 15, 2951–2960. https://doi.org/10.1007/s41870-023-01345-0</w:t>
      </w:r>
    </w:p>
    <w:p>
      <w:pPr>
        <w:spacing w:after="100"/>
        <w:ind w:left="360" w:hanging="360"/>
      </w:pPr>
      <w:r>
        <w:t>[6] Explainable Machine Learning for Crop Recommendation from Agriculture Sensor Data—A New Paradigm. (2023). Proceedings of the 14th International Conference on Computing Communication and Networking Technologies (ICCCNT). https://doi.org/10.1109/ICCCNT56998.2023.10308154</w:t>
      </w:r>
    </w:p>
    <w:p>
      <w:pPr>
        <w:spacing w:after="100"/>
        <w:ind w:left="360" w:hanging="360"/>
      </w:pPr>
      <w:r>
        <w:t>[7] Smart Crop Recommendation System Using Machine Learning and Explainable AI. (2024). Proceedings of the 27th International Conference on Computer and Information Technology (ICCIT). https://doi.org/10.1109/ICCIT64611.2024.11021774</w:t>
      </w:r>
    </w:p>
    <w:p>
      <w:pPr>
        <w:spacing w:after="100"/>
        <w:ind w:left="360" w:hanging="360"/>
      </w:pPr>
      <w:r>
        <w:t>[8] A Decision Support System for Crop Recommendation Using Machine Learning Classification Algorithms. (2024). Agriculture, 14(8), Article 1256. https://doi.org/10.3390/agriculture14081256</w:t>
      </w:r>
    </w:p>
    <w:p>
      <w:pPr>
        <w:spacing w:after="100"/>
        <w:ind w:left="360" w:hanging="360"/>
      </w:pPr>
      <w:r>
        <w:t>[9] Alam, M. I., Hemal, M. A. K. P., Sami, M. A., &amp; Rahman, M. L. (2024). Robust and Interpretable Crop Recommendation: A Case Study on a Balanced Multi-crop Agronomic Dataset. European Journal of Ecology, Biology and Agriculture. https://doi.org/10.59324/ejeba.2024.1(5).14</w:t>
      </w:r>
    </w:p>
    <w:p>
      <w:pPr>
        <w:spacing w:after="100"/>
        <w:ind w:left="360" w:hanging="360"/>
      </w:pPr>
      <w:r>
        <w:t>[10] Rajendran, T. (2025). Data-driven crop recommendation from soil and climate parameters: A comparative machine-learning study. International Journal of Agriculture and Animal Production. https://doi.org/10.55529/ijaap.52.71.80</w:t>
      </w:r>
    </w:p>
    <w:p>
      <w:pPr>
        <w:spacing w:after="100"/>
        <w:ind w:left="360" w:hanging="360"/>
      </w:pPr>
      <w:r>
        <w:t>[11] Lundberg, S. M., &amp; Lee, S.-I. (2017). A unified approach to interpreting model predictions. Advances in Neural Information Processing Systems, 30. https://proceedings.neurips.cc/paper/2017/hash/8a20a8621978632d76c43dfd28b67767-Abstract.html</w:t>
      </w:r>
    </w:p>
    <w:p>
      <w:pPr>
        <w:spacing w:after="100"/>
        <w:ind w:left="360" w:hanging="360"/>
      </w:pPr>
      <w:r>
        <w:t>[12] Ribeiro, M. T., Singh, S., &amp; Guestrin, C. (2016). “Why should I trust you?” Explaining the predictions of any classifier. Proceedings of the 22nd ACM SIGKDD International Conference on Knowledge Discovery and Data Mining, 1135–1144. https://doi.org/10.1145/2939672.2939778</w:t>
      </w:r>
    </w:p>
    <w:p/>
    <w:p>
      <w:pPr>
        <w:jc w:val="center"/>
      </w:pPr>
      <w:r>
        <w:t>Signature of the Guide __________________________        Course Instructor __________________________</w:t>
      </w:r>
    </w:p>
    <w:sectPr w:rsidR="00FC693F" w:rsidRPr="0006063C" w:rsidSect="00034616">
      <w:headerReference w:type="default" r:id="rId9"/>
      <w:footerReference w:type="default" r:id="rId10"/>
      <w:pgSz w:w="12240" w:h="15840"/>
      <w:pgMar w:top="1008" w:right="1037" w:bottom="1008"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6E7887"/>
        <w:sz w:val="16"/>
      </w:rPr>
      <w:t>Machine Learning Project Report | A.Y. 2026–27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6E7887"/>
        <w:sz w:val="16"/>
      </w:rPr>
      <w:t>HYBRID EXPLAINABLE MACHINE LEARNING FRAMEWORK FOR INTELLIGENT CROP RECOMMENDATION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Times New Roman" w:hAnsi="Times New Roman" w:eastAsia="Times New Roman"/>
      <w:b/>
      <w:bCs/>
      <w:color w:val="243B64"/>
      <w:sz w:val="30"/>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color w:val="365F91"/>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color w:val="365F9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Times New Roman" w:hAnsi="Times New Roman" w:eastAsia="Times New Roman"/>
      <w:b/>
      <w:color w:val="243B64"/>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