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07" w:type="dxa"/>
        <w:tblLayout w:type="fixed"/>
        <w:tblCellMar>
          <w:left w:w="0" w:type="dxa"/>
          <w:right w:w="0" w:type="dxa"/>
        </w:tblCellMar>
        <w:tblLook w:val="01E0" w:firstRow="1" w:lastRow="1" w:firstColumn="1" w:lastColumn="1" w:noHBand="0" w:noVBand="0"/>
      </w:tblPr>
      <w:tblGrid>
        <w:gridCol w:w="4167"/>
        <w:gridCol w:w="4877"/>
      </w:tblGrid>
      <w:tr w:rsidR="00E276AE">
        <w:trPr>
          <w:trHeight w:val="1101"/>
        </w:trPr>
        <w:tc>
          <w:tcPr>
            <w:tcW w:w="4167" w:type="dxa"/>
          </w:tcPr>
          <w:p w:rsidR="00E276AE" w:rsidRDefault="004A4884">
            <w:pPr>
              <w:pStyle w:val="TableParagraph"/>
              <w:spacing w:line="242" w:lineRule="auto"/>
              <w:ind w:left="497" w:right="320" w:hanging="3"/>
              <w:rPr>
                <w:b/>
                <w:sz w:val="24"/>
              </w:rPr>
            </w:pPr>
            <w:r>
              <w:rPr>
                <w:color w:val="333333"/>
                <w:sz w:val="24"/>
              </w:rPr>
              <w:t xml:space="preserve">THE MINISTRY OF FINANCE </w:t>
            </w:r>
            <w:r>
              <w:rPr>
                <w:b/>
                <w:color w:val="333333"/>
                <w:sz w:val="24"/>
              </w:rPr>
              <w:t>GENERAL DEPARTMENT OF TAXATION</w:t>
            </w:r>
          </w:p>
          <w:p w:rsidR="00E276AE" w:rsidRDefault="004A4884">
            <w:pPr>
              <w:pStyle w:val="TableParagraph"/>
              <w:spacing w:line="256" w:lineRule="exact"/>
              <w:ind w:left="1870" w:right="1696"/>
              <w:rPr>
                <w:b/>
                <w:sz w:val="24"/>
              </w:rPr>
            </w:pPr>
            <w:r>
              <w:rPr>
                <w:b/>
                <w:sz w:val="24"/>
              </w:rPr>
              <w:t>-------</w:t>
            </w:r>
          </w:p>
        </w:tc>
        <w:tc>
          <w:tcPr>
            <w:tcW w:w="4877" w:type="dxa"/>
          </w:tcPr>
          <w:p w:rsidR="00E276AE" w:rsidRDefault="004A4884">
            <w:pPr>
              <w:pStyle w:val="TableParagraph"/>
              <w:spacing w:before="114"/>
              <w:ind w:left="302" w:right="314"/>
              <w:rPr>
                <w:b/>
                <w:sz w:val="24"/>
              </w:rPr>
            </w:pPr>
            <w:r>
              <w:rPr>
                <w:b/>
                <w:sz w:val="24"/>
              </w:rPr>
              <w:t>SOCIALIST REPUBLIC OF VIETNAM</w:t>
            </w:r>
          </w:p>
          <w:p w:rsidR="00E276AE" w:rsidRDefault="004A4884">
            <w:pPr>
              <w:pStyle w:val="TableParagraph"/>
              <w:spacing w:before="1"/>
              <w:ind w:left="302" w:right="313"/>
              <w:rPr>
                <w:b/>
                <w:sz w:val="24"/>
              </w:rPr>
            </w:pPr>
            <w:r>
              <w:rPr>
                <w:b/>
                <w:sz w:val="24"/>
              </w:rPr>
              <w:t>Independence - Freedom - Happiness</w:t>
            </w:r>
          </w:p>
          <w:p w:rsidR="00E276AE" w:rsidRDefault="004A4884">
            <w:pPr>
              <w:pStyle w:val="TableParagraph"/>
              <w:ind w:left="300" w:right="314"/>
              <w:rPr>
                <w:b/>
                <w:sz w:val="24"/>
              </w:rPr>
            </w:pPr>
            <w:r>
              <w:rPr>
                <w:b/>
                <w:sz w:val="24"/>
              </w:rPr>
              <w:t>---------------</w:t>
            </w:r>
          </w:p>
        </w:tc>
      </w:tr>
      <w:tr w:rsidR="00E276AE">
        <w:trPr>
          <w:trHeight w:val="820"/>
        </w:trPr>
        <w:tc>
          <w:tcPr>
            <w:tcW w:w="4167" w:type="dxa"/>
          </w:tcPr>
          <w:p w:rsidR="00E276AE" w:rsidRDefault="004A4884">
            <w:pPr>
              <w:pStyle w:val="TableParagraph"/>
              <w:spacing w:line="268" w:lineRule="exact"/>
              <w:jc w:val="left"/>
              <w:rPr>
                <w:sz w:val="24"/>
              </w:rPr>
            </w:pPr>
            <w:r>
              <w:rPr>
                <w:color w:val="333333"/>
                <w:sz w:val="24"/>
              </w:rPr>
              <w:t>No. 866/TCT-CS</w:t>
            </w:r>
          </w:p>
          <w:p w:rsidR="00E276AE" w:rsidRDefault="004A4884">
            <w:pPr>
              <w:pStyle w:val="TableParagraph"/>
              <w:spacing w:line="270" w:lineRule="atLeast"/>
              <w:ind w:right="568"/>
              <w:jc w:val="left"/>
              <w:rPr>
                <w:i/>
                <w:sz w:val="24"/>
              </w:rPr>
            </w:pPr>
            <w:r>
              <w:rPr>
                <w:i/>
                <w:color w:val="333333"/>
                <w:sz w:val="24"/>
              </w:rPr>
              <w:t>Re: tax policy applicable to capital transfer</w:t>
            </w:r>
          </w:p>
        </w:tc>
        <w:tc>
          <w:tcPr>
            <w:tcW w:w="4877" w:type="dxa"/>
          </w:tcPr>
          <w:p w:rsidR="00E276AE" w:rsidRDefault="004A4884">
            <w:pPr>
              <w:pStyle w:val="TableParagraph"/>
              <w:spacing w:before="112"/>
              <w:ind w:left="2273"/>
              <w:jc w:val="left"/>
              <w:rPr>
                <w:i/>
                <w:sz w:val="24"/>
              </w:rPr>
            </w:pPr>
            <w:r>
              <w:rPr>
                <w:i/>
                <w:sz w:val="24"/>
              </w:rPr>
              <w:t xml:space="preserve">Ha </w:t>
            </w:r>
            <w:proofErr w:type="spellStart"/>
            <w:r>
              <w:rPr>
                <w:i/>
                <w:sz w:val="24"/>
              </w:rPr>
              <w:t>Noi</w:t>
            </w:r>
            <w:proofErr w:type="spellEnd"/>
            <w:r>
              <w:rPr>
                <w:i/>
                <w:sz w:val="24"/>
              </w:rPr>
              <w:t>, March 2</w:t>
            </w:r>
            <w:r>
              <w:rPr>
                <w:i/>
                <w:sz w:val="24"/>
                <w:vertAlign w:val="superscript"/>
              </w:rPr>
              <w:t>nd</w:t>
            </w:r>
            <w:r>
              <w:rPr>
                <w:i/>
                <w:sz w:val="24"/>
              </w:rPr>
              <w:t>, 2020</w:t>
            </w:r>
          </w:p>
        </w:tc>
      </w:tr>
    </w:tbl>
    <w:p w:rsidR="00E276AE" w:rsidRDefault="00E276AE">
      <w:pPr>
        <w:pStyle w:val="BodyText"/>
        <w:spacing w:before="4"/>
        <w:rPr>
          <w:i w:val="0"/>
          <w:sz w:val="16"/>
        </w:rPr>
      </w:pPr>
    </w:p>
    <w:p w:rsidR="00E276AE" w:rsidRDefault="004A4884">
      <w:pPr>
        <w:tabs>
          <w:tab w:val="left" w:pos="2100"/>
        </w:tabs>
        <w:spacing w:before="90"/>
        <w:ind w:left="360"/>
        <w:rPr>
          <w:b/>
          <w:sz w:val="24"/>
        </w:rPr>
      </w:pPr>
      <w:r>
        <w:rPr>
          <w:color w:val="333333"/>
          <w:sz w:val="24"/>
        </w:rPr>
        <w:t>Respectfully</w:t>
      </w:r>
      <w:r>
        <w:rPr>
          <w:color w:val="333333"/>
          <w:spacing w:val="-6"/>
          <w:sz w:val="24"/>
        </w:rPr>
        <w:t xml:space="preserve"> </w:t>
      </w:r>
      <w:r>
        <w:rPr>
          <w:color w:val="333333"/>
          <w:sz w:val="24"/>
        </w:rPr>
        <w:t>to:</w:t>
      </w:r>
      <w:r>
        <w:rPr>
          <w:color w:val="333333"/>
          <w:sz w:val="24"/>
        </w:rPr>
        <w:tab/>
      </w:r>
      <w:r>
        <w:rPr>
          <w:b/>
          <w:sz w:val="24"/>
        </w:rPr>
        <w:t>GUYOMARC’H VCN Co, Ltd</w:t>
      </w:r>
    </w:p>
    <w:p w:rsidR="00E276AE" w:rsidRDefault="004A4884">
      <w:pPr>
        <w:pStyle w:val="BodyText"/>
        <w:ind w:left="1740"/>
      </w:pPr>
      <w:r>
        <w:rPr>
          <w:color w:val="333333"/>
        </w:rPr>
        <w:t xml:space="preserve">(Chem, Thuy Phuong ward, Bac Tu </w:t>
      </w:r>
      <w:proofErr w:type="spellStart"/>
      <w:r>
        <w:rPr>
          <w:color w:val="333333"/>
        </w:rPr>
        <w:t>Liem</w:t>
      </w:r>
      <w:proofErr w:type="spellEnd"/>
      <w:r>
        <w:rPr>
          <w:color w:val="333333"/>
        </w:rPr>
        <w:t xml:space="preserve"> district, Ha </w:t>
      </w:r>
      <w:proofErr w:type="spellStart"/>
      <w:r>
        <w:rPr>
          <w:color w:val="333333"/>
        </w:rPr>
        <w:t>Noi</w:t>
      </w:r>
      <w:proofErr w:type="spellEnd"/>
      <w:r>
        <w:rPr>
          <w:color w:val="333333"/>
        </w:rPr>
        <w:t xml:space="preserve"> city)</w:t>
      </w:r>
    </w:p>
    <w:p w:rsidR="00E276AE" w:rsidRDefault="004A4884">
      <w:pPr>
        <w:pStyle w:val="Heading1"/>
        <w:spacing w:before="5" w:line="274" w:lineRule="exact"/>
        <w:ind w:left="2100" w:right="0"/>
        <w:jc w:val="left"/>
      </w:pPr>
      <w:r>
        <w:t>GUYOMARC’H Vietnam Co., Ltd</w:t>
      </w:r>
    </w:p>
    <w:p w:rsidR="00E276AE" w:rsidRDefault="004A4884">
      <w:pPr>
        <w:pStyle w:val="BodyText"/>
        <w:spacing w:line="274" w:lineRule="exact"/>
        <w:ind w:left="1740"/>
      </w:pPr>
      <w:r>
        <w:rPr>
          <w:color w:val="333333"/>
        </w:rPr>
        <w:t xml:space="preserve">(Quarter 1B, </w:t>
      </w:r>
      <w:proofErr w:type="gramStart"/>
      <w:r>
        <w:rPr>
          <w:color w:val="333333"/>
        </w:rPr>
        <w:t>An</w:t>
      </w:r>
      <w:proofErr w:type="gramEnd"/>
      <w:r>
        <w:rPr>
          <w:color w:val="333333"/>
        </w:rPr>
        <w:t xml:space="preserve"> Phu ward, Thuan An Township, Binh Duong province)</w:t>
      </w:r>
    </w:p>
    <w:p w:rsidR="00E276AE" w:rsidRDefault="00E276AE">
      <w:pPr>
        <w:pStyle w:val="BodyText"/>
      </w:pPr>
    </w:p>
    <w:p w:rsidR="00E276AE" w:rsidRPr="00B14354" w:rsidRDefault="004A4884">
      <w:pPr>
        <w:pStyle w:val="Heading2"/>
        <w:numPr>
          <w:ilvl w:val="0"/>
          <w:numId w:val="1"/>
        </w:numPr>
        <w:tabs>
          <w:tab w:val="left" w:pos="440"/>
        </w:tabs>
        <w:ind w:right="341" w:firstLine="0"/>
        <w:rPr>
          <w:color w:val="333333"/>
        </w:rPr>
      </w:pPr>
      <w:r>
        <w:rPr>
          <w:color w:val="333333"/>
        </w:rPr>
        <w:t>At Clause 2 Article 2 of the Law on enterprise income tax No.</w:t>
      </w:r>
      <w:r w:rsidRPr="00B14354">
        <w:rPr>
          <w:color w:val="333333"/>
        </w:rPr>
        <w:t xml:space="preserve"> </w:t>
      </w:r>
      <w:r w:rsidRPr="00B14354">
        <w:rPr>
          <w:color w:val="333333"/>
        </w:rPr>
        <w:t>14/2008/QH12</w:t>
      </w:r>
      <w:r w:rsidRPr="00B14354">
        <w:rPr>
          <w:color w:val="333333"/>
        </w:rPr>
        <w:t xml:space="preserve"> </w:t>
      </w:r>
      <w:r>
        <w:rPr>
          <w:color w:val="333333"/>
        </w:rPr>
        <w:t>of the National Assembly</w:t>
      </w:r>
      <w:r w:rsidRPr="00B14354">
        <w:rPr>
          <w:color w:val="333333"/>
        </w:rPr>
        <w:t xml:space="preserve"> </w:t>
      </w:r>
      <w:r>
        <w:rPr>
          <w:color w:val="333333"/>
        </w:rPr>
        <w:t>regulates:</w:t>
      </w:r>
    </w:p>
    <w:p w:rsidR="00E276AE" w:rsidRDefault="00E276AE">
      <w:pPr>
        <w:pStyle w:val="BodyText"/>
        <w:rPr>
          <w:i w:val="0"/>
        </w:rPr>
      </w:pPr>
    </w:p>
    <w:p w:rsidR="00E276AE" w:rsidRDefault="004A4884">
      <w:pPr>
        <w:pStyle w:val="BodyText"/>
        <w:ind w:left="300" w:right="307"/>
      </w:pPr>
      <w:r>
        <w:rPr>
          <w:color w:val="333333"/>
        </w:rPr>
        <w:t xml:space="preserve">"2. Enterprises having taxable incomes under Article 3 of this Law shall pay enterprise income </w:t>
      </w:r>
      <w:r>
        <w:rPr>
          <w:color w:val="333333"/>
        </w:rPr>
        <w:t>tax as follows:</w:t>
      </w:r>
    </w:p>
    <w:p w:rsidR="00E276AE" w:rsidRDefault="00E276AE">
      <w:pPr>
        <w:pStyle w:val="BodyText"/>
      </w:pPr>
    </w:p>
    <w:p w:rsidR="00E276AE" w:rsidRDefault="004A4884">
      <w:pPr>
        <w:pStyle w:val="BodyText"/>
        <w:spacing w:before="1"/>
        <w:ind w:left="300"/>
      </w:pPr>
      <w:r>
        <w:rPr>
          <w:color w:val="333333"/>
        </w:rPr>
        <w:t>...</w:t>
      </w:r>
    </w:p>
    <w:p w:rsidR="00E276AE" w:rsidRDefault="00E276AE">
      <w:pPr>
        <w:pStyle w:val="BodyText"/>
        <w:spacing w:before="11"/>
        <w:rPr>
          <w:sz w:val="23"/>
        </w:rPr>
      </w:pPr>
    </w:p>
    <w:p w:rsidR="00E276AE" w:rsidRDefault="004A4884">
      <w:pPr>
        <w:pStyle w:val="BodyText"/>
        <w:ind w:left="300" w:right="87"/>
      </w:pPr>
      <w:r>
        <w:rPr>
          <w:color w:val="333333"/>
        </w:rPr>
        <w:t xml:space="preserve">d) Foreign enterprises without Vietnam-based permanent establishments shall pay tax on taxable </w:t>
      </w:r>
      <w:r>
        <w:rPr>
          <w:color w:val="333333"/>
        </w:rPr>
        <w:t>incomes generated in Vietnam".</w:t>
      </w:r>
    </w:p>
    <w:p w:rsidR="00E276AE" w:rsidRDefault="00E276AE">
      <w:pPr>
        <w:pStyle w:val="BodyText"/>
      </w:pPr>
    </w:p>
    <w:p w:rsidR="00E276AE" w:rsidRPr="00B14354" w:rsidRDefault="004A4884">
      <w:pPr>
        <w:pStyle w:val="Heading2"/>
        <w:numPr>
          <w:ilvl w:val="0"/>
          <w:numId w:val="1"/>
        </w:numPr>
        <w:tabs>
          <w:tab w:val="left" w:pos="440"/>
        </w:tabs>
        <w:ind w:right="125" w:firstLine="0"/>
        <w:rPr>
          <w:color w:val="333333"/>
        </w:rPr>
      </w:pPr>
      <w:r>
        <w:rPr>
          <w:color w:val="333333"/>
        </w:rPr>
        <w:t>At Clause 1 Article 1 of the Government's Decree No.</w:t>
      </w:r>
      <w:r w:rsidRPr="00B14354">
        <w:rPr>
          <w:color w:val="333333"/>
        </w:rPr>
        <w:t xml:space="preserve"> </w:t>
      </w:r>
      <w:r w:rsidRPr="00B14354">
        <w:rPr>
          <w:color w:val="333333"/>
        </w:rPr>
        <w:t>12/2015/ND-CP</w:t>
      </w:r>
      <w:r w:rsidRPr="00B14354">
        <w:rPr>
          <w:color w:val="333333"/>
        </w:rPr>
        <w:t xml:space="preserve"> </w:t>
      </w:r>
      <w:r>
        <w:rPr>
          <w:color w:val="333333"/>
        </w:rPr>
        <w:t>dated February 12th, 2015 detailing the implementation of the Law amending, supplementing to a number of articles of Laws on tax and amending, supplementing to a number of articles of Decrees on tax</w:t>
      </w:r>
      <w:r w:rsidRPr="00B14354">
        <w:rPr>
          <w:color w:val="333333"/>
        </w:rPr>
        <w:t xml:space="preserve"> </w:t>
      </w:r>
      <w:r>
        <w:rPr>
          <w:color w:val="333333"/>
        </w:rPr>
        <w:t>regulates:</w:t>
      </w:r>
    </w:p>
    <w:p w:rsidR="00E276AE" w:rsidRDefault="00E276AE">
      <w:pPr>
        <w:pStyle w:val="BodyText"/>
        <w:rPr>
          <w:i w:val="0"/>
        </w:rPr>
      </w:pPr>
    </w:p>
    <w:p w:rsidR="00E276AE" w:rsidRDefault="004A4884">
      <w:pPr>
        <w:pStyle w:val="BodyText"/>
        <w:spacing w:before="1"/>
        <w:ind w:left="300" w:right="116"/>
      </w:pPr>
      <w:r>
        <w:rPr>
          <w:color w:val="333333"/>
        </w:rPr>
        <w:t>"3 Vietnam-generated taxab</w:t>
      </w:r>
      <w:r>
        <w:rPr>
          <w:color w:val="333333"/>
        </w:rPr>
        <w:t xml:space="preserve">le incomes of foreign enterprises defined at Points c and d, Clause 2, </w:t>
      </w:r>
      <w:r>
        <w:rPr>
          <w:color w:val="333333"/>
        </w:rPr>
        <w:t>Article 2 of the Law on enterprise income tax are the incomes originated in Vietnam from activities of service provision, goods supply and distribution, provision of loans and copyright</w:t>
      </w:r>
      <w:r>
        <w:rPr>
          <w:color w:val="333333"/>
        </w:rPr>
        <w:t xml:space="preserve"> royalties collected from Vietnamese organizations and individuals or foreign organizations and individuals doing business in Vietnam or from transfer of capital, projects of investment, the right to contribute capital, the right to participate in projects</w:t>
      </w:r>
      <w:r>
        <w:rPr>
          <w:color w:val="333333"/>
        </w:rPr>
        <w:t xml:space="preserve"> of investment, the right to exploit, explore and process mineral resources in Vietnam, regardless of their places of</w:t>
      </w:r>
      <w:r>
        <w:rPr>
          <w:color w:val="333333"/>
          <w:spacing w:val="-5"/>
        </w:rPr>
        <w:t xml:space="preserve"> </w:t>
      </w:r>
      <w:r>
        <w:rPr>
          <w:color w:val="333333"/>
        </w:rPr>
        <w:t>business."</w:t>
      </w:r>
    </w:p>
    <w:p w:rsidR="00E276AE" w:rsidRDefault="00E276AE">
      <w:pPr>
        <w:pStyle w:val="BodyText"/>
      </w:pPr>
    </w:p>
    <w:p w:rsidR="00E276AE" w:rsidRDefault="004A4884">
      <w:pPr>
        <w:pStyle w:val="Heading2"/>
        <w:numPr>
          <w:ilvl w:val="0"/>
          <w:numId w:val="1"/>
        </w:numPr>
        <w:tabs>
          <w:tab w:val="left" w:pos="440"/>
        </w:tabs>
        <w:ind w:right="120" w:firstLine="0"/>
      </w:pPr>
      <w:r>
        <w:rPr>
          <w:color w:val="333333"/>
        </w:rPr>
        <w:t>At point c Clause 2 Article 14 of Circular No.</w:t>
      </w:r>
      <w:r w:rsidRPr="00B14354">
        <w:rPr>
          <w:color w:val="333333"/>
        </w:rPr>
        <w:t xml:space="preserve"> </w:t>
      </w:r>
      <w:r w:rsidRPr="00B14354">
        <w:rPr>
          <w:color w:val="333333"/>
        </w:rPr>
        <w:t>78/2014/TT-BTC</w:t>
      </w:r>
      <w:r w:rsidRPr="00B14354">
        <w:rPr>
          <w:color w:val="333333"/>
        </w:rPr>
        <w:t xml:space="preserve"> </w:t>
      </w:r>
      <w:r>
        <w:rPr>
          <w:color w:val="333333"/>
        </w:rPr>
        <w:t>dated June 18th, 2014 of the Ministry of Finance providing guidelines on implementation of the Law on enterprise income tax (EIT)</w:t>
      </w:r>
      <w:r>
        <w:rPr>
          <w:color w:val="333333"/>
          <w:spacing w:val="-2"/>
        </w:rPr>
        <w:t xml:space="preserve"> </w:t>
      </w:r>
      <w:r>
        <w:rPr>
          <w:color w:val="333333"/>
        </w:rPr>
        <w:t>regulates:</w:t>
      </w:r>
    </w:p>
    <w:p w:rsidR="00E276AE" w:rsidRDefault="00E276AE">
      <w:pPr>
        <w:pStyle w:val="BodyText"/>
        <w:rPr>
          <w:i w:val="0"/>
        </w:rPr>
      </w:pPr>
    </w:p>
    <w:p w:rsidR="00E276AE" w:rsidRDefault="004A4884">
      <w:pPr>
        <w:pStyle w:val="BodyText"/>
        <w:ind w:left="300" w:right="200"/>
      </w:pPr>
      <w:r>
        <w:rPr>
          <w:color w:val="333333"/>
        </w:rPr>
        <w:t>"c) The tax applicable to foreign organizations doing business in Vietnam, or earning income i</w:t>
      </w:r>
      <w:r>
        <w:rPr>
          <w:color w:val="333333"/>
        </w:rPr>
        <w:t xml:space="preserve">n </w:t>
      </w:r>
      <w:r>
        <w:rPr>
          <w:color w:val="333333"/>
        </w:rPr>
        <w:t>Vietnam, not operating under the Investment Law, the Enterprise Law (generally referred to as foreign contractors) that transfer capital, shall be declared and paid as follows:</w:t>
      </w:r>
    </w:p>
    <w:p w:rsidR="00E276AE" w:rsidRDefault="00E276AE">
      <w:pPr>
        <w:sectPr w:rsidR="00E276AE">
          <w:footerReference w:type="default" r:id="rId7"/>
          <w:type w:val="continuous"/>
          <w:pgSz w:w="12240" w:h="15840"/>
          <w:pgMar w:top="1260" w:right="1340" w:bottom="1900" w:left="1140" w:header="720" w:footer="1705" w:gutter="0"/>
          <w:cols w:space="720"/>
        </w:sectPr>
      </w:pPr>
    </w:p>
    <w:p w:rsidR="00E276AE" w:rsidRDefault="004A4884">
      <w:pPr>
        <w:pStyle w:val="BodyText"/>
        <w:spacing w:before="68"/>
        <w:ind w:left="300" w:right="94"/>
      </w:pPr>
      <w:r>
        <w:rPr>
          <w:color w:val="333333"/>
        </w:rPr>
        <w:lastRenderedPageBreak/>
        <w:t xml:space="preserve">Capital transferees shall determine, declare, withhold and pay payable EIT on behalf of the </w:t>
      </w:r>
      <w:r>
        <w:rPr>
          <w:color w:val="333333"/>
        </w:rPr>
        <w:t xml:space="preserve">foreign organization. In case the capital transferees are also foreign organizations that do not operate under the Law on Investment or the Law on Enterprises, the </w:t>
      </w:r>
      <w:r>
        <w:rPr>
          <w:color w:val="333333"/>
        </w:rPr>
        <w:t>enterprises established under the Vietnamese laws in which the foreign organization invested capital shall take responsibility for declaring and paying the payable EIT on the capital transfer activity on behalf of the foreign organization.</w:t>
      </w:r>
    </w:p>
    <w:p w:rsidR="00E276AE" w:rsidRDefault="00E276AE">
      <w:pPr>
        <w:pStyle w:val="BodyText"/>
      </w:pPr>
    </w:p>
    <w:p w:rsidR="00E276AE" w:rsidRDefault="004A4884">
      <w:pPr>
        <w:pStyle w:val="BodyText"/>
        <w:ind w:left="300" w:right="1121"/>
      </w:pPr>
      <w:r>
        <w:rPr>
          <w:color w:val="333333"/>
        </w:rPr>
        <w:t>The tax declara</w:t>
      </w:r>
      <w:r>
        <w:rPr>
          <w:color w:val="333333"/>
        </w:rPr>
        <w:t xml:space="preserve">tion and payment are done as prescribed in the legal documents on tax </w:t>
      </w:r>
      <w:r>
        <w:rPr>
          <w:color w:val="333333"/>
        </w:rPr>
        <w:t>administration."</w:t>
      </w:r>
    </w:p>
    <w:p w:rsidR="00E276AE" w:rsidRDefault="00E276AE">
      <w:pPr>
        <w:pStyle w:val="BodyText"/>
      </w:pPr>
    </w:p>
    <w:p w:rsidR="00AE68F4" w:rsidRPr="009733D7" w:rsidRDefault="00AE68F4" w:rsidP="00AE68F4">
      <w:pPr>
        <w:spacing w:before="120" w:after="280" w:afterAutospacing="1"/>
        <w:ind w:left="300"/>
      </w:pPr>
      <w:proofErr w:type="spellStart"/>
      <w:r w:rsidRPr="009733D7">
        <w:t>Căn</w:t>
      </w:r>
      <w:proofErr w:type="spellEnd"/>
      <w:r w:rsidRPr="009733D7">
        <w:t xml:space="preserve"> </w:t>
      </w:r>
      <w:proofErr w:type="spellStart"/>
      <w:r w:rsidRPr="009733D7">
        <w:t>cứ</w:t>
      </w:r>
      <w:proofErr w:type="spellEnd"/>
      <w:r w:rsidRPr="009733D7">
        <w:t xml:space="preserve"> </w:t>
      </w:r>
      <w:proofErr w:type="spellStart"/>
      <w:r w:rsidRPr="009733D7">
        <w:t>các</w:t>
      </w:r>
      <w:proofErr w:type="spellEnd"/>
      <w:r w:rsidRPr="009733D7">
        <w:t xml:space="preserve"> </w:t>
      </w:r>
      <w:proofErr w:type="spellStart"/>
      <w:r w:rsidRPr="009733D7">
        <w:t>quy</w:t>
      </w:r>
      <w:proofErr w:type="spellEnd"/>
      <w:r w:rsidRPr="009733D7">
        <w:t xml:space="preserve"> </w:t>
      </w:r>
      <w:proofErr w:type="spellStart"/>
      <w:r w:rsidRPr="009733D7">
        <w:t>định</w:t>
      </w:r>
      <w:proofErr w:type="spellEnd"/>
      <w:r w:rsidRPr="009733D7">
        <w:t xml:space="preserve"> </w:t>
      </w:r>
      <w:proofErr w:type="spellStart"/>
      <w:r w:rsidRPr="009733D7">
        <w:t>nêu</w:t>
      </w:r>
      <w:proofErr w:type="spellEnd"/>
      <w:r w:rsidRPr="009733D7">
        <w:t xml:space="preserve"> </w:t>
      </w:r>
      <w:proofErr w:type="spellStart"/>
      <w:r w:rsidRPr="009733D7">
        <w:t>trên</w:t>
      </w:r>
      <w:proofErr w:type="spellEnd"/>
      <w:r w:rsidRPr="009733D7">
        <w:t xml:space="preserve">, </w:t>
      </w:r>
      <w:proofErr w:type="spellStart"/>
      <w:r w:rsidRPr="009733D7">
        <w:t>trường</w:t>
      </w:r>
      <w:proofErr w:type="spellEnd"/>
      <w:r w:rsidRPr="009733D7">
        <w:t xml:space="preserve"> </w:t>
      </w:r>
      <w:proofErr w:type="spellStart"/>
      <w:r w:rsidRPr="009733D7">
        <w:t>hợp</w:t>
      </w:r>
      <w:proofErr w:type="spellEnd"/>
      <w:r w:rsidRPr="009733D7">
        <w:t xml:space="preserve"> </w:t>
      </w:r>
      <w:proofErr w:type="spellStart"/>
      <w:r w:rsidRPr="009733D7">
        <w:t>Invivo</w:t>
      </w:r>
      <w:proofErr w:type="spellEnd"/>
      <w:r w:rsidRPr="009733D7">
        <w:t xml:space="preserve"> Group </w:t>
      </w:r>
      <w:proofErr w:type="spellStart"/>
      <w:r w:rsidRPr="009733D7">
        <w:t>chuyển</w:t>
      </w:r>
      <w:proofErr w:type="spellEnd"/>
      <w:r w:rsidRPr="009733D7">
        <w:t xml:space="preserve"> </w:t>
      </w:r>
      <w:proofErr w:type="spellStart"/>
      <w:r w:rsidRPr="009733D7">
        <w:t>nhượng</w:t>
      </w:r>
      <w:proofErr w:type="spellEnd"/>
      <w:r w:rsidRPr="009733D7">
        <w:t xml:space="preserve"> </w:t>
      </w:r>
      <w:proofErr w:type="spellStart"/>
      <w:r w:rsidRPr="009733D7">
        <w:t>lại</w:t>
      </w:r>
      <w:proofErr w:type="spellEnd"/>
      <w:r w:rsidRPr="009733D7">
        <w:t xml:space="preserve"> </w:t>
      </w:r>
      <w:proofErr w:type="spellStart"/>
      <w:r w:rsidRPr="009733D7">
        <w:t>toàn</w:t>
      </w:r>
      <w:proofErr w:type="spellEnd"/>
      <w:r w:rsidRPr="009733D7">
        <w:t xml:space="preserve"> </w:t>
      </w:r>
      <w:proofErr w:type="spellStart"/>
      <w:r w:rsidRPr="009733D7">
        <w:t>bộ</w:t>
      </w:r>
      <w:proofErr w:type="spellEnd"/>
      <w:r w:rsidRPr="009733D7">
        <w:t xml:space="preserve"> </w:t>
      </w:r>
      <w:proofErr w:type="spellStart"/>
      <w:r w:rsidRPr="009733D7">
        <w:t>cổ</w:t>
      </w:r>
      <w:proofErr w:type="spellEnd"/>
      <w:r w:rsidRPr="009733D7">
        <w:t xml:space="preserve"> </w:t>
      </w:r>
      <w:proofErr w:type="spellStart"/>
      <w:r w:rsidRPr="009733D7">
        <w:t>phần</w:t>
      </w:r>
      <w:proofErr w:type="spellEnd"/>
      <w:r w:rsidRPr="009733D7">
        <w:t xml:space="preserve"> </w:t>
      </w:r>
      <w:proofErr w:type="spellStart"/>
      <w:r w:rsidRPr="009733D7">
        <w:t>của</w:t>
      </w:r>
      <w:proofErr w:type="spellEnd"/>
      <w:r w:rsidRPr="009733D7">
        <w:t xml:space="preserve"> </w:t>
      </w:r>
      <w:proofErr w:type="spellStart"/>
      <w:r w:rsidRPr="009733D7">
        <w:t>Invivo</w:t>
      </w:r>
      <w:proofErr w:type="spellEnd"/>
      <w:r w:rsidRPr="009733D7">
        <w:t xml:space="preserve"> Group </w:t>
      </w:r>
      <w:proofErr w:type="spellStart"/>
      <w:r w:rsidRPr="009733D7">
        <w:t>tại</w:t>
      </w:r>
      <w:proofErr w:type="spellEnd"/>
      <w:r w:rsidRPr="009733D7">
        <w:t xml:space="preserve"> NEOVIA (</w:t>
      </w:r>
      <w:proofErr w:type="spellStart"/>
      <w:r w:rsidRPr="009733D7">
        <w:t>tức</w:t>
      </w:r>
      <w:proofErr w:type="spellEnd"/>
      <w:r w:rsidRPr="009733D7">
        <w:t xml:space="preserve"> </w:t>
      </w:r>
      <w:proofErr w:type="spellStart"/>
      <w:r w:rsidRPr="009733D7">
        <w:t>là</w:t>
      </w:r>
      <w:proofErr w:type="spellEnd"/>
      <w:r w:rsidRPr="009733D7">
        <w:t xml:space="preserve"> </w:t>
      </w:r>
      <w:proofErr w:type="spellStart"/>
      <w:r w:rsidRPr="009733D7">
        <w:t>gián</w:t>
      </w:r>
      <w:proofErr w:type="spellEnd"/>
      <w:r w:rsidRPr="009733D7">
        <w:t xml:space="preserve"> </w:t>
      </w:r>
      <w:proofErr w:type="spellStart"/>
      <w:r w:rsidRPr="009733D7">
        <w:t>tiếp</w:t>
      </w:r>
      <w:proofErr w:type="spellEnd"/>
      <w:r w:rsidRPr="009733D7">
        <w:t xml:space="preserve"> </w:t>
      </w:r>
      <w:proofErr w:type="spellStart"/>
      <w:r w:rsidRPr="009733D7">
        <w:t>chuyển</w:t>
      </w:r>
      <w:proofErr w:type="spellEnd"/>
      <w:r w:rsidRPr="009733D7">
        <w:t xml:space="preserve"> </w:t>
      </w:r>
      <w:proofErr w:type="spellStart"/>
      <w:r w:rsidRPr="009733D7">
        <w:t>nhượng</w:t>
      </w:r>
      <w:proofErr w:type="spellEnd"/>
      <w:r w:rsidRPr="009733D7">
        <w:t xml:space="preserve"> 100% </w:t>
      </w:r>
      <w:proofErr w:type="spellStart"/>
      <w:r w:rsidRPr="009733D7">
        <w:t>cổ</w:t>
      </w:r>
      <w:proofErr w:type="spellEnd"/>
      <w:r w:rsidRPr="009733D7">
        <w:t xml:space="preserve"> </w:t>
      </w:r>
      <w:proofErr w:type="spellStart"/>
      <w:r w:rsidRPr="009733D7">
        <w:t>phần</w:t>
      </w:r>
      <w:proofErr w:type="spellEnd"/>
      <w:r w:rsidRPr="009733D7">
        <w:t xml:space="preserve"> </w:t>
      </w:r>
      <w:proofErr w:type="spellStart"/>
      <w:r w:rsidRPr="009733D7">
        <w:t>tại</w:t>
      </w:r>
      <w:proofErr w:type="spellEnd"/>
      <w:r w:rsidRPr="009733D7">
        <w:t xml:space="preserve"> GUYOMARC’H VIET NAM </w:t>
      </w:r>
      <w:proofErr w:type="spellStart"/>
      <w:r w:rsidRPr="009733D7">
        <w:t>và</w:t>
      </w:r>
      <w:proofErr w:type="spellEnd"/>
      <w:r w:rsidRPr="009733D7">
        <w:t xml:space="preserve"> 70% GUYOMARC’H VCN) </w:t>
      </w:r>
      <w:proofErr w:type="spellStart"/>
      <w:r w:rsidRPr="009733D7">
        <w:t>cho</w:t>
      </w:r>
      <w:proofErr w:type="spellEnd"/>
      <w:r w:rsidRPr="009733D7">
        <w:t xml:space="preserve"> </w:t>
      </w:r>
      <w:proofErr w:type="spellStart"/>
      <w:r w:rsidRPr="009733D7">
        <w:t>Tập</w:t>
      </w:r>
      <w:proofErr w:type="spellEnd"/>
      <w:r w:rsidRPr="009733D7">
        <w:t xml:space="preserve"> </w:t>
      </w:r>
      <w:proofErr w:type="spellStart"/>
      <w:r w:rsidRPr="009733D7">
        <w:t>đoàn</w:t>
      </w:r>
      <w:proofErr w:type="spellEnd"/>
      <w:r w:rsidRPr="009733D7">
        <w:t xml:space="preserve"> Archer Daniels Midland  (ADM) </w:t>
      </w:r>
      <w:proofErr w:type="spellStart"/>
      <w:r w:rsidRPr="009733D7">
        <w:t>có</w:t>
      </w:r>
      <w:proofErr w:type="spellEnd"/>
      <w:r w:rsidRPr="009733D7">
        <w:t xml:space="preserve"> </w:t>
      </w:r>
      <w:proofErr w:type="spellStart"/>
      <w:r w:rsidRPr="009733D7">
        <w:t>phát</w:t>
      </w:r>
      <w:proofErr w:type="spellEnd"/>
      <w:r w:rsidRPr="009733D7">
        <w:t xml:space="preserve"> </w:t>
      </w:r>
      <w:proofErr w:type="spellStart"/>
      <w:r w:rsidRPr="009733D7">
        <w:t>sinh</w:t>
      </w:r>
      <w:proofErr w:type="spellEnd"/>
      <w:r w:rsidRPr="009733D7">
        <w:t xml:space="preserve"> thu </w:t>
      </w:r>
      <w:proofErr w:type="spellStart"/>
      <w:r w:rsidRPr="009733D7">
        <w:t>nhập</w:t>
      </w:r>
      <w:proofErr w:type="spellEnd"/>
      <w:r w:rsidRPr="009733D7">
        <w:t xml:space="preserve"> </w:t>
      </w:r>
      <w:proofErr w:type="spellStart"/>
      <w:r w:rsidRPr="009733D7">
        <w:t>thì</w:t>
      </w:r>
      <w:proofErr w:type="spellEnd"/>
      <w:r w:rsidRPr="009733D7">
        <w:t xml:space="preserve"> </w:t>
      </w:r>
      <w:proofErr w:type="spellStart"/>
      <w:r w:rsidRPr="009733D7">
        <w:t>khoản</w:t>
      </w:r>
      <w:proofErr w:type="spellEnd"/>
      <w:r w:rsidRPr="009733D7">
        <w:t xml:space="preserve"> thu </w:t>
      </w:r>
      <w:proofErr w:type="spellStart"/>
      <w:r w:rsidRPr="009733D7">
        <w:t>nhập</w:t>
      </w:r>
      <w:proofErr w:type="spellEnd"/>
      <w:r w:rsidRPr="009733D7">
        <w:t xml:space="preserve"> </w:t>
      </w:r>
      <w:proofErr w:type="spellStart"/>
      <w:r w:rsidRPr="009733D7">
        <w:t>phát</w:t>
      </w:r>
      <w:proofErr w:type="spellEnd"/>
      <w:r w:rsidRPr="009733D7">
        <w:t xml:space="preserve"> </w:t>
      </w:r>
      <w:proofErr w:type="spellStart"/>
      <w:r w:rsidRPr="009733D7">
        <w:t>sinh</w:t>
      </w:r>
      <w:proofErr w:type="spellEnd"/>
      <w:r w:rsidRPr="009733D7">
        <w:t xml:space="preserve"> </w:t>
      </w:r>
      <w:proofErr w:type="spellStart"/>
      <w:r w:rsidRPr="009733D7">
        <w:t>từ</w:t>
      </w:r>
      <w:proofErr w:type="spellEnd"/>
      <w:r w:rsidRPr="009733D7">
        <w:t xml:space="preserve"> </w:t>
      </w:r>
      <w:proofErr w:type="spellStart"/>
      <w:r w:rsidRPr="009733D7">
        <w:t>hoạt</w:t>
      </w:r>
      <w:proofErr w:type="spellEnd"/>
      <w:r w:rsidRPr="009733D7">
        <w:t xml:space="preserve"> </w:t>
      </w:r>
      <w:proofErr w:type="spellStart"/>
      <w:r w:rsidRPr="009733D7">
        <w:t>động</w:t>
      </w:r>
      <w:proofErr w:type="spellEnd"/>
      <w:r w:rsidRPr="009733D7">
        <w:t xml:space="preserve"> </w:t>
      </w:r>
      <w:proofErr w:type="spellStart"/>
      <w:r w:rsidRPr="009733D7">
        <w:t>chuyển</w:t>
      </w:r>
      <w:proofErr w:type="spellEnd"/>
      <w:r w:rsidRPr="009733D7">
        <w:t xml:space="preserve"> </w:t>
      </w:r>
      <w:proofErr w:type="spellStart"/>
      <w:r w:rsidRPr="009733D7">
        <w:t>nhượng</w:t>
      </w:r>
      <w:proofErr w:type="spellEnd"/>
      <w:r w:rsidRPr="009733D7">
        <w:t xml:space="preserve"> </w:t>
      </w:r>
      <w:proofErr w:type="spellStart"/>
      <w:r w:rsidRPr="009733D7">
        <w:t>vốn</w:t>
      </w:r>
      <w:proofErr w:type="spellEnd"/>
      <w:r w:rsidRPr="009733D7">
        <w:t xml:space="preserve"> </w:t>
      </w:r>
      <w:proofErr w:type="spellStart"/>
      <w:r w:rsidRPr="009733D7">
        <w:t>nêu</w:t>
      </w:r>
      <w:proofErr w:type="spellEnd"/>
      <w:r w:rsidRPr="009733D7">
        <w:t xml:space="preserve"> </w:t>
      </w:r>
      <w:proofErr w:type="spellStart"/>
      <w:r w:rsidRPr="009733D7">
        <w:t>trên</w:t>
      </w:r>
      <w:proofErr w:type="spellEnd"/>
      <w:r w:rsidRPr="009733D7">
        <w:t xml:space="preserve"> </w:t>
      </w:r>
      <w:proofErr w:type="spellStart"/>
      <w:r w:rsidRPr="009733D7">
        <w:t>thuộc</w:t>
      </w:r>
      <w:proofErr w:type="spellEnd"/>
      <w:r w:rsidRPr="009733D7">
        <w:t xml:space="preserve"> </w:t>
      </w:r>
      <w:proofErr w:type="spellStart"/>
      <w:r w:rsidRPr="009733D7">
        <w:t>đối</w:t>
      </w:r>
      <w:proofErr w:type="spellEnd"/>
      <w:r w:rsidRPr="009733D7">
        <w:t xml:space="preserve"> </w:t>
      </w:r>
      <w:proofErr w:type="spellStart"/>
      <w:r w:rsidRPr="009733D7">
        <w:t>tượng</w:t>
      </w:r>
      <w:proofErr w:type="spellEnd"/>
      <w:r w:rsidRPr="009733D7">
        <w:t xml:space="preserve"> </w:t>
      </w:r>
      <w:proofErr w:type="spellStart"/>
      <w:r w:rsidRPr="009733D7">
        <w:t>chịu</w:t>
      </w:r>
      <w:proofErr w:type="spellEnd"/>
      <w:r w:rsidRPr="009733D7">
        <w:t xml:space="preserve"> </w:t>
      </w:r>
      <w:proofErr w:type="spellStart"/>
      <w:r w:rsidRPr="009733D7">
        <w:t>thuế</w:t>
      </w:r>
      <w:proofErr w:type="spellEnd"/>
      <w:r w:rsidRPr="009733D7">
        <w:t xml:space="preserve"> TNDN </w:t>
      </w:r>
      <w:proofErr w:type="spellStart"/>
      <w:r w:rsidRPr="009733D7">
        <w:t>tại</w:t>
      </w:r>
      <w:proofErr w:type="spellEnd"/>
      <w:r w:rsidRPr="009733D7">
        <w:t xml:space="preserve"> </w:t>
      </w:r>
      <w:proofErr w:type="spellStart"/>
      <w:r w:rsidRPr="009733D7">
        <w:t>Việt</w:t>
      </w:r>
      <w:proofErr w:type="spellEnd"/>
      <w:r w:rsidRPr="009733D7">
        <w:t xml:space="preserve"> Nam </w:t>
      </w:r>
      <w:proofErr w:type="spellStart"/>
      <w:r w:rsidRPr="009733D7">
        <w:t>tương</w:t>
      </w:r>
      <w:proofErr w:type="spellEnd"/>
      <w:r w:rsidRPr="009733D7">
        <w:t xml:space="preserve"> </w:t>
      </w:r>
      <w:proofErr w:type="spellStart"/>
      <w:r w:rsidRPr="009733D7">
        <w:t>ứng</w:t>
      </w:r>
      <w:proofErr w:type="spellEnd"/>
      <w:r w:rsidRPr="009733D7">
        <w:t xml:space="preserve"> </w:t>
      </w:r>
      <w:proofErr w:type="spellStart"/>
      <w:r w:rsidRPr="009733D7">
        <w:t>với</w:t>
      </w:r>
      <w:proofErr w:type="spellEnd"/>
      <w:r w:rsidRPr="009733D7">
        <w:t xml:space="preserve"> </w:t>
      </w:r>
      <w:proofErr w:type="spellStart"/>
      <w:r w:rsidRPr="009733D7">
        <w:t>giá</w:t>
      </w:r>
      <w:proofErr w:type="spellEnd"/>
      <w:r w:rsidRPr="009733D7">
        <w:t xml:space="preserve"> </w:t>
      </w:r>
      <w:proofErr w:type="spellStart"/>
      <w:r w:rsidRPr="009733D7">
        <w:t>trị</w:t>
      </w:r>
      <w:proofErr w:type="spellEnd"/>
      <w:r w:rsidRPr="009733D7">
        <w:t xml:space="preserve"> </w:t>
      </w:r>
      <w:proofErr w:type="spellStart"/>
      <w:r w:rsidRPr="009733D7">
        <w:t>cổ</w:t>
      </w:r>
      <w:proofErr w:type="spellEnd"/>
      <w:r w:rsidRPr="009733D7">
        <w:t xml:space="preserve"> </w:t>
      </w:r>
      <w:proofErr w:type="spellStart"/>
      <w:r w:rsidRPr="009733D7">
        <w:t>phần</w:t>
      </w:r>
      <w:proofErr w:type="spellEnd"/>
      <w:r w:rsidRPr="009733D7">
        <w:t xml:space="preserve"> </w:t>
      </w:r>
      <w:proofErr w:type="spellStart"/>
      <w:r w:rsidRPr="009733D7">
        <w:t>phát</w:t>
      </w:r>
      <w:proofErr w:type="spellEnd"/>
      <w:r w:rsidRPr="009733D7">
        <w:t xml:space="preserve"> </w:t>
      </w:r>
      <w:proofErr w:type="spellStart"/>
      <w:r w:rsidRPr="009733D7">
        <w:t>sinh</w:t>
      </w:r>
      <w:proofErr w:type="spellEnd"/>
      <w:r w:rsidRPr="009733D7">
        <w:t xml:space="preserve"> </w:t>
      </w:r>
      <w:proofErr w:type="spellStart"/>
      <w:r w:rsidRPr="009733D7">
        <w:t>tại</w:t>
      </w:r>
      <w:proofErr w:type="spellEnd"/>
      <w:r w:rsidRPr="009733D7">
        <w:t xml:space="preserve"> </w:t>
      </w:r>
      <w:proofErr w:type="spellStart"/>
      <w:r w:rsidRPr="009733D7">
        <w:t>Việt</w:t>
      </w:r>
      <w:proofErr w:type="spellEnd"/>
      <w:r w:rsidRPr="009733D7">
        <w:t xml:space="preserve"> Nam </w:t>
      </w:r>
      <w:proofErr w:type="spellStart"/>
      <w:r w:rsidRPr="009733D7">
        <w:t>được</w:t>
      </w:r>
      <w:proofErr w:type="spellEnd"/>
      <w:r w:rsidRPr="009733D7">
        <w:t xml:space="preserve"> </w:t>
      </w:r>
      <w:proofErr w:type="spellStart"/>
      <w:r w:rsidRPr="009733D7">
        <w:t>chuyển</w:t>
      </w:r>
      <w:proofErr w:type="spellEnd"/>
      <w:r w:rsidRPr="009733D7">
        <w:t xml:space="preserve"> </w:t>
      </w:r>
      <w:proofErr w:type="spellStart"/>
      <w:r w:rsidRPr="009733D7">
        <w:t>nhượng</w:t>
      </w:r>
      <w:proofErr w:type="spellEnd"/>
      <w:r w:rsidRPr="009733D7">
        <w:t xml:space="preserve"> </w:t>
      </w:r>
      <w:proofErr w:type="spellStart"/>
      <w:r w:rsidRPr="009733D7">
        <w:t>theo</w:t>
      </w:r>
      <w:proofErr w:type="spellEnd"/>
      <w:r w:rsidRPr="009733D7">
        <w:t xml:space="preserve"> </w:t>
      </w:r>
      <w:proofErr w:type="spellStart"/>
      <w:r w:rsidRPr="009733D7">
        <w:t>quy</w:t>
      </w:r>
      <w:proofErr w:type="spellEnd"/>
      <w:r w:rsidRPr="009733D7">
        <w:t xml:space="preserve"> </w:t>
      </w:r>
      <w:proofErr w:type="spellStart"/>
      <w:r w:rsidRPr="009733D7">
        <w:t>định</w:t>
      </w:r>
      <w:proofErr w:type="spellEnd"/>
      <w:r w:rsidRPr="009733D7">
        <w:t xml:space="preserve"> </w:t>
      </w:r>
      <w:proofErr w:type="spellStart"/>
      <w:r w:rsidRPr="009733D7">
        <w:t>tại</w:t>
      </w:r>
      <w:proofErr w:type="spellEnd"/>
      <w:r w:rsidRPr="009733D7">
        <w:t xml:space="preserve"> </w:t>
      </w:r>
      <w:proofErr w:type="spellStart"/>
      <w:r w:rsidRPr="009733D7">
        <w:t>nội</w:t>
      </w:r>
      <w:proofErr w:type="spellEnd"/>
      <w:r w:rsidRPr="009733D7">
        <w:t xml:space="preserve"> </w:t>
      </w:r>
      <w:proofErr w:type="spellStart"/>
      <w:r w:rsidRPr="009733D7">
        <w:t>luật</w:t>
      </w:r>
      <w:proofErr w:type="spellEnd"/>
      <w:r w:rsidRPr="009733D7">
        <w:t>.</w:t>
      </w:r>
    </w:p>
    <w:p w:rsidR="00AE68F4" w:rsidRPr="00AE68F4" w:rsidRDefault="00AE68F4" w:rsidP="00AE68F4">
      <w:pPr>
        <w:pStyle w:val="Heading2"/>
        <w:ind w:right="307"/>
        <w:rPr>
          <w:color w:val="333333"/>
        </w:rPr>
      </w:pPr>
      <w:r w:rsidRPr="00AE68F4">
        <w:rPr>
          <w:color w:val="333333"/>
        </w:rPr>
        <w:t xml:space="preserve">Pertaining to the above, in case </w:t>
      </w:r>
      <w:proofErr w:type="spellStart"/>
      <w:r w:rsidRPr="00AE68F4">
        <w:rPr>
          <w:color w:val="333333"/>
        </w:rPr>
        <w:t>Invivo</w:t>
      </w:r>
      <w:proofErr w:type="spellEnd"/>
      <w:r w:rsidRPr="00AE68F4">
        <w:rPr>
          <w:color w:val="333333"/>
        </w:rPr>
        <w:t xml:space="preserve"> Group transfers 100% of its shares in </w:t>
      </w:r>
      <w:proofErr w:type="spellStart"/>
      <w:r w:rsidRPr="00AE68F4">
        <w:rPr>
          <w:color w:val="333333"/>
        </w:rPr>
        <w:t>Neovia</w:t>
      </w:r>
      <w:proofErr w:type="spellEnd"/>
      <w:r w:rsidRPr="00AE68F4">
        <w:rPr>
          <w:color w:val="333333"/>
        </w:rPr>
        <w:t xml:space="preserve"> (i.e. indirectly transferring 100% its shares in </w:t>
      </w:r>
      <w:proofErr w:type="spellStart"/>
      <w:r w:rsidRPr="00AE68F4">
        <w:rPr>
          <w:color w:val="333333"/>
        </w:rPr>
        <w:t>Guyomarc’h</w:t>
      </w:r>
      <w:proofErr w:type="spellEnd"/>
      <w:r w:rsidRPr="00AE68F4">
        <w:rPr>
          <w:color w:val="333333"/>
        </w:rPr>
        <w:t xml:space="preserve"> Vietnam and 70% its shares in </w:t>
      </w:r>
      <w:proofErr w:type="spellStart"/>
      <w:r w:rsidRPr="00AE68F4">
        <w:rPr>
          <w:color w:val="333333"/>
        </w:rPr>
        <w:t>Guymarc’h</w:t>
      </w:r>
      <w:proofErr w:type="spellEnd"/>
      <w:r w:rsidRPr="00AE68F4">
        <w:rPr>
          <w:color w:val="333333"/>
        </w:rPr>
        <w:t xml:space="preserve"> VCN) to Archer Daniels Midland (ADM), the income derived from the transaction is subject to Vietnam CIT corresponding to the value of its shares in Vietnam under domestic laws. </w:t>
      </w:r>
    </w:p>
    <w:p w:rsidR="00AE68F4" w:rsidRPr="00AE68F4" w:rsidRDefault="00AE68F4" w:rsidP="00AE68F4">
      <w:pPr>
        <w:pStyle w:val="Heading2"/>
        <w:ind w:right="307"/>
        <w:rPr>
          <w:color w:val="333333"/>
        </w:rPr>
      </w:pPr>
    </w:p>
    <w:p w:rsidR="00E276AE" w:rsidRDefault="004A4884">
      <w:pPr>
        <w:pStyle w:val="Heading2"/>
        <w:ind w:right="307"/>
      </w:pPr>
      <w:r>
        <w:rPr>
          <w:color w:val="333333"/>
        </w:rPr>
        <w:t>In case the Companies request for consideration applying the Agreement for the Avoidance of Double Taxation between the Government of Vietnam and the Government of Fran</w:t>
      </w:r>
      <w:r>
        <w:rPr>
          <w:color w:val="333333"/>
        </w:rPr>
        <w:t>ce, the Companies shall submit the application for Notification of eligibility for tax exemption, reduction under Agreement to the supervisory tax authority in order for the tax authority to consider instructing according to regulations of laws.</w:t>
      </w:r>
    </w:p>
    <w:p w:rsidR="00E276AE" w:rsidRDefault="00E276AE">
      <w:pPr>
        <w:pStyle w:val="BodyText"/>
        <w:spacing w:before="1"/>
        <w:rPr>
          <w:i w:val="0"/>
        </w:rPr>
      </w:pPr>
    </w:p>
    <w:p w:rsidR="00E276AE" w:rsidRDefault="004A4884">
      <w:pPr>
        <w:ind w:left="300"/>
        <w:rPr>
          <w:sz w:val="24"/>
        </w:rPr>
      </w:pPr>
      <w:r>
        <w:rPr>
          <w:color w:val="333333"/>
          <w:sz w:val="24"/>
        </w:rPr>
        <w:t>The Gener</w:t>
      </w:r>
      <w:r>
        <w:rPr>
          <w:color w:val="333333"/>
          <w:sz w:val="24"/>
        </w:rPr>
        <w:t>al Department of Taxation would like to reply to the Companies for information.</w:t>
      </w:r>
    </w:p>
    <w:p w:rsidR="00E276AE" w:rsidRDefault="00E276AE">
      <w:pPr>
        <w:pStyle w:val="BodyText"/>
        <w:spacing w:before="5"/>
        <w:rPr>
          <w:i w:val="0"/>
        </w:rPr>
      </w:pPr>
    </w:p>
    <w:p w:rsidR="00E276AE" w:rsidRDefault="004A4884">
      <w:pPr>
        <w:ind w:left="4295" w:right="1193"/>
        <w:jc w:val="center"/>
        <w:rPr>
          <w:b/>
          <w:sz w:val="24"/>
        </w:rPr>
      </w:pPr>
      <w:r>
        <w:rPr>
          <w:b/>
          <w:color w:val="333333"/>
          <w:sz w:val="24"/>
        </w:rPr>
        <w:t>ON THE ORDER OF THE DIRECTOR GENERAL</w:t>
      </w:r>
    </w:p>
    <w:p w:rsidR="00E276AE" w:rsidRDefault="004A4884">
      <w:pPr>
        <w:ind w:left="4295" w:right="1197"/>
        <w:jc w:val="center"/>
        <w:rPr>
          <w:b/>
          <w:sz w:val="24"/>
        </w:rPr>
      </w:pPr>
      <w:r>
        <w:rPr>
          <w:b/>
          <w:color w:val="333333"/>
          <w:sz w:val="24"/>
        </w:rPr>
        <w:t>PP. THE DIRECTOR OF THE POLICY DEPARTMENT</w:t>
      </w:r>
    </w:p>
    <w:p w:rsidR="00E276AE" w:rsidRDefault="004A4884">
      <w:pPr>
        <w:spacing w:line="274" w:lineRule="exact"/>
        <w:ind w:left="4295" w:right="1197"/>
        <w:jc w:val="center"/>
        <w:rPr>
          <w:b/>
          <w:sz w:val="24"/>
        </w:rPr>
      </w:pPr>
      <w:r>
        <w:rPr>
          <w:b/>
          <w:color w:val="333333"/>
          <w:sz w:val="24"/>
        </w:rPr>
        <w:t>DEPUTY DIRECTOR</w:t>
      </w:r>
    </w:p>
    <w:p w:rsidR="00E276AE" w:rsidRDefault="004A4884">
      <w:pPr>
        <w:pStyle w:val="BodyText"/>
        <w:spacing w:line="274" w:lineRule="exact"/>
        <w:ind w:left="4294" w:right="1197"/>
        <w:jc w:val="center"/>
      </w:pPr>
      <w:r>
        <w:t>(Signed and sealed)</w:t>
      </w:r>
    </w:p>
    <w:p w:rsidR="00E276AE" w:rsidRDefault="004A4884">
      <w:pPr>
        <w:pStyle w:val="Heading1"/>
        <w:spacing w:before="5"/>
        <w:ind w:left="4294"/>
      </w:pPr>
      <w:bookmarkStart w:id="0" w:name="_GoBack"/>
      <w:bookmarkEnd w:id="0"/>
      <w:r>
        <w:rPr>
          <w:color w:val="333333"/>
        </w:rPr>
        <w:t>Ms. Hoang Thi Ha Giang</w:t>
      </w:r>
    </w:p>
    <w:sectPr w:rsidR="00E276AE">
      <w:pgSz w:w="12240" w:h="15840"/>
      <w:pgMar w:top="1460" w:right="1340" w:bottom="1900" w:left="1140" w:header="0" w:footer="1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A4884" w:rsidRDefault="004A4884">
      <w:r>
        <w:separator/>
      </w:r>
    </w:p>
  </w:endnote>
  <w:endnote w:type="continuationSeparator" w:id="0">
    <w:p w:rsidR="004A4884" w:rsidRDefault="004A4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76AE" w:rsidRDefault="00E276AE">
    <w:pPr>
      <w:pStyle w:val="BodyText"/>
      <w:spacing w:line="14" w:lineRule="auto"/>
      <w:rPr>
        <w:i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A4884" w:rsidRDefault="004A4884">
      <w:r>
        <w:separator/>
      </w:r>
    </w:p>
  </w:footnote>
  <w:footnote w:type="continuationSeparator" w:id="0">
    <w:p w:rsidR="004A4884" w:rsidRDefault="004A4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0EC63A0"/>
    <w:multiLevelType w:val="hybridMultilevel"/>
    <w:tmpl w:val="771ABB5C"/>
    <w:lvl w:ilvl="0" w:tplc="5F96562E">
      <w:numFmt w:val="bullet"/>
      <w:lvlText w:val="-"/>
      <w:lvlJc w:val="left"/>
      <w:pPr>
        <w:ind w:left="300" w:hanging="140"/>
      </w:pPr>
      <w:rPr>
        <w:rFonts w:ascii="Times New Roman" w:eastAsia="Times New Roman" w:hAnsi="Times New Roman" w:cs="Times New Roman" w:hint="default"/>
        <w:color w:val="333333"/>
        <w:w w:val="99"/>
        <w:sz w:val="24"/>
        <w:szCs w:val="24"/>
        <w:lang w:val="en-US" w:eastAsia="en-US" w:bidi="en-US"/>
      </w:rPr>
    </w:lvl>
    <w:lvl w:ilvl="1" w:tplc="A40861D8">
      <w:numFmt w:val="bullet"/>
      <w:lvlText w:val="•"/>
      <w:lvlJc w:val="left"/>
      <w:pPr>
        <w:ind w:left="1246" w:hanging="140"/>
      </w:pPr>
      <w:rPr>
        <w:rFonts w:hint="default"/>
        <w:lang w:val="en-US" w:eastAsia="en-US" w:bidi="en-US"/>
      </w:rPr>
    </w:lvl>
    <w:lvl w:ilvl="2" w:tplc="1B561ABC">
      <w:numFmt w:val="bullet"/>
      <w:lvlText w:val="•"/>
      <w:lvlJc w:val="left"/>
      <w:pPr>
        <w:ind w:left="2192" w:hanging="140"/>
      </w:pPr>
      <w:rPr>
        <w:rFonts w:hint="default"/>
        <w:lang w:val="en-US" w:eastAsia="en-US" w:bidi="en-US"/>
      </w:rPr>
    </w:lvl>
    <w:lvl w:ilvl="3" w:tplc="1806EB0A">
      <w:numFmt w:val="bullet"/>
      <w:lvlText w:val="•"/>
      <w:lvlJc w:val="left"/>
      <w:pPr>
        <w:ind w:left="3138" w:hanging="140"/>
      </w:pPr>
      <w:rPr>
        <w:rFonts w:hint="default"/>
        <w:lang w:val="en-US" w:eastAsia="en-US" w:bidi="en-US"/>
      </w:rPr>
    </w:lvl>
    <w:lvl w:ilvl="4" w:tplc="A55E963A">
      <w:numFmt w:val="bullet"/>
      <w:lvlText w:val="•"/>
      <w:lvlJc w:val="left"/>
      <w:pPr>
        <w:ind w:left="4084" w:hanging="140"/>
      </w:pPr>
      <w:rPr>
        <w:rFonts w:hint="default"/>
        <w:lang w:val="en-US" w:eastAsia="en-US" w:bidi="en-US"/>
      </w:rPr>
    </w:lvl>
    <w:lvl w:ilvl="5" w:tplc="B2ACE0CA">
      <w:numFmt w:val="bullet"/>
      <w:lvlText w:val="•"/>
      <w:lvlJc w:val="left"/>
      <w:pPr>
        <w:ind w:left="5030" w:hanging="140"/>
      </w:pPr>
      <w:rPr>
        <w:rFonts w:hint="default"/>
        <w:lang w:val="en-US" w:eastAsia="en-US" w:bidi="en-US"/>
      </w:rPr>
    </w:lvl>
    <w:lvl w:ilvl="6" w:tplc="3F9815B2">
      <w:numFmt w:val="bullet"/>
      <w:lvlText w:val="•"/>
      <w:lvlJc w:val="left"/>
      <w:pPr>
        <w:ind w:left="5976" w:hanging="140"/>
      </w:pPr>
      <w:rPr>
        <w:rFonts w:hint="default"/>
        <w:lang w:val="en-US" w:eastAsia="en-US" w:bidi="en-US"/>
      </w:rPr>
    </w:lvl>
    <w:lvl w:ilvl="7" w:tplc="8E06F5F2">
      <w:numFmt w:val="bullet"/>
      <w:lvlText w:val="•"/>
      <w:lvlJc w:val="left"/>
      <w:pPr>
        <w:ind w:left="6922" w:hanging="140"/>
      </w:pPr>
      <w:rPr>
        <w:rFonts w:hint="default"/>
        <w:lang w:val="en-US" w:eastAsia="en-US" w:bidi="en-US"/>
      </w:rPr>
    </w:lvl>
    <w:lvl w:ilvl="8" w:tplc="C67C1E62">
      <w:numFmt w:val="bullet"/>
      <w:lvlText w:val="•"/>
      <w:lvlJc w:val="left"/>
      <w:pPr>
        <w:ind w:left="7868" w:hanging="140"/>
      </w:pPr>
      <w:rPr>
        <w:rFonts w:hint="default"/>
        <w:lang w:val="en-US" w:eastAsia="en-US" w:bidi="en-U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E276AE"/>
    <w:rsid w:val="004A4884"/>
    <w:rsid w:val="006C7531"/>
    <w:rsid w:val="00AE68F4"/>
    <w:rsid w:val="00B14354"/>
    <w:rsid w:val="00E27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E756F"/>
  <w15:docId w15:val="{C3F23DEA-33D4-4EE0-A78C-D26A83135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uiPriority w:val="9"/>
    <w:qFormat/>
    <w:pPr>
      <w:ind w:left="4295" w:right="1197"/>
      <w:jc w:val="center"/>
      <w:outlineLvl w:val="0"/>
    </w:pPr>
    <w:rPr>
      <w:b/>
      <w:bCs/>
      <w:sz w:val="24"/>
      <w:szCs w:val="24"/>
    </w:rPr>
  </w:style>
  <w:style w:type="paragraph" w:styleId="Heading2">
    <w:name w:val="heading 2"/>
    <w:basedOn w:val="Normal"/>
    <w:uiPriority w:val="9"/>
    <w:unhideWhenUsed/>
    <w:qFormat/>
    <w:pPr>
      <w:ind w:left="300"/>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sz w:val="24"/>
      <w:szCs w:val="24"/>
    </w:rPr>
  </w:style>
  <w:style w:type="paragraph" w:styleId="ListParagraph">
    <w:name w:val="List Paragraph"/>
    <w:basedOn w:val="Normal"/>
    <w:uiPriority w:val="1"/>
    <w:qFormat/>
    <w:pPr>
      <w:ind w:left="300" w:right="120"/>
    </w:pPr>
  </w:style>
  <w:style w:type="paragraph" w:customStyle="1" w:styleId="TableParagraph">
    <w:name w:val="Table Paragraph"/>
    <w:basedOn w:val="Normal"/>
    <w:uiPriority w:val="1"/>
    <w:qFormat/>
    <w:pPr>
      <w:ind w:left="200"/>
      <w:jc w:val="center"/>
    </w:pPr>
  </w:style>
  <w:style w:type="paragraph" w:styleId="Header">
    <w:name w:val="header"/>
    <w:basedOn w:val="Normal"/>
    <w:link w:val="HeaderChar"/>
    <w:uiPriority w:val="99"/>
    <w:unhideWhenUsed/>
    <w:rsid w:val="006C7531"/>
    <w:pPr>
      <w:tabs>
        <w:tab w:val="center" w:pos="4680"/>
        <w:tab w:val="right" w:pos="9360"/>
      </w:tabs>
    </w:pPr>
  </w:style>
  <w:style w:type="character" w:customStyle="1" w:styleId="HeaderChar">
    <w:name w:val="Header Char"/>
    <w:basedOn w:val="DefaultParagraphFont"/>
    <w:link w:val="Header"/>
    <w:uiPriority w:val="99"/>
    <w:rsid w:val="006C7531"/>
    <w:rPr>
      <w:rFonts w:ascii="Times New Roman" w:eastAsia="Times New Roman" w:hAnsi="Times New Roman" w:cs="Times New Roman"/>
      <w:lang w:bidi="en-US"/>
    </w:rPr>
  </w:style>
  <w:style w:type="paragraph" w:styleId="Footer">
    <w:name w:val="footer"/>
    <w:basedOn w:val="Normal"/>
    <w:link w:val="FooterChar"/>
    <w:uiPriority w:val="99"/>
    <w:unhideWhenUsed/>
    <w:rsid w:val="006C7531"/>
    <w:pPr>
      <w:tabs>
        <w:tab w:val="center" w:pos="4680"/>
        <w:tab w:val="right" w:pos="9360"/>
      </w:tabs>
    </w:pPr>
  </w:style>
  <w:style w:type="character" w:customStyle="1" w:styleId="FooterChar">
    <w:name w:val="Footer Char"/>
    <w:basedOn w:val="DefaultParagraphFont"/>
    <w:link w:val="Footer"/>
    <w:uiPriority w:val="99"/>
    <w:rsid w:val="006C7531"/>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3D18B4E3-65B2-4C9A-8A86-93FC9A9AF0D2}"/>
</file>

<file path=customXml/itemProps2.xml><?xml version="1.0" encoding="utf-8"?>
<ds:datastoreItem xmlns:ds="http://schemas.openxmlformats.org/officeDocument/2006/customXml" ds:itemID="{6BB35B7D-5C09-4348-A397-E35269632B90}"/>
</file>

<file path=customXml/itemProps3.xml><?xml version="1.0" encoding="utf-8"?>
<ds:datastoreItem xmlns:ds="http://schemas.openxmlformats.org/officeDocument/2006/customXml" ds:itemID="{D702F0A1-608C-4CA9-975B-371798388C64}"/>
</file>

<file path=docProps/app.xml><?xml version="1.0" encoding="utf-8"?>
<Properties xmlns="http://schemas.openxmlformats.org/officeDocument/2006/extended-properties" xmlns:vt="http://schemas.openxmlformats.org/officeDocument/2006/docPropsVTypes">
  <Template>Normal.dotm</Template>
  <TotalTime>4</TotalTime>
  <Pages>2</Pages>
  <Words>641</Words>
  <Characters>3659</Characters>
  <Application>Microsoft Office Word</Application>
  <DocSecurity>0</DocSecurity>
  <Lines>30</Lines>
  <Paragraphs>8</Paragraphs>
  <ScaleCrop>false</ScaleCrop>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LuatVietnam03</dc:creator>
  <cp:lastModifiedBy>Dinh, Thi Vien</cp:lastModifiedBy>
  <cp:revision>4</cp:revision>
  <dcterms:created xsi:type="dcterms:W3CDTF">2020-03-24T06:20:00Z</dcterms:created>
  <dcterms:modified xsi:type="dcterms:W3CDTF">2020-03-24T06:24:00Z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2020-03-22T00:00:00Z</vt:filetime>
  </property>
  <property fmtid="{D5CDD505-2E9C-101B-9397-08002B2CF9AE}" pid="3" name="Creator">
    <vt:lpwstr>Microsoft® Word 2010</vt:lpwstr>
  </property>
  <property fmtid="{D5CDD505-2E9C-101B-9397-08002B2CF9AE}" pid="4" name="LastSaved">
    <vt:filetime>2020-03-24T00:00:00Z</vt:filetime>
  </property>
  <property fmtid="{D5CDD505-2E9C-101B-9397-08002B2CF9AE}" pid="5" name="ContentTypeId">
    <vt:lpwstr>0x0101008E6070EC7B8CDA46B67D0AB247BB0995</vt:lpwstr>
  </property>
</Properties>
</file>