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15" w:type="dxa"/>
        <w:tblCellMar>
          <w:top w:w="15" w:type="dxa"/>
          <w:left w:w="15" w:type="dxa"/>
          <w:bottom w:w="15" w:type="dxa"/>
          <w:right w:w="15" w:type="dxa"/>
        </w:tblCellMar>
        <w:tblLook w:val="04A0"/>
      </w:tblPr>
      <w:tblGrid>
        <w:gridCol w:w="9450"/>
      </w:tblGrid>
      <w:tr w:rsidR="00222F2E" w:rsidRPr="00222F2E" w:rsidTr="00222F2E">
        <w:trPr>
          <w:tblCellSpacing w:w="15" w:type="dxa"/>
        </w:trPr>
        <w:tc>
          <w:tcPr>
            <w:tcW w:w="0" w:type="auto"/>
            <w:vAlign w:val="center"/>
            <w:hideMark/>
          </w:tcPr>
          <w:p w:rsidR="00222F2E" w:rsidRPr="00222F2E" w:rsidRDefault="00222F2E" w:rsidP="00222F2E">
            <w:pPr>
              <w:spacing w:after="0" w:line="240" w:lineRule="auto"/>
              <w:rPr>
                <w:rFonts w:ascii="Arial" w:eastAsia="Times New Roman" w:hAnsi="Arial" w:cs="Arial"/>
                <w:color w:val="000000"/>
                <w:sz w:val="18"/>
                <w:szCs w:val="18"/>
              </w:rPr>
            </w:pPr>
            <w:r w:rsidRPr="00222F2E">
              <w:rPr>
                <w:rFonts w:ascii="Arial" w:eastAsia="Times New Roman" w:hAnsi="Arial" w:cs="Arial"/>
                <w:color w:val="000000"/>
                <w:sz w:val="18"/>
                <w:szCs w:val="18"/>
              </w:rPr>
              <w:t>Công văn số :13493/CT-TT&amp;HT</w:t>
            </w:r>
            <w:r w:rsidRPr="00222F2E">
              <w:rPr>
                <w:rFonts w:ascii="Arial" w:eastAsia="Times New Roman" w:hAnsi="Arial" w:cs="Arial"/>
                <w:color w:val="000000"/>
                <w:sz w:val="18"/>
              </w:rPr>
              <w:t> </w:t>
            </w:r>
            <w:r w:rsidRPr="00222F2E">
              <w:rPr>
                <w:rFonts w:ascii="Arial" w:eastAsia="Times New Roman" w:hAnsi="Arial" w:cs="Arial"/>
                <w:color w:val="000000"/>
                <w:sz w:val="18"/>
                <w:szCs w:val="18"/>
              </w:rPr>
              <w:t>;Ngày phát hành :31/10/2013</w:t>
            </w:r>
          </w:p>
        </w:tc>
      </w:tr>
      <w:tr w:rsidR="00222F2E" w:rsidRPr="00222F2E" w:rsidTr="00222F2E">
        <w:trPr>
          <w:tblCellSpacing w:w="15" w:type="dxa"/>
        </w:trPr>
        <w:tc>
          <w:tcPr>
            <w:tcW w:w="0" w:type="auto"/>
            <w:vAlign w:val="center"/>
            <w:hideMark/>
          </w:tcPr>
          <w:p w:rsidR="00222F2E" w:rsidRPr="00222F2E" w:rsidRDefault="00222F2E" w:rsidP="00222F2E">
            <w:pPr>
              <w:spacing w:after="0" w:line="240" w:lineRule="auto"/>
              <w:rPr>
                <w:rFonts w:ascii="Arial" w:eastAsia="Times New Roman" w:hAnsi="Arial" w:cs="Arial"/>
                <w:color w:val="000000"/>
                <w:sz w:val="18"/>
                <w:szCs w:val="18"/>
              </w:rPr>
            </w:pPr>
            <w:r w:rsidRPr="00222F2E">
              <w:rPr>
                <w:rFonts w:ascii="Arial" w:eastAsia="Times New Roman" w:hAnsi="Arial" w:cs="Arial"/>
                <w:b/>
                <w:bCs/>
                <w:color w:val="0033CC"/>
                <w:sz w:val="18"/>
                <w:szCs w:val="18"/>
              </w:rPr>
              <w:t>V/v hạch toán chi phí khám chữa bệnh cho người lao động - Công ty TNHH MTV Kỹ Nghệ Sói</w:t>
            </w:r>
          </w:p>
        </w:tc>
      </w:tr>
      <w:tr w:rsidR="00222F2E" w:rsidRPr="00222F2E" w:rsidTr="00222F2E">
        <w:trPr>
          <w:tblCellSpacing w:w="15" w:type="dxa"/>
        </w:trPr>
        <w:tc>
          <w:tcPr>
            <w:tcW w:w="0" w:type="auto"/>
            <w:vAlign w:val="center"/>
            <w:hideMark/>
          </w:tcPr>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color w:val="000080"/>
                <w:sz w:val="20"/>
                <w:szCs w:val="20"/>
              </w:rPr>
              <w:t>Kính gửi:</w:t>
            </w:r>
            <w:r w:rsidRPr="00222F2E">
              <w:rPr>
                <w:rFonts w:ascii="Tahoma" w:eastAsia="Times New Roman" w:hAnsi="Tahoma" w:cs="Tahoma"/>
                <w:color w:val="000080"/>
                <w:sz w:val="20"/>
              </w:rPr>
              <w:t> </w:t>
            </w:r>
            <w:r w:rsidRPr="00222F2E">
              <w:rPr>
                <w:rFonts w:ascii="Tahoma" w:eastAsia="Times New Roman" w:hAnsi="Tahoma" w:cs="Tahoma"/>
                <w:color w:val="000080"/>
                <w:sz w:val="20"/>
                <w:szCs w:val="20"/>
              </w:rPr>
              <w:t>Công ty TNHH MTV Kỹ Nghệ Sói.</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color w:val="000080"/>
                <w:sz w:val="20"/>
                <w:szCs w:val="20"/>
              </w:rPr>
              <w:t>   Cục Thuế có nhận công văn số 1710/2013 ngày 17/10/2013 của Công ty đề nghị hướng dẫn về hạch toán khoản chi phí khám chữa bệnh cho người lao động.</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color w:val="000080"/>
                <w:sz w:val="20"/>
                <w:szCs w:val="20"/>
              </w:rPr>
              <w:t>   Qua nội dung công văn nói trên, Cục Thuế có ý kiến như sau:</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color w:val="000080"/>
                <w:sz w:val="20"/>
                <w:szCs w:val="20"/>
                <w:lang w:val="sv-SE"/>
              </w:rPr>
              <w:t>   Tại khoản 2, điều 152 Bộ luật Lao động số 10/2012/QH13 ngày 18/6/2012 </w:t>
            </w:r>
            <w:r w:rsidRPr="00222F2E">
              <w:rPr>
                <w:rFonts w:ascii="Tahoma" w:eastAsia="Times New Roman" w:hAnsi="Tahoma" w:cs="Tahoma"/>
                <w:color w:val="000080"/>
                <w:sz w:val="20"/>
                <w:lang w:val="sv-SE"/>
              </w:rPr>
              <w:t> </w:t>
            </w:r>
            <w:r w:rsidRPr="00222F2E">
              <w:rPr>
                <w:rFonts w:ascii="Tahoma" w:eastAsia="Times New Roman" w:hAnsi="Tahoma" w:cs="Tahoma"/>
                <w:color w:val="000080"/>
                <w:sz w:val="20"/>
                <w:szCs w:val="20"/>
                <w:lang w:val="sv-SE"/>
              </w:rPr>
              <w:t>có quy định:</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i/>
                <w:iCs/>
                <w:color w:val="000080"/>
                <w:sz w:val="20"/>
                <w:szCs w:val="20"/>
                <w:lang w:val="vi-VN"/>
              </w:rPr>
              <w:t>   “Hằng năm, người sử dụng lao động phải tổ chức khám sức khoẻ định kỳ cho người lao động, kể cả người học nghề, tập nghề; lao động nữ phải được khám chuyên khoa phụ sản, người làm công việc nặng nhọc, độc hại, người lao động là người khuyết tật, người lao động chưa thành niên, người lao động cao tuổi phải được khám sức khỏe ít nhất 06 tháng một lần.”</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color w:val="000080"/>
                <w:sz w:val="20"/>
                <w:szCs w:val="20"/>
                <w:lang w:val="vi-VN"/>
              </w:rPr>
              <w:t>   Căn cứ Điều 6 Thông tư số 123/2012/TT-BTC ngày 27/07/2012 của Bộ Tài chính hướng dẫn về thuế thu nhập doanh nghiệp (TNDN)</w:t>
            </w:r>
            <w:r w:rsidRPr="00222F2E">
              <w:rPr>
                <w:rFonts w:ascii="Tahoma" w:eastAsia="Times New Roman" w:hAnsi="Tahoma" w:cs="Tahoma"/>
                <w:color w:val="000080"/>
                <w:sz w:val="20"/>
                <w:lang w:val="vi-VN"/>
              </w:rPr>
              <w:t> </w:t>
            </w:r>
            <w:bookmarkStart w:id="0" w:name="_Toc340730562"/>
            <w:bookmarkStart w:id="1" w:name="_Toc339969493"/>
            <w:bookmarkEnd w:id="0"/>
            <w:bookmarkEnd w:id="1"/>
            <w:r w:rsidRPr="00222F2E">
              <w:rPr>
                <w:rFonts w:ascii="Tahoma" w:eastAsia="Times New Roman" w:hAnsi="Tahoma" w:cs="Tahoma"/>
                <w:color w:val="000080"/>
                <w:sz w:val="20"/>
                <w:szCs w:val="20"/>
                <w:lang w:val="vi-VN"/>
              </w:rPr>
              <w:t>quy định các khoản chi được trừ và không được trừ khi xác định thu nhập chịu thuế:</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i/>
                <w:iCs/>
                <w:color w:val="000080"/>
                <w:sz w:val="20"/>
                <w:szCs w:val="20"/>
                <w:lang w:val="vi-VN"/>
              </w:rPr>
              <w:t>   “1. Trừ các khoản chi nêu tại Khoản 2 Điều này, doanh nghiệp được trừ mọi khoản chi nếu đáp ứng đủ các điều kiện sau:</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i/>
                <w:iCs/>
                <w:color w:val="000080"/>
                <w:sz w:val="20"/>
                <w:szCs w:val="20"/>
                <w:lang w:val="vi-VN"/>
              </w:rPr>
              <w:t>   a) Khoản chi thực tế phát sinh liên quan đến hoạt động sản xuất, kinh doanh của doanh nghiệp;</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i/>
                <w:iCs/>
                <w:color w:val="000080"/>
                <w:sz w:val="20"/>
                <w:szCs w:val="20"/>
                <w:lang w:val="vi-VN"/>
              </w:rPr>
              <w:t>   b) Khoản chi có đủ hoá đơn, chứng từ hợp pháp theo quy định của pháp luật.</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i/>
                <w:iCs/>
                <w:color w:val="000080"/>
                <w:sz w:val="20"/>
                <w:szCs w:val="20"/>
                <w:lang w:val="vi-VN"/>
              </w:rPr>
              <w:t>   2. Các khoản chi không được trừ khi xác định thu nhập chịu thuế bao gồm:</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i/>
                <w:iCs/>
                <w:color w:val="000080"/>
                <w:sz w:val="20"/>
                <w:szCs w:val="20"/>
              </w:rPr>
              <w:t>   ……</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bookmarkStart w:id="2" w:name="_Toc340730567"/>
            <w:r w:rsidRPr="00222F2E">
              <w:rPr>
                <w:rFonts w:ascii="Tahoma" w:eastAsia="Times New Roman" w:hAnsi="Tahoma" w:cs="Tahoma"/>
                <w:i/>
                <w:iCs/>
                <w:color w:val="000080"/>
                <w:sz w:val="20"/>
                <w:szCs w:val="20"/>
                <w:lang w:val="vi-VN"/>
              </w:rPr>
              <w:t>   2.5. Chi tiền lương, tiền công, tiền thưởng cho người lao động thuộc một trong các trường hợp sau:</w:t>
            </w:r>
            <w:bookmarkEnd w:id="2"/>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i/>
                <w:iCs/>
                <w:color w:val="000080"/>
                <w:sz w:val="20"/>
                <w:szCs w:val="20"/>
                <w:lang w:val="vi-VN"/>
              </w:rPr>
              <w:t>   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color w:val="000080"/>
                <w:sz w:val="20"/>
                <w:szCs w:val="20"/>
                <w:lang w:val="vi-VN"/>
              </w:rPr>
              <w:t>   Căn cứ vào các quy định nêu trên, trường hợp Công ty có phát sinh khoản chi phí tổ chức khám sức khỏe định kỳ trong năm cho người lao động theo đúng quy định của</w:t>
            </w:r>
            <w:r w:rsidRPr="00222F2E">
              <w:rPr>
                <w:rFonts w:ascii="Tahoma" w:eastAsia="Times New Roman" w:hAnsi="Tahoma" w:cs="Tahoma"/>
                <w:color w:val="000080"/>
                <w:sz w:val="20"/>
                <w:lang w:val="vi-VN"/>
              </w:rPr>
              <w:t> </w:t>
            </w:r>
            <w:r w:rsidRPr="00222F2E">
              <w:rPr>
                <w:rFonts w:ascii="Tahoma" w:eastAsia="Times New Roman" w:hAnsi="Tahoma" w:cs="Tahoma"/>
                <w:color w:val="000080"/>
                <w:sz w:val="20"/>
                <w:szCs w:val="20"/>
                <w:lang w:val="sv-SE"/>
              </w:rPr>
              <w:t>Bộ luật Lao động,</w:t>
            </w:r>
            <w:r w:rsidRPr="00222F2E">
              <w:rPr>
                <w:rFonts w:ascii="Tahoma" w:eastAsia="Times New Roman" w:hAnsi="Tahoma" w:cs="Tahoma"/>
                <w:color w:val="000080"/>
                <w:sz w:val="20"/>
                <w:lang w:val="vi-VN"/>
              </w:rPr>
              <w:t> </w:t>
            </w:r>
            <w:r w:rsidRPr="00222F2E">
              <w:rPr>
                <w:rFonts w:ascii="Tahoma" w:eastAsia="Times New Roman" w:hAnsi="Tahoma" w:cs="Tahoma"/>
                <w:color w:val="000080"/>
                <w:sz w:val="20"/>
                <w:szCs w:val="20"/>
                <w:lang w:val="vi-VN"/>
              </w:rPr>
              <w:t>có đầy đủ hóa đơn, chứng từ hợp pháp thì được hạch toán vào chi phí hợp lý khi xác định thu nhập chịu thuế TNDN.</w:t>
            </w:r>
          </w:p>
          <w:p w:rsidR="00222F2E" w:rsidRPr="00222F2E" w:rsidRDefault="00222F2E" w:rsidP="00222F2E">
            <w:pPr>
              <w:spacing w:before="100" w:beforeAutospacing="1" w:after="100" w:afterAutospacing="1" w:line="240" w:lineRule="auto"/>
              <w:rPr>
                <w:rFonts w:ascii="Arial" w:eastAsia="Times New Roman" w:hAnsi="Arial" w:cs="Arial"/>
                <w:color w:val="000000"/>
                <w:sz w:val="18"/>
                <w:szCs w:val="18"/>
              </w:rPr>
            </w:pPr>
            <w:r w:rsidRPr="00222F2E">
              <w:rPr>
                <w:rFonts w:ascii="Tahoma" w:eastAsia="Times New Roman" w:hAnsi="Tahoma" w:cs="Tahoma"/>
                <w:color w:val="000080"/>
                <w:sz w:val="20"/>
                <w:szCs w:val="20"/>
                <w:lang w:val="vi-VN"/>
              </w:rPr>
              <w:t>   Cục Thuế báo cho</w:t>
            </w:r>
            <w:r w:rsidRPr="00222F2E">
              <w:rPr>
                <w:rFonts w:ascii="Tahoma" w:eastAsia="Times New Roman" w:hAnsi="Tahoma" w:cs="Tahoma"/>
                <w:color w:val="000080"/>
                <w:sz w:val="20"/>
                <w:lang w:val="vi-VN"/>
              </w:rPr>
              <w:t> </w:t>
            </w:r>
            <w:r w:rsidRPr="00222F2E">
              <w:rPr>
                <w:rFonts w:ascii="Tahoma" w:eastAsia="Times New Roman" w:hAnsi="Tahoma" w:cs="Tahoma"/>
                <w:color w:val="000080"/>
                <w:sz w:val="20"/>
                <w:szCs w:val="20"/>
                <w:lang w:val="am-ET"/>
              </w:rPr>
              <w:t>Công ty</w:t>
            </w:r>
            <w:r w:rsidRPr="00222F2E">
              <w:rPr>
                <w:rFonts w:ascii="Tahoma" w:eastAsia="Times New Roman" w:hAnsi="Tahoma" w:cs="Tahoma"/>
                <w:color w:val="000080"/>
                <w:sz w:val="20"/>
                <w:lang w:val="am-ET"/>
              </w:rPr>
              <w:t> </w:t>
            </w:r>
            <w:r w:rsidRPr="00222F2E">
              <w:rPr>
                <w:rFonts w:ascii="Tahoma" w:eastAsia="Times New Roman" w:hAnsi="Tahoma" w:cs="Tahoma"/>
                <w:color w:val="000080"/>
                <w:sz w:val="20"/>
                <w:szCs w:val="20"/>
                <w:lang w:val="vi-VN"/>
              </w:rPr>
              <w:t>biết để thực hiện</w:t>
            </w:r>
            <w:r w:rsidRPr="00222F2E">
              <w:rPr>
                <w:rFonts w:ascii="Tahoma" w:eastAsia="Times New Roman" w:hAnsi="Tahoma" w:cs="Tahoma"/>
                <w:color w:val="000080"/>
                <w:sz w:val="20"/>
                <w:szCs w:val="20"/>
              </w:rPr>
              <w:t>./.    </w:t>
            </w:r>
          </w:p>
          <w:p w:rsidR="00222F2E" w:rsidRPr="00222F2E" w:rsidRDefault="00222F2E" w:rsidP="00222F2E">
            <w:pPr>
              <w:spacing w:after="0" w:line="240" w:lineRule="auto"/>
              <w:ind w:firstLine="720"/>
              <w:jc w:val="both"/>
              <w:rPr>
                <w:rFonts w:ascii="Arial" w:eastAsia="Times New Roman" w:hAnsi="Arial" w:cs="Arial"/>
                <w:color w:val="000000"/>
                <w:sz w:val="18"/>
                <w:szCs w:val="18"/>
              </w:rPr>
            </w:pPr>
            <w:r w:rsidRPr="00222F2E">
              <w:rPr>
                <w:rFonts w:ascii="Tahoma" w:eastAsia="Times New Roman" w:hAnsi="Tahoma" w:cs="Tahoma"/>
                <w:color w:val="000080"/>
                <w:sz w:val="18"/>
                <w:szCs w:val="18"/>
              </w:rPr>
              <w:t>        </w:t>
            </w:r>
            <w:r w:rsidRPr="00222F2E">
              <w:rPr>
                <w:rFonts w:ascii="Tahoma" w:eastAsia="Times New Roman" w:hAnsi="Tahoma" w:cs="Tahoma"/>
                <w:color w:val="000080"/>
                <w:sz w:val="18"/>
              </w:rPr>
              <w:t> </w:t>
            </w:r>
            <w:r w:rsidRPr="00222F2E">
              <w:rPr>
                <w:rFonts w:ascii="Tahoma" w:eastAsia="Times New Roman" w:hAnsi="Tahoma" w:cs="Tahoma"/>
                <w:color w:val="000080"/>
                <w:sz w:val="18"/>
                <w:szCs w:val="18"/>
              </w:rPr>
              <w:t>                      </w:t>
            </w:r>
          </w:p>
          <w:p w:rsidR="00222F2E" w:rsidRPr="00222F2E" w:rsidRDefault="00222F2E" w:rsidP="00222F2E">
            <w:pPr>
              <w:spacing w:after="0" w:line="240" w:lineRule="auto"/>
              <w:rPr>
                <w:rFonts w:ascii="Arial" w:eastAsia="Times New Roman" w:hAnsi="Arial" w:cs="Arial"/>
                <w:color w:val="000000"/>
                <w:sz w:val="18"/>
                <w:szCs w:val="18"/>
              </w:rPr>
            </w:pPr>
            <w:r w:rsidRPr="00222F2E">
              <w:rPr>
                <w:rFonts w:ascii="Tahoma" w:eastAsia="Times New Roman" w:hAnsi="Tahoma" w:cs="Tahoma"/>
                <w:b/>
                <w:bCs/>
                <w:i/>
                <w:iCs/>
                <w:color w:val="000080"/>
                <w:sz w:val="18"/>
                <w:szCs w:val="18"/>
                <w:lang w:val="nl-NL"/>
              </w:rPr>
              <w:t>Nơi nhận (Email):                                                                </w:t>
            </w:r>
            <w:r w:rsidRPr="00222F2E">
              <w:rPr>
                <w:rFonts w:ascii="Tahoma" w:eastAsia="Times New Roman" w:hAnsi="Tahoma" w:cs="Tahoma"/>
                <w:b/>
                <w:bCs/>
                <w:color w:val="000080"/>
                <w:sz w:val="18"/>
                <w:szCs w:val="18"/>
                <w:lang w:val="nl-NL"/>
              </w:rPr>
              <w:t> KT.CỤC TRƯỞNG</w:t>
            </w:r>
            <w:r w:rsidRPr="00222F2E">
              <w:rPr>
                <w:rFonts w:ascii="Tahoma" w:eastAsia="Times New Roman" w:hAnsi="Tahoma" w:cs="Tahoma"/>
                <w:b/>
                <w:bCs/>
                <w:color w:val="000080"/>
                <w:sz w:val="18"/>
                <w:lang w:val="nl-NL"/>
              </w:rPr>
              <w:t> </w:t>
            </w:r>
            <w:r w:rsidRPr="00222F2E">
              <w:rPr>
                <w:rFonts w:ascii="Tahoma" w:eastAsia="Times New Roman" w:hAnsi="Tahoma" w:cs="Tahoma"/>
                <w:b/>
                <w:bCs/>
                <w:color w:val="000080"/>
                <w:sz w:val="18"/>
                <w:szCs w:val="18"/>
                <w:lang w:val="nl-NL"/>
              </w:rPr>
              <w:t>   </w:t>
            </w:r>
          </w:p>
          <w:p w:rsidR="00222F2E" w:rsidRPr="00222F2E" w:rsidRDefault="00222F2E" w:rsidP="00222F2E">
            <w:pPr>
              <w:spacing w:after="0" w:line="240" w:lineRule="auto"/>
              <w:rPr>
                <w:rFonts w:ascii="Arial" w:eastAsia="Times New Roman" w:hAnsi="Arial" w:cs="Arial"/>
                <w:color w:val="000000"/>
                <w:sz w:val="18"/>
                <w:szCs w:val="18"/>
              </w:rPr>
            </w:pPr>
            <w:r w:rsidRPr="00222F2E">
              <w:rPr>
                <w:rFonts w:ascii="Tahoma" w:eastAsia="Times New Roman" w:hAnsi="Tahoma" w:cs="Tahoma"/>
                <w:i/>
                <w:iCs/>
                <w:color w:val="000080"/>
                <w:sz w:val="18"/>
                <w:szCs w:val="18"/>
                <w:lang w:val="nl-NL"/>
              </w:rPr>
              <w:t> </w:t>
            </w:r>
            <w:r w:rsidRPr="00222F2E">
              <w:rPr>
                <w:rFonts w:ascii="Tahoma" w:eastAsia="Times New Roman" w:hAnsi="Tahoma" w:cs="Tahoma"/>
                <w:i/>
                <w:iCs/>
                <w:color w:val="000080"/>
                <w:sz w:val="18"/>
                <w:lang w:val="nl-NL"/>
              </w:rPr>
              <w:t> </w:t>
            </w:r>
            <w:r w:rsidRPr="00222F2E">
              <w:rPr>
                <w:rFonts w:ascii="Tahoma" w:eastAsia="Times New Roman" w:hAnsi="Tahoma" w:cs="Tahoma"/>
                <w:i/>
                <w:iCs/>
                <w:color w:val="000080"/>
                <w:sz w:val="18"/>
                <w:szCs w:val="18"/>
                <w:lang w:val="nl-NL"/>
              </w:rPr>
              <w:t>-</w:t>
            </w:r>
            <w:r w:rsidRPr="00222F2E">
              <w:rPr>
                <w:rFonts w:ascii="Tahoma" w:eastAsia="Times New Roman" w:hAnsi="Tahoma" w:cs="Tahoma"/>
                <w:color w:val="000080"/>
                <w:sz w:val="18"/>
                <w:lang w:val="nl-NL"/>
              </w:rPr>
              <w:t> </w:t>
            </w:r>
            <w:r w:rsidRPr="00222F2E">
              <w:rPr>
                <w:rFonts w:ascii="Tahoma" w:eastAsia="Times New Roman" w:hAnsi="Tahoma" w:cs="Tahoma"/>
                <w:color w:val="000080"/>
                <w:sz w:val="18"/>
                <w:szCs w:val="18"/>
                <w:lang w:val="nl-NL"/>
              </w:rPr>
              <w:t>Như trên;                                                                        </w:t>
            </w:r>
            <w:r w:rsidRPr="00222F2E">
              <w:rPr>
                <w:rFonts w:ascii="Tahoma" w:eastAsia="Times New Roman" w:hAnsi="Tahoma" w:cs="Tahoma"/>
                <w:b/>
                <w:bCs/>
                <w:color w:val="000080"/>
                <w:sz w:val="18"/>
                <w:szCs w:val="18"/>
                <w:lang w:val="nl-NL"/>
              </w:rPr>
              <w:t>PHÓ CỤC TRƯỞNG</w:t>
            </w:r>
          </w:p>
          <w:p w:rsidR="00222F2E" w:rsidRPr="00222F2E" w:rsidRDefault="00222F2E" w:rsidP="00222F2E">
            <w:pPr>
              <w:spacing w:after="0" w:line="240" w:lineRule="auto"/>
              <w:rPr>
                <w:rFonts w:ascii="Arial" w:eastAsia="Times New Roman" w:hAnsi="Arial" w:cs="Arial"/>
                <w:color w:val="000000"/>
                <w:sz w:val="18"/>
                <w:szCs w:val="18"/>
              </w:rPr>
            </w:pPr>
            <w:r w:rsidRPr="00222F2E">
              <w:rPr>
                <w:rFonts w:ascii="Tahoma" w:eastAsia="Times New Roman" w:hAnsi="Tahoma" w:cs="Tahoma"/>
                <w:color w:val="000080"/>
                <w:sz w:val="18"/>
                <w:szCs w:val="18"/>
                <w:lang w:val="nl-NL"/>
              </w:rPr>
              <w:t>  </w:t>
            </w:r>
            <w:r w:rsidRPr="00222F2E">
              <w:rPr>
                <w:rFonts w:ascii="Tahoma" w:eastAsia="Times New Roman" w:hAnsi="Tahoma" w:cs="Tahoma"/>
                <w:color w:val="000080"/>
                <w:sz w:val="18"/>
                <w:szCs w:val="18"/>
              </w:rPr>
              <w:t>- P.TT &amp; HT;</w:t>
            </w:r>
          </w:p>
          <w:p w:rsidR="00222F2E" w:rsidRPr="00222F2E" w:rsidRDefault="00222F2E" w:rsidP="00222F2E">
            <w:pPr>
              <w:spacing w:after="0" w:line="240" w:lineRule="auto"/>
              <w:rPr>
                <w:rFonts w:ascii="Arial" w:eastAsia="Times New Roman" w:hAnsi="Arial" w:cs="Arial"/>
                <w:color w:val="000000"/>
                <w:sz w:val="18"/>
                <w:szCs w:val="18"/>
              </w:rPr>
            </w:pPr>
            <w:r w:rsidRPr="00222F2E">
              <w:rPr>
                <w:rFonts w:ascii="Tahoma" w:eastAsia="Times New Roman" w:hAnsi="Tahoma" w:cs="Tahoma"/>
                <w:i/>
                <w:iCs/>
                <w:color w:val="000080"/>
                <w:sz w:val="18"/>
                <w:szCs w:val="18"/>
              </w:rPr>
              <w:t> </w:t>
            </w:r>
            <w:r w:rsidRPr="00222F2E">
              <w:rPr>
                <w:rFonts w:ascii="Tahoma" w:eastAsia="Times New Roman" w:hAnsi="Tahoma" w:cs="Tahoma"/>
                <w:i/>
                <w:iCs/>
                <w:color w:val="000080"/>
                <w:sz w:val="18"/>
              </w:rPr>
              <w:t> </w:t>
            </w:r>
            <w:r w:rsidRPr="00222F2E">
              <w:rPr>
                <w:rFonts w:ascii="Tahoma" w:eastAsia="Times New Roman" w:hAnsi="Tahoma" w:cs="Tahoma"/>
                <w:i/>
                <w:iCs/>
                <w:color w:val="000080"/>
                <w:sz w:val="18"/>
                <w:szCs w:val="18"/>
              </w:rPr>
              <w:t>-</w:t>
            </w:r>
            <w:r w:rsidRPr="00222F2E">
              <w:rPr>
                <w:rFonts w:ascii="Tahoma" w:eastAsia="Times New Roman" w:hAnsi="Tahoma" w:cs="Tahoma"/>
                <w:color w:val="000080"/>
                <w:sz w:val="18"/>
              </w:rPr>
              <w:t> </w:t>
            </w:r>
            <w:r w:rsidRPr="00222F2E">
              <w:rPr>
                <w:rFonts w:ascii="Tahoma" w:eastAsia="Times New Roman" w:hAnsi="Tahoma" w:cs="Tahoma"/>
                <w:color w:val="000080"/>
                <w:sz w:val="18"/>
                <w:szCs w:val="18"/>
              </w:rPr>
              <w:t>Lưu HCQT-TV-AC.</w:t>
            </w:r>
            <w:r w:rsidRPr="00222F2E">
              <w:rPr>
                <w:rFonts w:ascii="Tahoma" w:eastAsia="Times New Roman" w:hAnsi="Tahoma" w:cs="Tahoma"/>
                <w:color w:val="000080"/>
                <w:sz w:val="20"/>
                <w:szCs w:val="20"/>
              </w:rPr>
              <w:t>                                                         Đã ký : Võ Thanh Bình</w:t>
            </w:r>
          </w:p>
        </w:tc>
      </w:tr>
    </w:tbl>
    <w:p w:rsidR="00484647" w:rsidRDefault="00484647"/>
    <w:sectPr w:rsidR="00484647" w:rsidSect="004846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22F2E"/>
    <w:rsid w:val="00080007"/>
    <w:rsid w:val="00222F2E"/>
    <w:rsid w:val="00484647"/>
    <w:rsid w:val="009E629B"/>
    <w:rsid w:val="00A15CE8"/>
    <w:rsid w:val="00F620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6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22F2E"/>
  </w:style>
  <w:style w:type="paragraph" w:styleId="NormalWeb">
    <w:name w:val="Normal (Web)"/>
    <w:basedOn w:val="Normal"/>
    <w:uiPriority w:val="99"/>
    <w:semiHidden/>
    <w:unhideWhenUsed/>
    <w:rsid w:val="00222F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6458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11CD2169-6A82-43D8-8705-5075F7F10838}"/>
</file>

<file path=customXml/itemProps2.xml><?xml version="1.0" encoding="utf-8"?>
<ds:datastoreItem xmlns:ds="http://schemas.openxmlformats.org/officeDocument/2006/customXml" ds:itemID="{5D6F5A6C-43FD-4505-A74B-F66FF02F6E50}"/>
</file>

<file path=customXml/itemProps3.xml><?xml version="1.0" encoding="utf-8"?>
<ds:datastoreItem xmlns:ds="http://schemas.openxmlformats.org/officeDocument/2006/customXml" ds:itemID="{471F3889-E881-4647-AD3B-6E0AF1E9DAE7}"/>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2111</Characters>
  <Application>Microsoft Office Word</Application>
  <DocSecurity>0</DocSecurity>
  <Lines>17</Lines>
  <Paragraphs>4</Paragraphs>
  <ScaleCrop>false</ScaleCrop>
  <Company>KPMG</Company>
  <LinksUpToDate>false</LinksUpToDate>
  <CharactersWithSpaces>2477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KPMG</dc:creator>
  <cp:keywords/>
  <dc:description/>
  <cp:lastModifiedBy>KPMG</cp:lastModifiedBy>
  <cp:revision>2</cp:revision>
  <dcterms:created xsi:type="dcterms:W3CDTF">2014-02-10T04:47:00Z</dcterms:created>
  <dcterms:modified xsi:type="dcterms:W3CDTF">2014-02-10T04:47:00Z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