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CellMar>
          <w:left w:w="0" w:type="dxa"/>
          <w:right w:w="0" w:type="dxa"/>
        </w:tblCellMar>
        <w:tblLook w:val="04A0" w:firstRow="1" w:lastRow="0" w:firstColumn="1" w:lastColumn="0" w:noHBand="0" w:noVBand="1"/>
      </w:tblPr>
      <w:tblGrid>
        <w:gridCol w:w="3610"/>
        <w:gridCol w:w="5146"/>
      </w:tblGrid>
      <w:tr w:rsidR="0007651E" w:rsidRPr="0007651E" w:rsidTr="0007651E">
        <w:trPr>
          <w:trHeight w:val="165"/>
        </w:trPr>
        <w:tc>
          <w:tcPr>
            <w:tcW w:w="3610" w:type="dxa"/>
            <w:tcMar>
              <w:top w:w="0" w:type="dxa"/>
              <w:left w:w="108" w:type="dxa"/>
              <w:bottom w:w="0" w:type="dxa"/>
              <w:right w:w="108" w:type="dxa"/>
            </w:tcMar>
            <w:hideMark/>
          </w:tcPr>
          <w:p w:rsidR="0007651E" w:rsidRPr="0007651E" w:rsidRDefault="0007651E" w:rsidP="0007651E">
            <w:pPr>
              <w:spacing w:after="120" w:line="165" w:lineRule="atLeast"/>
              <w:jc w:val="center"/>
              <w:rPr>
                <w:rFonts w:ascii="Arial" w:eastAsia="Times New Roman" w:hAnsi="Arial" w:cs="Arial"/>
                <w:sz w:val="20"/>
                <w:szCs w:val="20"/>
              </w:rPr>
            </w:pPr>
            <w:r w:rsidRPr="0007651E">
              <w:rPr>
                <w:rFonts w:ascii="Arial" w:eastAsia="Times New Roman" w:hAnsi="Arial" w:cs="Arial"/>
                <w:sz w:val="20"/>
                <w:szCs w:val="20"/>
              </w:rPr>
              <w:t>Số: 228/2009/TT-BTC</w:t>
            </w:r>
          </w:p>
        </w:tc>
        <w:tc>
          <w:tcPr>
            <w:tcW w:w="5146" w:type="dxa"/>
            <w:tcMar>
              <w:top w:w="0" w:type="dxa"/>
              <w:left w:w="108" w:type="dxa"/>
              <w:bottom w:w="0" w:type="dxa"/>
              <w:right w:w="108" w:type="dxa"/>
            </w:tcMar>
            <w:hideMark/>
          </w:tcPr>
          <w:p w:rsidR="0007651E" w:rsidRPr="0007651E" w:rsidRDefault="0007651E" w:rsidP="0007651E">
            <w:pPr>
              <w:spacing w:after="120" w:line="165" w:lineRule="atLeast"/>
              <w:jc w:val="right"/>
              <w:rPr>
                <w:rFonts w:ascii="Arial" w:eastAsia="Times New Roman" w:hAnsi="Arial" w:cs="Arial"/>
                <w:sz w:val="20"/>
                <w:szCs w:val="20"/>
              </w:rPr>
            </w:pPr>
            <w:r w:rsidRPr="0007651E">
              <w:rPr>
                <w:rFonts w:ascii="Arial" w:eastAsia="Times New Roman" w:hAnsi="Arial" w:cs="Arial"/>
                <w:i/>
                <w:iCs/>
                <w:sz w:val="20"/>
                <w:szCs w:val="20"/>
              </w:rPr>
              <w:t>Hà Nội, ngày 07 tháng 12 năm 2009</w:t>
            </w:r>
          </w:p>
        </w:tc>
      </w:tr>
    </w:tbl>
    <w:p w:rsidR="0007651E" w:rsidRPr="0007651E" w:rsidRDefault="0007651E" w:rsidP="0007651E">
      <w:pPr>
        <w:shd w:val="clear" w:color="auto" w:fill="FFFFFF"/>
        <w:spacing w:after="120" w:line="312" w:lineRule="auto"/>
        <w:jc w:val="center"/>
        <w:rPr>
          <w:rFonts w:ascii="Arial" w:eastAsia="Times New Roman" w:hAnsi="Arial" w:cs="Arial"/>
          <w:sz w:val="20"/>
          <w:szCs w:val="20"/>
        </w:rPr>
      </w:pPr>
      <w:r w:rsidRPr="0007651E">
        <w:rPr>
          <w:rFonts w:ascii="Arial" w:eastAsia="Times New Roman" w:hAnsi="Arial" w:cs="Arial"/>
          <w:b/>
          <w:bCs/>
          <w:sz w:val="20"/>
          <w:szCs w:val="20"/>
        </w:rPr>
        <w:t> </w:t>
      </w:r>
    </w:p>
    <w:p w:rsidR="0007651E" w:rsidRPr="0007651E" w:rsidRDefault="0007651E" w:rsidP="0007651E">
      <w:pPr>
        <w:shd w:val="clear" w:color="auto" w:fill="FFFFFF"/>
        <w:spacing w:after="120" w:line="312" w:lineRule="auto"/>
        <w:jc w:val="center"/>
        <w:rPr>
          <w:rFonts w:ascii="Arial" w:eastAsia="Times New Roman" w:hAnsi="Arial" w:cs="Arial"/>
          <w:sz w:val="20"/>
          <w:szCs w:val="20"/>
        </w:rPr>
      </w:pPr>
      <w:r w:rsidRPr="0007651E">
        <w:rPr>
          <w:rFonts w:ascii="Arial" w:eastAsia="Times New Roman" w:hAnsi="Arial" w:cs="Arial"/>
          <w:b/>
          <w:bCs/>
          <w:sz w:val="24"/>
          <w:szCs w:val="24"/>
        </w:rPr>
        <w:t xml:space="preserve">THÔNG TƯ </w:t>
      </w:r>
    </w:p>
    <w:p w:rsidR="0007651E" w:rsidRPr="0007651E" w:rsidRDefault="0007651E" w:rsidP="0007651E">
      <w:pPr>
        <w:shd w:val="clear" w:color="auto" w:fill="FFFFFF"/>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HƯỚNG DẪN CHẾ ĐỘ TRÍCH LẬP VÀ SỬ DỤNG CÁC KHOẢN DỰ PHÒNG GIẢM GIÁ HÀNG TỒN KHO, TỔN THẤT CÁC KHOẢN ĐẦU TƯ TÀI CHÍNH, NỢ PHẢI THU KHÓ ĐÒI VÀ BẢO HÀNH SẢN PHẨM, HÀNG HÓA, CÔNG TRÌNH XÂY LẮP TẠI DOANH NGHIỆP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i/>
          <w:iCs/>
          <w:sz w:val="20"/>
          <w:szCs w:val="20"/>
        </w:rPr>
        <w:t>Căn cứ Luật Chứng khoán;</w:t>
      </w:r>
      <w:r w:rsidRPr="0007651E">
        <w:rPr>
          <w:rFonts w:ascii="Arial" w:eastAsia="Times New Roman" w:hAnsi="Arial" w:cs="Arial"/>
          <w:i/>
          <w:iCs/>
          <w:sz w:val="20"/>
          <w:szCs w:val="20"/>
        </w:rPr>
        <w:br/>
        <w:t>Căn cứ Nghị định số 118/2008/NĐ-CP ngày 27/11/2008 của Chính phủ quy định về chức năng, nhiệm vụ, quyền hạn và cơ cấu tổ chức của Bộ Tài chính;</w:t>
      </w:r>
      <w:r w:rsidRPr="0007651E">
        <w:rPr>
          <w:rFonts w:ascii="Arial" w:eastAsia="Times New Roman" w:hAnsi="Arial" w:cs="Arial"/>
          <w:i/>
          <w:iCs/>
          <w:sz w:val="20"/>
          <w:szCs w:val="20"/>
        </w:rPr>
        <w:br/>
        <w:t>Căn cứ Nghị định số 124/2008/NĐ-CP ngày 11/12/2008 của Chính phủ quy định chi tiết và hướng dẫn thi hành một số điều của Luật Thuế thu nhập doanh nghiệp;</w:t>
      </w:r>
      <w:r w:rsidRPr="0007651E">
        <w:rPr>
          <w:rFonts w:ascii="Arial" w:eastAsia="Times New Roman" w:hAnsi="Arial" w:cs="Arial"/>
          <w:i/>
          <w:iCs/>
          <w:sz w:val="20"/>
          <w:szCs w:val="20"/>
        </w:rPr>
        <w:br/>
        <w:t>Căn cứ Nghị định số 09/2009/NĐ-CP ngày 5/2/2009 của Chính phủ ban hành Quy chế quản lý tài chính của công ty nhà nước và quản lý vốn nhà nước đầu tư vào doanh nghiệp khác;</w:t>
      </w:r>
      <w:r w:rsidRPr="0007651E">
        <w:rPr>
          <w:rFonts w:ascii="Arial" w:eastAsia="Times New Roman" w:hAnsi="Arial" w:cs="Arial"/>
          <w:i/>
          <w:iCs/>
          <w:sz w:val="20"/>
          <w:szCs w:val="20"/>
        </w:rPr>
        <w:br/>
        <w:t xml:space="preserve">Bộ Tài chính hướng dẫn việc trích lập và sử dụng các khoản dự phòng giảm giá hàng tồn kho, dự phòng tổn thất các khoản đầu tư tài chính, dự phòng nợ phải thu khó đòi và dự phòng bảo hành sản phẩm, hàng hóa, công trình xây lắp tại doanh nghiệp như sau: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 xml:space="preserve">Phần 1. </w:t>
      </w:r>
    </w:p>
    <w:p w:rsidR="0007651E" w:rsidRPr="0007651E" w:rsidRDefault="0007651E" w:rsidP="0007651E">
      <w:pPr>
        <w:shd w:val="clear" w:color="auto" w:fill="FFFFFF"/>
        <w:spacing w:after="120" w:line="312" w:lineRule="auto"/>
        <w:jc w:val="center"/>
        <w:rPr>
          <w:rFonts w:ascii="Arial" w:eastAsia="Times New Roman" w:hAnsi="Arial" w:cs="Arial"/>
          <w:sz w:val="20"/>
          <w:szCs w:val="20"/>
        </w:rPr>
      </w:pPr>
      <w:r w:rsidRPr="0007651E">
        <w:rPr>
          <w:rFonts w:ascii="Arial" w:eastAsia="Times New Roman" w:hAnsi="Arial" w:cs="Arial"/>
          <w:b/>
          <w:bCs/>
          <w:sz w:val="24"/>
          <w:szCs w:val="24"/>
        </w:rPr>
        <w:t>NHỮNG QUY ĐỊNH CHUNG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 xml:space="preserve">Điều 1. </w:t>
      </w:r>
      <w:r w:rsidRPr="0007651E">
        <w:rPr>
          <w:rFonts w:ascii="Arial" w:eastAsia="Times New Roman" w:hAnsi="Arial" w:cs="Arial"/>
          <w:sz w:val="20"/>
          <w:szCs w:val="20"/>
        </w:rPr>
        <w:t xml:space="preserve">Đối tượng áp dụng: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Các tổ chức hoạt động sản xuất, kinh doanh hàng hóa, dịch vụ có thu nhập chịu thuế theo quy định của pháp luật Việt Nam (sau đây gọi là doanh nghiệp).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1. Đối với các doanh nghiệp được thành lập trên cơ sở các Hiệp định ký giữa Chính phủ nước Cộng hòa xã hội chủ nghĩa Việt Nam và Chính phủ nước ngoài, nếu Hiệp định có các quy định về trích lập và sử dụng các khoản dự phòng khác với hướng dẫn tại Thông tư này, thì thực hiện theo quy định của Hiệp định đó.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bookmarkStart w:id="0" w:name="cumtu_1"/>
      <w:r w:rsidRPr="002852E6">
        <w:rPr>
          <w:rFonts w:ascii="Arial" w:eastAsia="Times New Roman" w:hAnsi="Arial" w:cs="Arial"/>
          <w:sz w:val="20"/>
          <w:szCs w:val="20"/>
        </w:rPr>
        <w:t>2. Việc trích lập dự phòng của các Tổ chức tín dụng thực hiện theo quy định tại văn bản hướng dẫn chế độ tài chính đối với các Tổ chức tín dụng.</w:t>
      </w:r>
      <w:bookmarkStart w:id="1" w:name="_GoBack"/>
      <w:bookmarkEnd w:id="0"/>
      <w:bookmarkEnd w:id="1"/>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2852E6">
        <w:rPr>
          <w:rFonts w:ascii="Arial" w:eastAsia="Times New Roman" w:hAnsi="Arial" w:cs="Arial"/>
          <w:sz w:val="20"/>
          <w:szCs w:val="20"/>
        </w:rPr>
        <w:t xml:space="preserve">Điều 2. </w:t>
      </w:r>
      <w:r w:rsidRPr="0007651E">
        <w:rPr>
          <w:rFonts w:ascii="Arial" w:eastAsia="Times New Roman" w:hAnsi="Arial" w:cs="Arial"/>
          <w:sz w:val="20"/>
          <w:szCs w:val="20"/>
        </w:rPr>
        <w:t>Giải thích từ ngữ:</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1. </w:t>
      </w:r>
      <w:r w:rsidRPr="0007651E">
        <w:rPr>
          <w:rFonts w:ascii="Arial" w:eastAsia="Times New Roman" w:hAnsi="Arial" w:cs="Arial"/>
          <w:i/>
          <w:iCs/>
          <w:sz w:val="20"/>
          <w:szCs w:val="20"/>
        </w:rPr>
        <w:t>Dự phòng giảm giá hàng tồn kho</w:t>
      </w:r>
      <w:r w:rsidRPr="0007651E">
        <w:rPr>
          <w:rFonts w:ascii="Arial" w:eastAsia="Times New Roman" w:hAnsi="Arial" w:cs="Arial"/>
          <w:sz w:val="20"/>
          <w:szCs w:val="20"/>
        </w:rPr>
        <w:t>: là dự phòng phần giá trị bị tổn thất do giá vật tư, thành phẩm, hàng hóa tồn kho bị giảm.</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2. </w:t>
      </w:r>
      <w:r w:rsidRPr="0007651E">
        <w:rPr>
          <w:rFonts w:ascii="Arial" w:eastAsia="Times New Roman" w:hAnsi="Arial" w:cs="Arial"/>
          <w:i/>
          <w:iCs/>
          <w:sz w:val="20"/>
          <w:szCs w:val="20"/>
        </w:rPr>
        <w:t>Dự phòng tổn thất các khoản đầu tư chính</w:t>
      </w:r>
      <w:r w:rsidRPr="0007651E">
        <w:rPr>
          <w:rFonts w:ascii="Arial" w:eastAsia="Times New Roman" w:hAnsi="Arial" w:cs="Arial"/>
          <w:sz w:val="20"/>
          <w:szCs w:val="20"/>
        </w:rPr>
        <w:t>: là dự phòng phần giá trị bị tổn thất do các loại chứng khoán đầu tư của doanh nghiệp bị giảm giá; giá trị các khoản đầu tư tài chính bị tổn thất do tổ chức kinh tế mà doanh nghiệp đang đầu tư vào bị lỗ.</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3. </w:t>
      </w:r>
      <w:r w:rsidRPr="0007651E">
        <w:rPr>
          <w:rFonts w:ascii="Arial" w:eastAsia="Times New Roman" w:hAnsi="Arial" w:cs="Arial"/>
          <w:i/>
          <w:iCs/>
          <w:sz w:val="20"/>
          <w:szCs w:val="20"/>
        </w:rPr>
        <w:t>Dự phòng nợ phải thu khó đòi</w:t>
      </w:r>
      <w:r w:rsidRPr="0007651E">
        <w:rPr>
          <w:rFonts w:ascii="Arial" w:eastAsia="Times New Roman" w:hAnsi="Arial" w:cs="Arial"/>
          <w:sz w:val="20"/>
          <w:szCs w:val="20"/>
        </w:rPr>
        <w:t>: là dự phòng phần giá trị bị tổn thất của các khoản nợ phải thu quá hạn thanh toán, nợ phải thu chưa quá hạn nhưng có thể không đòi được do khách nợ không có khả năng thanh toán.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lastRenderedPageBreak/>
        <w:t xml:space="preserve">4. </w:t>
      </w:r>
      <w:r w:rsidRPr="0007651E">
        <w:rPr>
          <w:rFonts w:ascii="Arial" w:eastAsia="Times New Roman" w:hAnsi="Arial" w:cs="Arial"/>
          <w:i/>
          <w:iCs/>
          <w:sz w:val="20"/>
          <w:szCs w:val="20"/>
        </w:rPr>
        <w:t>Dự phòng bảo hành sản phẩm, hàng hóa, công trình xây lắp</w:t>
      </w:r>
      <w:r w:rsidRPr="0007651E">
        <w:rPr>
          <w:rFonts w:ascii="Arial" w:eastAsia="Times New Roman" w:hAnsi="Arial" w:cs="Arial"/>
          <w:sz w:val="20"/>
          <w:szCs w:val="20"/>
        </w:rPr>
        <w:t>: là dự phòng chi phí cho những sản phẩm, hàng hóa, công trình xây lắp đã bán, đã bàn giao cho người mua nhưng doanh nghiệp vẫn có nghĩa vụ phải tiếp tục sửa chữa, hoàn thiện theo hợp đồng hoặc cam kết với khách hàng.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 xml:space="preserve">Điều 3. </w:t>
      </w:r>
      <w:r w:rsidRPr="0007651E">
        <w:rPr>
          <w:rFonts w:ascii="Arial" w:eastAsia="Times New Roman" w:hAnsi="Arial" w:cs="Arial"/>
          <w:sz w:val="20"/>
          <w:szCs w:val="20"/>
        </w:rPr>
        <w:t>Nguyên tắc chung trong trích lập các khoản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1. Các khoản dự phòng nêu tại điểm 1, 2, 3, 4 Điều 2 Thông tư này được trích trước vào chi phí hoạt động kinh doanh năm báo cáo của doanh nghiệp, giúp cho doanh nghiệp có nguồn tài chính để bù đắp tổn thất có thể xảy ra trong năm kế hoạch, nhằm bảo toàn vốn kinh doanh; đảm bảo cho doanh nghiệp phản ánh giá trị vật tư hàng hóa tồn kho, các khoản đầu tư tài chính không cao hơn giá cả trên thị trường và giá trị của các khoản nợ phải thu không cao hơn giá trị có thể thu hồi được tại thời điểm lập báo cáo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2. </w:t>
      </w:r>
      <w:r w:rsidRPr="0007651E">
        <w:rPr>
          <w:rFonts w:ascii="Arial" w:eastAsia="Times New Roman" w:hAnsi="Arial" w:cs="Arial"/>
          <w:sz w:val="20"/>
          <w:szCs w:val="20"/>
          <w:highlight w:val="yellow"/>
        </w:rPr>
        <w:t>Thời điểm lập và hoàn nhập các khoản dự phòng là thời điểm cuối kỳ kế toán năm</w:t>
      </w:r>
      <w:r w:rsidRPr="0007651E">
        <w:rPr>
          <w:rFonts w:ascii="Arial" w:eastAsia="Times New Roman" w:hAnsi="Arial" w:cs="Arial"/>
          <w:sz w:val="20"/>
          <w:szCs w:val="20"/>
        </w:rPr>
        <w:t>. Trường hợp doanh nghiệp được Bộ Tài chính chấp thuận áp dụng năm tài chính khác với năm dương lịch (bắt đầu từ ngày 1/1 và kết thúc 31/12 hàng năm) thì thời điểm lập và hoàn nhập các khoản dự phòng là ngày cuối cùng của năm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Đối với các doanh nghiệp niêm yết trên thị trường chứng khoán phải lập báo cáo tài chính giữa niên độ thì được trích lập và hoàn nhập dự phòng ở cả thời điểm lập báo cáo tài chính giữa niên độ.</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3. Doanh nghiệp phải xây dựng cơ chế về quản lý vật tư, hàng hóa, quản lý công nợ để hạn chế các rủi ro trong kinh doanh. Đối với công nợ, hàng hóa, quy chế phải xác định rõ trách nhiệm của từng bộ phận, từng người trong việc theo dõi, quản lý hàng hóa, thu hồi công nợ.</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Nghiêm cấm doanh nghiệp lợi dụng việc trích lập dự phòng để tính thêm vào chi phí các khoản dự phòng không có đủ căn cứ nhằm làm giảm nghĩa vụ nộp ngân sách. Những doanh nghiệp cố tình vi phạm sẽ bị xử phạt như hành vi trốn thuế theo quy định của pháp luật hiện hành.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4. Doanh nghiệp phải lập Hội đồng để thẩm định mức trích lập các khoản dự phòng và xử lý tổn thất thực tế của vật tư hàng hóa tồn kho, các khoản đầu tư tài chính, các khoản nợ không có khả năng thu hồi theo quy định tại Thông tư này và văn bản pháp luật khác có liên quan. Riêng việc trích lập dự phòng chi phí bảo hành sản phẩm, hàng hóa, công trình xây lắp thì thực hiện theo hợp đồng hoặc cam kết với khách hàng.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Thành phần Hội đồng gồm: Tổng giám đốc (hoặc Giám đốc), Kế toán trưởng, các trưởng phòng, ban có liên quan và một số chuyên gia (nếu cần). Tổng giám đốc (hoặc Giám đốc) doanh nghiệp quyết định thành lập Hội đồng.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Phần 2.</w:t>
      </w:r>
    </w:p>
    <w:p w:rsidR="0007651E" w:rsidRPr="0007651E" w:rsidRDefault="0007651E" w:rsidP="0007651E">
      <w:pPr>
        <w:shd w:val="clear" w:color="auto" w:fill="FFFFFF"/>
        <w:spacing w:after="120" w:line="312" w:lineRule="auto"/>
        <w:jc w:val="center"/>
        <w:rPr>
          <w:rFonts w:ascii="Arial" w:eastAsia="Times New Roman" w:hAnsi="Arial" w:cs="Arial"/>
          <w:sz w:val="20"/>
          <w:szCs w:val="20"/>
        </w:rPr>
      </w:pPr>
      <w:r w:rsidRPr="0007651E">
        <w:rPr>
          <w:rFonts w:ascii="Arial" w:eastAsia="Times New Roman" w:hAnsi="Arial" w:cs="Arial"/>
          <w:b/>
          <w:bCs/>
          <w:sz w:val="24"/>
          <w:szCs w:val="24"/>
        </w:rPr>
        <w:t>TRÍCH LẬP VÀ SỬ DỤNG CÁC KHOẢN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Căn cứ vào biến động thực tế về giá hàng tồn kho, giá chứng khoán, giá trị các khoản đầu tư tài chính, nợ phải thu khó đòi và cam kết bảo hành sản phẩm, hàng hóa, doanh nghiệp chủ động xác định mức trích lập, sử dụng từng khoản dự phòng đúng mục đích và xử lý theo các quy định cụ thể dưới đây: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 xml:space="preserve">Điều 4. </w:t>
      </w:r>
      <w:r w:rsidRPr="0007651E">
        <w:rPr>
          <w:rFonts w:ascii="Arial" w:eastAsia="Times New Roman" w:hAnsi="Arial" w:cs="Arial"/>
          <w:sz w:val="20"/>
          <w:szCs w:val="20"/>
          <w:highlight w:val="yellow"/>
        </w:rPr>
        <w:t>Dự phòng giảm giá hàng tồn kho.</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1</w:t>
      </w:r>
      <w:r w:rsidRPr="0007651E">
        <w:rPr>
          <w:rFonts w:ascii="Arial" w:eastAsia="Times New Roman" w:hAnsi="Arial" w:cs="Arial"/>
          <w:sz w:val="20"/>
          <w:szCs w:val="20"/>
          <w:highlight w:val="yellow"/>
        </w:rPr>
        <w:t>. Đối tượng lập dự phòng</w:t>
      </w:r>
      <w:r w:rsidRPr="0007651E">
        <w:rPr>
          <w:rFonts w:ascii="Arial" w:eastAsia="Times New Roman" w:hAnsi="Arial" w:cs="Arial"/>
          <w:sz w:val="20"/>
          <w:szCs w:val="20"/>
        </w:rPr>
        <w:t xml:space="preserve"> bao gồm nguyên </w:t>
      </w:r>
      <w:r w:rsidRPr="0007651E">
        <w:rPr>
          <w:rFonts w:ascii="Arial" w:eastAsia="Times New Roman" w:hAnsi="Arial" w:cs="Arial"/>
          <w:sz w:val="20"/>
          <w:szCs w:val="20"/>
          <w:highlight w:val="yellow"/>
        </w:rPr>
        <w:t>vật liệu, dụng cụ dùng cho sản xuất, vật tư, hàng hóa,</w:t>
      </w:r>
      <w:r w:rsidRPr="00674F14">
        <w:rPr>
          <w:rFonts w:ascii="Arial" w:eastAsia="Times New Roman" w:hAnsi="Arial" w:cs="Arial"/>
          <w:b/>
          <w:color w:val="FF0000"/>
          <w:sz w:val="20"/>
          <w:szCs w:val="20"/>
          <w:highlight w:val="yellow"/>
        </w:rPr>
        <w:t xml:space="preserve"> thành phẩm tồn kho</w:t>
      </w:r>
      <w:r w:rsidRPr="0007651E">
        <w:rPr>
          <w:rFonts w:ascii="Arial" w:eastAsia="Times New Roman" w:hAnsi="Arial" w:cs="Arial"/>
          <w:sz w:val="20"/>
          <w:szCs w:val="20"/>
        </w:rPr>
        <w:t xml:space="preserve"> (gồm cả hàng tồn kho </w:t>
      </w:r>
      <w:r w:rsidRPr="008868D4">
        <w:rPr>
          <w:rFonts w:ascii="Arial" w:eastAsia="Times New Roman" w:hAnsi="Arial" w:cs="Arial"/>
          <w:b/>
          <w:color w:val="FF0000"/>
          <w:sz w:val="20"/>
          <w:szCs w:val="20"/>
        </w:rPr>
        <w:t>bị hư hỏng</w:t>
      </w:r>
      <w:r w:rsidRPr="0007651E">
        <w:rPr>
          <w:rFonts w:ascii="Arial" w:eastAsia="Times New Roman" w:hAnsi="Arial" w:cs="Arial"/>
          <w:sz w:val="20"/>
          <w:szCs w:val="20"/>
        </w:rPr>
        <w:t xml:space="preserve">, </w:t>
      </w:r>
      <w:r w:rsidRPr="00957CFA">
        <w:rPr>
          <w:rFonts w:ascii="Arial" w:eastAsia="Times New Roman" w:hAnsi="Arial" w:cs="Arial"/>
          <w:b/>
          <w:sz w:val="20"/>
          <w:szCs w:val="20"/>
        </w:rPr>
        <w:t>kém mất phẩm chất</w:t>
      </w:r>
      <w:r w:rsidRPr="0007651E">
        <w:rPr>
          <w:rFonts w:ascii="Arial" w:eastAsia="Times New Roman" w:hAnsi="Arial" w:cs="Arial"/>
          <w:sz w:val="20"/>
          <w:szCs w:val="20"/>
        </w:rPr>
        <w:t xml:space="preserve">, lạc hậu mốt, lạc hậu kỹ thuật, lỗi </w:t>
      </w:r>
      <w:r w:rsidRPr="0007651E">
        <w:rPr>
          <w:rFonts w:ascii="Arial" w:eastAsia="Times New Roman" w:hAnsi="Arial" w:cs="Arial"/>
          <w:sz w:val="20"/>
          <w:szCs w:val="20"/>
        </w:rPr>
        <w:lastRenderedPageBreak/>
        <w:t xml:space="preserve">thời, ứ đọng, chậm luân chuyển…), </w:t>
      </w:r>
      <w:r w:rsidRPr="001722A1">
        <w:rPr>
          <w:rFonts w:ascii="Arial" w:eastAsia="Times New Roman" w:hAnsi="Arial" w:cs="Arial"/>
          <w:b/>
          <w:color w:val="FF0000"/>
          <w:sz w:val="20"/>
          <w:szCs w:val="20"/>
        </w:rPr>
        <w:t>sản phẩm dở dang</w:t>
      </w:r>
      <w:r w:rsidRPr="0007651E">
        <w:rPr>
          <w:rFonts w:ascii="Arial" w:eastAsia="Times New Roman" w:hAnsi="Arial" w:cs="Arial"/>
          <w:sz w:val="20"/>
          <w:szCs w:val="20"/>
        </w:rPr>
        <w:t xml:space="preserve">, chi phí dịch vụ dở dang (sau đây gọi tắt là hàng tồn kho) mà giá gốc ghi trên sổ kế toán </w:t>
      </w:r>
      <w:r w:rsidRPr="00B40132">
        <w:rPr>
          <w:rFonts w:ascii="Arial" w:eastAsia="Times New Roman" w:hAnsi="Arial" w:cs="Arial"/>
          <w:b/>
          <w:color w:val="FF0000"/>
          <w:sz w:val="20"/>
          <w:szCs w:val="20"/>
        </w:rPr>
        <w:t>cao hơn giá trị thuần có thể thực hiện được</w:t>
      </w:r>
      <w:r w:rsidRPr="0007651E">
        <w:rPr>
          <w:rFonts w:ascii="Arial" w:eastAsia="Times New Roman" w:hAnsi="Arial" w:cs="Arial"/>
          <w:sz w:val="20"/>
          <w:szCs w:val="20"/>
        </w:rPr>
        <w:t xml:space="preserve"> và đảm bảo điều kiện sau: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Có hóa đơn, chứng từ hợp pháp theo quy định của Bộ Tài chính hoặc các bằng chứng khác </w:t>
      </w:r>
      <w:r w:rsidRPr="0007651E">
        <w:rPr>
          <w:rFonts w:ascii="Arial" w:eastAsia="Times New Roman" w:hAnsi="Arial" w:cs="Arial"/>
          <w:sz w:val="20"/>
          <w:szCs w:val="20"/>
          <w:highlight w:val="yellow"/>
        </w:rPr>
        <w:t>chứng minh giá vốn hàng tồn kho.</w:t>
      </w:r>
      <w:r w:rsidRPr="0007651E">
        <w:rPr>
          <w:rFonts w:ascii="Arial" w:eastAsia="Times New Roman" w:hAnsi="Arial" w:cs="Arial"/>
          <w:sz w:val="20"/>
          <w:szCs w:val="20"/>
        </w:rPr>
        <w:t xml:space="preserve">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Là những vật tư hàng hóa </w:t>
      </w:r>
      <w:r w:rsidRPr="001458B8">
        <w:rPr>
          <w:rFonts w:ascii="Arial" w:eastAsia="Times New Roman" w:hAnsi="Arial" w:cs="Arial"/>
          <w:b/>
          <w:color w:val="FF0000"/>
          <w:sz w:val="20"/>
          <w:szCs w:val="20"/>
        </w:rPr>
        <w:t>thuộc quyền sở hữu của doanh nghiệp</w:t>
      </w:r>
      <w:r w:rsidRPr="0007651E">
        <w:rPr>
          <w:rFonts w:ascii="Arial" w:eastAsia="Times New Roman" w:hAnsi="Arial" w:cs="Arial"/>
          <w:sz w:val="20"/>
          <w:szCs w:val="20"/>
        </w:rPr>
        <w:t xml:space="preserve"> tồn kho tại thời điểm lập báo cáo tài chính.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Trường hợp nguyên vật liệu có </w:t>
      </w:r>
      <w:r w:rsidRPr="00674F14">
        <w:rPr>
          <w:rFonts w:ascii="Arial" w:eastAsia="Times New Roman" w:hAnsi="Arial" w:cs="Arial"/>
          <w:b/>
          <w:color w:val="FF0000"/>
          <w:sz w:val="20"/>
          <w:szCs w:val="20"/>
        </w:rPr>
        <w:t>giá trị thuần</w:t>
      </w:r>
      <w:r w:rsidRPr="0007651E">
        <w:rPr>
          <w:rFonts w:ascii="Arial" w:eastAsia="Times New Roman" w:hAnsi="Arial" w:cs="Arial"/>
          <w:sz w:val="20"/>
          <w:szCs w:val="20"/>
        </w:rPr>
        <w:t xml:space="preserve"> có thể thực hiện được </w:t>
      </w:r>
      <w:r w:rsidRPr="00674F14">
        <w:rPr>
          <w:rFonts w:ascii="Arial" w:eastAsia="Times New Roman" w:hAnsi="Arial" w:cs="Arial"/>
          <w:b/>
          <w:color w:val="FF0000"/>
          <w:sz w:val="20"/>
          <w:szCs w:val="20"/>
        </w:rPr>
        <w:t>thấp hơn so với giá gốc</w:t>
      </w:r>
      <w:r w:rsidRPr="0007651E">
        <w:rPr>
          <w:rFonts w:ascii="Arial" w:eastAsia="Times New Roman" w:hAnsi="Arial" w:cs="Arial"/>
          <w:sz w:val="20"/>
          <w:szCs w:val="20"/>
        </w:rPr>
        <w:t xml:space="preserve"> nhưng </w:t>
      </w:r>
      <w:r w:rsidRPr="00674F14">
        <w:rPr>
          <w:rFonts w:ascii="Arial" w:eastAsia="Times New Roman" w:hAnsi="Arial" w:cs="Arial"/>
          <w:b/>
          <w:color w:val="FF0000"/>
          <w:sz w:val="20"/>
          <w:szCs w:val="20"/>
        </w:rPr>
        <w:t>giá bán sản phẩm dịch vụ</w:t>
      </w:r>
      <w:r w:rsidRPr="0007651E">
        <w:rPr>
          <w:rFonts w:ascii="Arial" w:eastAsia="Times New Roman" w:hAnsi="Arial" w:cs="Arial"/>
          <w:sz w:val="20"/>
          <w:szCs w:val="20"/>
        </w:rPr>
        <w:t xml:space="preserve"> được sản xuất từ nguyên vật liệu này </w:t>
      </w:r>
      <w:r w:rsidRPr="00674F14">
        <w:rPr>
          <w:rFonts w:ascii="Arial" w:eastAsia="Times New Roman" w:hAnsi="Arial" w:cs="Arial"/>
          <w:b/>
          <w:color w:val="FF0000"/>
          <w:sz w:val="20"/>
          <w:szCs w:val="20"/>
        </w:rPr>
        <w:t>không bị giảm giá</w:t>
      </w:r>
      <w:r w:rsidRPr="0007651E">
        <w:rPr>
          <w:rFonts w:ascii="Arial" w:eastAsia="Times New Roman" w:hAnsi="Arial" w:cs="Arial"/>
          <w:sz w:val="20"/>
          <w:szCs w:val="20"/>
        </w:rPr>
        <w:t xml:space="preserve"> thì không được trích lập dự phòng giảm giá nguyên vật liệu tồn kho đó.</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2. Phương pháp lập dự phòng: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Mức trích lập dự phòng tính theo công thức sau: </w:t>
      </w:r>
    </w:p>
    <w:tbl>
      <w:tblPr>
        <w:tblW w:w="9012" w:type="dxa"/>
        <w:tblCellMar>
          <w:left w:w="0" w:type="dxa"/>
          <w:right w:w="0" w:type="dxa"/>
        </w:tblCellMar>
        <w:tblLook w:val="04A0" w:firstRow="1" w:lastRow="0" w:firstColumn="1" w:lastColumn="0" w:noHBand="0" w:noVBand="1"/>
      </w:tblPr>
      <w:tblGrid>
        <w:gridCol w:w="1860"/>
        <w:gridCol w:w="445"/>
        <w:gridCol w:w="2267"/>
        <w:gridCol w:w="473"/>
        <w:gridCol w:w="1502"/>
        <w:gridCol w:w="360"/>
        <w:gridCol w:w="2105"/>
      </w:tblGrid>
      <w:tr w:rsidR="0007651E" w:rsidRPr="0007651E" w:rsidTr="0007651E">
        <w:tc>
          <w:tcPr>
            <w:tcW w:w="1860"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highlight w:val="yellow"/>
              </w:rPr>
              <w:t>Mức dự phòng giảm giá vật tư hàng hóa</w:t>
            </w:r>
            <w:r w:rsidRPr="0007651E">
              <w:rPr>
                <w:rFonts w:ascii="Arial" w:eastAsia="Times New Roman" w:hAnsi="Arial" w:cs="Arial"/>
                <w:sz w:val="20"/>
                <w:szCs w:val="20"/>
              </w:rPr>
              <w:t xml:space="preserve"> </w:t>
            </w:r>
          </w:p>
        </w:tc>
        <w:tc>
          <w:tcPr>
            <w:tcW w:w="445"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w:t>
            </w:r>
          </w:p>
        </w:tc>
        <w:tc>
          <w:tcPr>
            <w:tcW w:w="2267"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Lượng vật tư hàng hóa thực tế tồn kho tại thời điểm lập báo cáo tài chính </w:t>
            </w:r>
          </w:p>
        </w:tc>
        <w:tc>
          <w:tcPr>
            <w:tcW w:w="473" w:type="dxa"/>
            <w:tcBorders>
              <w:top w:val="nil"/>
              <w:left w:val="nil"/>
              <w:bottom w:val="nil"/>
              <w:right w:val="single" w:sz="8" w:space="0" w:color="auto"/>
            </w:tcBorders>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x</w:t>
            </w:r>
          </w:p>
        </w:tc>
        <w:tc>
          <w:tcPr>
            <w:tcW w:w="1502" w:type="dxa"/>
            <w:tcMar>
              <w:top w:w="0" w:type="dxa"/>
              <w:left w:w="108" w:type="dxa"/>
              <w:bottom w:w="0" w:type="dxa"/>
              <w:right w:w="108" w:type="dxa"/>
            </w:tcMa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Giá gốc hàng tồn kho theo sổ kế toán  </w:t>
            </w:r>
          </w:p>
        </w:tc>
        <w:tc>
          <w:tcPr>
            <w:tcW w:w="360"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w:t>
            </w:r>
          </w:p>
        </w:tc>
        <w:tc>
          <w:tcPr>
            <w:tcW w:w="2105" w:type="dxa"/>
            <w:tcBorders>
              <w:top w:val="nil"/>
              <w:left w:val="nil"/>
              <w:bottom w:val="nil"/>
              <w:right w:val="single" w:sz="8" w:space="0" w:color="auto"/>
            </w:tcBorders>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Giá trị thuần có thể thực hiện được của hàng tồn kho</w:t>
            </w:r>
          </w:p>
        </w:tc>
      </w:tr>
    </w:tbl>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Giá gốc hàng tồn kho bao gồm: chi phí mua, chi phí chế biến và các chi phí liên quan trực tiếp khác phát sinh để có được hàng tồn kho ở địa điểm và trạng thái hiện tại theo quy định tại Chuẩn mực kế toán số 02 - Hàng tồn kho ban hành kèm theo Quyết định số 149/2001/QĐ-BTC ngày 31/12/2001 của Bộ trưởng Bộ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Giá trị thuần có thể thực hiện được của hàng tồn kho (giá trị dự kiến thu hồi) là giá bán (ước tính) của hàng tồn kho trừ (-) chi phí để hoàn thành sản phẩm và chi phí tiêu thụ (ước tính).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Mức lập dự phòng giảm giá hàng tồn kho được tính cho từng loại hàng tồn kho bị giảm giá và tổng hợp toàn bộ vào bảng kê chi tiết. Bảng kê là căn cứ để hạch toán vào giá vốn hàng bán (giá thành toàn bộ sản phẩm hàng hóa tiêu thụ trong kỳ) của doanh nghiệp.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Riêng dịch vụ cung cấp dở dang, việc lập dự phòng giảm giá hàng tồn kho tính theo từng loại dịch vụ có mức giá riêng biệt.</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3. Xử lý khoản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Tại thời điểm lập dự phòng nếu giá gốc của hàng tồn kho cao hơn giá trị thuần có thể thực hiện được của hàng tồn kho thì phải trích lập dự phòng giảm giá hàng tồn kho theo các quy định tại điểm 1, điểm 2 Điều này.</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Nếu số dự phòng giảm giá phải trích lập bằng số dư khoản dự phòng giảm giá hàng tồn kho, thì doanh nghiệp không phải trích lập khoản dự phòng giảm giá hàng tồn kho;</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Nếu số dự phòng giảm giá phải trích lập cao hơn số dư khoản dự phòng giảm giá hàng tồn kho, thì doanh nghiệp được trích thêm phần chênh lệch vào giá vốn hàng bán ra trong kỳ.</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Nếu số dự phòng phải trích lập thấp hơn số dư khoản dự phòng giảm giá hàng tồn kho, thì doanh nghiệp phải hoàn nhập phần chênh lệch và ghi giảm giá vốn hàng bán.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56449E">
        <w:rPr>
          <w:rFonts w:ascii="Arial" w:eastAsia="Times New Roman" w:hAnsi="Arial" w:cs="Arial"/>
          <w:sz w:val="20"/>
          <w:szCs w:val="20"/>
          <w:highlight w:val="yellow"/>
        </w:rPr>
        <w:lastRenderedPageBreak/>
        <w:t>4. Xử lý hủy bỏ đối với vật tư, hàng hóa đã trích lập dự phòng:</w:t>
      </w:r>
      <w:r w:rsidRPr="0007651E">
        <w:rPr>
          <w:rFonts w:ascii="Arial" w:eastAsia="Times New Roman" w:hAnsi="Arial" w:cs="Arial"/>
          <w:sz w:val="20"/>
          <w:szCs w:val="20"/>
        </w:rPr>
        <w:t xml:space="preserve">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a) Hàng tồn đọng do hết hạn sử dụng, mất phẩm chất, dịch bệnh, hư hỏng, </w:t>
      </w:r>
      <w:r w:rsidRPr="00061314">
        <w:rPr>
          <w:rFonts w:ascii="Arial" w:eastAsia="Times New Roman" w:hAnsi="Arial" w:cs="Arial"/>
          <w:b/>
          <w:color w:val="FF0000"/>
          <w:sz w:val="20"/>
          <w:szCs w:val="20"/>
        </w:rPr>
        <w:t>do không còn giá trị sử dụng</w:t>
      </w:r>
      <w:r w:rsidRPr="0007651E">
        <w:rPr>
          <w:rFonts w:ascii="Arial" w:eastAsia="Times New Roman" w:hAnsi="Arial" w:cs="Arial"/>
          <w:sz w:val="20"/>
          <w:szCs w:val="20"/>
        </w:rPr>
        <w:t xml:space="preserve"> như: dược phẩm, thực phẩm, vật tư y tế, con giống, vật nuôi, vật tư hàng hóa khác phải hủy bỏ thì xử lý như sau: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Doanh nghiệp lập Hội đồng xử lý tài sản để thẩm định tài sản bị hủy bỏ. Biên bản thẩm định phải kê chi tiết tên, số lượng, giá trị hàng hóa phải hủy bỏ, nguyên nhân phải hủy bỏ, giá trị thu hồi được do bán thanh lý, giá trị thiệt hại thực tế.</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Mức độ tổn thất thực tế của từng loại hàng tồn đọng không thu hồi được là khoản chênh lệch giữa giá trị ghi trên sổ kế toán trừ đi giá trị thu hồi do thanh lý (do người gây thiệt hại đền bù, do bán thanh lý hàng hóa).</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b) Thẩm quyền xử lý: Hội đồng quản trị (đối với doanh nghiệp có Hội đồng quản trị) hoặc Hội đồng thành viên (đối với doanh nghiệp có Hội đồng thành viên); Tổng giám đốc (hoặc Giám đốc) đối với doanh nghiệp không có Hội đồng quản trị, Hội đồng thành viên; chủ doanh nghiệp căn cứ vào Biên bản của Hội đồng xử lý, các bằng chứng liên quan đến hàng hóa tồn đọng để quyết định xử lý hủy bỏ vật tư, hàng hóa nói trên; quyết định xử lý trách nhiệm của những người liên quan đến số vật tư, hàng hóa đó và chịu trách nhiệm về quyết định của mình trước chủ sở hữu và trước pháp luật.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c) Xử lý hạch toán: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Giá trị tổn thất thực tế của hàng tồn đọng không thu hồi được đã có quyết định xử lý hủy bỏ, sau khi bù đắp bằng nguồn dự phòng giảm giá hàng tồn kho, phần chênh lệch thiếu được hạch toán vào giá vốn hàng bán của doanh nghiệp.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 xml:space="preserve">Điều 5. </w:t>
      </w:r>
      <w:r w:rsidRPr="0007651E">
        <w:rPr>
          <w:rFonts w:ascii="Arial" w:eastAsia="Times New Roman" w:hAnsi="Arial" w:cs="Arial"/>
          <w:sz w:val="20"/>
          <w:szCs w:val="20"/>
        </w:rPr>
        <w:t>Dự phòng tổn thất các khoản đầu tư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1. Đối với các khoản đầu tư chứng khoán: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a) Đối tượng: là </w:t>
      </w:r>
      <w:r w:rsidRPr="009869E6">
        <w:rPr>
          <w:rFonts w:ascii="Arial" w:eastAsia="Times New Roman" w:hAnsi="Arial" w:cs="Arial"/>
          <w:sz w:val="20"/>
          <w:szCs w:val="20"/>
          <w:highlight w:val="yellow"/>
        </w:rPr>
        <w:t>các chứng khoán</w:t>
      </w:r>
      <w:r w:rsidRPr="0007651E">
        <w:rPr>
          <w:rFonts w:ascii="Arial" w:eastAsia="Times New Roman" w:hAnsi="Arial" w:cs="Arial"/>
          <w:sz w:val="20"/>
          <w:szCs w:val="20"/>
        </w:rPr>
        <w:t xml:space="preserve"> có đủ các điều kiện sau:</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Là các loại chứng khoán được doanh nghiệp đầu tư theo đúng quy định của pháp luật.</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Được tự do mua bán trên thị trường mà tại thời điểm kiểm kê, lập báo cáo tài chính có giá thị trường giảm so với giá đang hạch toán trên sổ kế toán.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Những chứng khoán không được phép mua bán tự do trên thị trường như các chứng khoán bị hạn chế chuyển nhượng theo quy định của pháp luật; cổ phiếu quỹ thì không được lập dự phòng giảm giá.</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Các tổ chức đăng ký hoạt động kinh doanh chứng khoán như các công ty chứng khoán, công ty quản lý quỹ được thành lập và hoạt động theo quy định của Luật chứng khoán, việc trích lập dự phòng giảm giá chứng khoán thực hiện theo quy định riêng.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b) Phương pháp lập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Mức trích lập dự phòng giảm giá đầu tư chứng khoán được tính theo công thức sau:    </w:t>
      </w:r>
    </w:p>
    <w:tbl>
      <w:tblPr>
        <w:tblW w:w="8796" w:type="dxa"/>
        <w:tblCellMar>
          <w:left w:w="0" w:type="dxa"/>
          <w:right w:w="0" w:type="dxa"/>
        </w:tblCellMar>
        <w:tblLook w:val="04A0" w:firstRow="1" w:lastRow="0" w:firstColumn="1" w:lastColumn="0" w:noHBand="0" w:noVBand="1"/>
      </w:tblPr>
      <w:tblGrid>
        <w:gridCol w:w="1932"/>
        <w:gridCol w:w="445"/>
        <w:gridCol w:w="2099"/>
        <w:gridCol w:w="473"/>
        <w:gridCol w:w="1831"/>
        <w:gridCol w:w="360"/>
        <w:gridCol w:w="1656"/>
      </w:tblGrid>
      <w:tr w:rsidR="0007651E" w:rsidRPr="0007651E" w:rsidTr="0007651E">
        <w:tc>
          <w:tcPr>
            <w:tcW w:w="1932"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Mức dự phòng giảm giá đầu tư chứng khoán </w:t>
            </w:r>
          </w:p>
        </w:tc>
        <w:tc>
          <w:tcPr>
            <w:tcW w:w="445"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w:t>
            </w:r>
          </w:p>
        </w:tc>
        <w:tc>
          <w:tcPr>
            <w:tcW w:w="2099"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Số lượng chứng khoán bị giảm giá tại thời điểm lập báo </w:t>
            </w:r>
            <w:r w:rsidRPr="0007651E">
              <w:rPr>
                <w:rFonts w:ascii="Arial" w:eastAsia="Times New Roman" w:hAnsi="Arial" w:cs="Arial"/>
                <w:sz w:val="20"/>
                <w:szCs w:val="20"/>
              </w:rPr>
              <w:lastRenderedPageBreak/>
              <w:t xml:space="preserve">cáo tài chính </w:t>
            </w:r>
          </w:p>
        </w:tc>
        <w:tc>
          <w:tcPr>
            <w:tcW w:w="473" w:type="dxa"/>
            <w:tcBorders>
              <w:top w:val="nil"/>
              <w:left w:val="nil"/>
              <w:bottom w:val="nil"/>
              <w:right w:val="single" w:sz="8" w:space="0" w:color="auto"/>
            </w:tcBorders>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lastRenderedPageBreak/>
              <w:t>x</w:t>
            </w:r>
          </w:p>
        </w:tc>
        <w:tc>
          <w:tcPr>
            <w:tcW w:w="1831" w:type="dxa"/>
            <w:tcMar>
              <w:top w:w="0" w:type="dxa"/>
              <w:left w:w="108" w:type="dxa"/>
              <w:bottom w:w="0" w:type="dxa"/>
              <w:right w:w="108" w:type="dxa"/>
            </w:tcMa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Giá chứng khoán hạch toán trên sổ kế toán  </w:t>
            </w:r>
          </w:p>
        </w:tc>
        <w:tc>
          <w:tcPr>
            <w:tcW w:w="360"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w:t>
            </w:r>
          </w:p>
        </w:tc>
        <w:tc>
          <w:tcPr>
            <w:tcW w:w="1656" w:type="dxa"/>
            <w:tcBorders>
              <w:top w:val="nil"/>
              <w:left w:val="nil"/>
              <w:bottom w:val="nil"/>
              <w:right w:val="single" w:sz="8" w:space="0" w:color="auto"/>
            </w:tcBorders>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Giá chứng khoán thực tế trên thị trường </w:t>
            </w:r>
          </w:p>
        </w:tc>
      </w:tr>
    </w:tbl>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Đối với chứng khoán đã niêm yết: giá chứng khoán thực tế trên thị trường được tính theo giá thực tế trên các Sở giao dịch chứng khoán Hà Nội (HNX) là giá giao dịch bình quân tại ngày trích lập dự phòng; Sở giao dịch chứng khoán thành phố Hồ Chí Minh (HOSE) là giá đóng cửa tại ngày trích lập dự phòng.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Đối với các loại chứng khoán chưa niêm yết trên thị trường chứng khoán, giá chứng khoán thực tế trên thị trường được xác định như sau: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Đối với các Công ty đã đăng ký giao dịch trên thị trường giao dịch của các công ty đại chúng chưa niêm yết (UPCom) thì giá chứng khoán thực tế trên thị trường được xác định là giá giao dịch bình quân trên hệ thống tại ngày lập dự phòng.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Đối với các Công ty chưa đăng ký giao dịch ở thị trường giao dịch của các công ty đại chúng thì giá chứng khoán thực tế trên thị trường được xác định là giá trung bình trên cơ sở giá giao dịch được cung cấp tối thiểu bởi ba (03) công ty chứng khoán tại thời điểm lập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Trường hợp không thể xác định được giá trị thị trường của chứng khoán thì các doanh nghiệp không được trích lập dự phòng giảm giá chứng khoán.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Đối với những chứng khoán niêm yết bị hủy giao dịch, ngừng giao dịch kể từ ngày giao dịch thứ sáu trở đi là giá trị sổ sách tại ngày lập bảng cân đối kế toán gần nhất.</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Doanh nghiệp phải lập dự phòng riêng cho từng loại chứng khoán đầu tư, có biến động giảm giá tại thời điểm lập báo cáo tài chính và được tổng hợp vào bảng kê chi tiết dự phòng giảm giá chứng khoán đầu tư, làm căn cứ hạch toán vào chi phí tài chính của doanh nghiệp.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c) Xử lý khoản dự phòng: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Tại thời điểm lập dự phòng nếu các chứng khoán do doanh nghiệp đầu tư bị giảm giá so với giá đang hạch toán trên sổ kế toán thì phải trích lập dự phòng theo các quy định tại tiết b điểm 1 Điều này;</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Nếu số dự phòng phải trích lập bằng số dư khoản dự phòng, thì doanh nghiệp không phải trích lập khoản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Nếu số dự phòng phải trích lập cao hơn số dư khoản dự phòng, thì doanh nghiệp trích thêm vào chi phí tài chính của doanh nghiệp phần chênh lệch.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Nếu số dự phòng phải trích lập thấp hơn số dư khoản dự phòng, thì doanh nghiệp phải hoàn nhập phần chênh lệch ghi giảm chi phí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2. Các khoản </w:t>
      </w:r>
      <w:r w:rsidRPr="009869E6">
        <w:rPr>
          <w:rFonts w:ascii="Arial" w:eastAsia="Times New Roman" w:hAnsi="Arial" w:cs="Arial"/>
          <w:sz w:val="20"/>
          <w:szCs w:val="20"/>
          <w:highlight w:val="yellow"/>
        </w:rPr>
        <w:t>đầu tư tài chính dài hạn</w:t>
      </w:r>
      <w:r w:rsidRPr="0007651E">
        <w:rPr>
          <w:rFonts w:ascii="Arial" w:eastAsia="Times New Roman" w:hAnsi="Arial" w:cs="Arial"/>
          <w:sz w:val="20"/>
          <w:szCs w:val="20"/>
        </w:rPr>
        <w:t xml:space="preserve">: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a) Đối tượng: là các </w:t>
      </w:r>
      <w:r w:rsidRPr="009869E6">
        <w:rPr>
          <w:rFonts w:ascii="Arial" w:eastAsia="Times New Roman" w:hAnsi="Arial" w:cs="Arial"/>
          <w:sz w:val="20"/>
          <w:szCs w:val="20"/>
          <w:highlight w:val="yellow"/>
        </w:rPr>
        <w:t>khoản vốn doanh nghiệp đang đầu tư</w:t>
      </w:r>
      <w:r w:rsidRPr="0007651E">
        <w:rPr>
          <w:rFonts w:ascii="Arial" w:eastAsia="Times New Roman" w:hAnsi="Arial" w:cs="Arial"/>
          <w:sz w:val="20"/>
          <w:szCs w:val="20"/>
        </w:rPr>
        <w:t xml:space="preserve"> vào tổ chức kinh tế khác được thành lập theo quy định của pháp luật như công ty nhà nước, công ty trách nhiệm hữu hạn, công ty cổ phần, công ty hợp danh… và các khoản đầu tư dài hạn khác phải trích lập dự phòng </w:t>
      </w:r>
      <w:r w:rsidRPr="009869E6">
        <w:rPr>
          <w:rFonts w:ascii="Arial" w:eastAsia="Times New Roman" w:hAnsi="Arial" w:cs="Arial"/>
          <w:sz w:val="20"/>
          <w:szCs w:val="20"/>
          <w:highlight w:val="yellow"/>
        </w:rPr>
        <w:t>nếu tổ chức kinh tế mà doanh nghiệp đang đầu tư bị lỗ</w:t>
      </w:r>
      <w:r w:rsidRPr="0007651E">
        <w:rPr>
          <w:rFonts w:ascii="Arial" w:eastAsia="Times New Roman" w:hAnsi="Arial" w:cs="Arial"/>
          <w:sz w:val="20"/>
          <w:szCs w:val="20"/>
        </w:rPr>
        <w:t xml:space="preserve"> (trừ trường hợp lỗ theo kế hoạch đã được xác định trong phương án kinh doanh trước khi đầu tư).</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b) Phương pháp lập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Mức trích tối đa cho mỗi khoản đầu tư tài chính bằng số vốn đã đầu tư và tính theo công thức sau: </w:t>
      </w:r>
    </w:p>
    <w:tbl>
      <w:tblPr>
        <w:tblW w:w="8628" w:type="dxa"/>
        <w:tblCellMar>
          <w:left w:w="0" w:type="dxa"/>
          <w:right w:w="0" w:type="dxa"/>
        </w:tblCellMar>
        <w:tblLook w:val="04A0" w:firstRow="1" w:lastRow="0" w:firstColumn="1" w:lastColumn="0" w:noHBand="0" w:noVBand="1"/>
      </w:tblPr>
      <w:tblGrid>
        <w:gridCol w:w="1860"/>
        <w:gridCol w:w="445"/>
        <w:gridCol w:w="1425"/>
        <w:gridCol w:w="360"/>
        <w:gridCol w:w="1196"/>
        <w:gridCol w:w="360"/>
        <w:gridCol w:w="2982"/>
      </w:tblGrid>
      <w:tr w:rsidR="0007651E" w:rsidRPr="0007651E" w:rsidTr="0007651E">
        <w:tc>
          <w:tcPr>
            <w:tcW w:w="1860" w:type="dxa"/>
            <w:vMerge w:val="restart"/>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lastRenderedPageBreak/>
              <w:t> Mức dự phòng tổn thất các khoản đầu tư tài chính  </w:t>
            </w:r>
          </w:p>
        </w:tc>
        <w:tc>
          <w:tcPr>
            <w:tcW w:w="445" w:type="dxa"/>
            <w:vMerge w:val="restart"/>
            <w:tcBorders>
              <w:top w:val="nil"/>
              <w:left w:val="nil"/>
              <w:bottom w:val="nil"/>
              <w:right w:val="single" w:sz="8" w:space="0" w:color="auto"/>
            </w:tcBorders>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w:t>
            </w:r>
          </w:p>
        </w:tc>
        <w:tc>
          <w:tcPr>
            <w:tcW w:w="1425" w:type="dxa"/>
            <w:vMerge w:val="restart"/>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Vốn góp thực tế của các bên tại tổ chức kinh tế </w:t>
            </w:r>
          </w:p>
        </w:tc>
        <w:tc>
          <w:tcPr>
            <w:tcW w:w="360" w:type="dxa"/>
            <w:vMerge w:val="restart"/>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w:t>
            </w:r>
          </w:p>
        </w:tc>
        <w:tc>
          <w:tcPr>
            <w:tcW w:w="1196" w:type="dxa"/>
            <w:vMerge w:val="restart"/>
            <w:tcBorders>
              <w:top w:val="nil"/>
              <w:left w:val="nil"/>
              <w:bottom w:val="nil"/>
              <w:right w:val="single" w:sz="8" w:space="0" w:color="auto"/>
            </w:tcBorders>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Vốn chủ sở hữu thực có</w:t>
            </w:r>
          </w:p>
        </w:tc>
        <w:tc>
          <w:tcPr>
            <w:tcW w:w="360" w:type="dxa"/>
            <w:vMerge w:val="restart"/>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x</w:t>
            </w:r>
          </w:p>
        </w:tc>
        <w:tc>
          <w:tcPr>
            <w:tcW w:w="2982" w:type="dxa"/>
            <w:tcBorders>
              <w:top w:val="nil"/>
              <w:left w:val="nil"/>
              <w:bottom w:val="single" w:sz="8" w:space="0" w:color="auto"/>
              <w:right w:val="nil"/>
            </w:tcBorders>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Số vốn đầu tư của doanh nghiệp </w:t>
            </w:r>
          </w:p>
        </w:tc>
      </w:tr>
      <w:tr w:rsidR="0007651E" w:rsidRPr="0007651E" w:rsidTr="0007651E">
        <w:tc>
          <w:tcPr>
            <w:tcW w:w="0" w:type="auto"/>
            <w:vMerge/>
            <w:vAlign w:val="center"/>
            <w:hideMark/>
          </w:tcPr>
          <w:p w:rsidR="0007651E" w:rsidRPr="0007651E" w:rsidRDefault="0007651E" w:rsidP="0007651E">
            <w:pPr>
              <w:spacing w:after="0" w:line="240" w:lineRule="auto"/>
              <w:rPr>
                <w:rFonts w:ascii="Arial" w:eastAsia="Times New Roman" w:hAnsi="Arial" w:cs="Arial"/>
                <w:sz w:val="20"/>
                <w:szCs w:val="20"/>
              </w:rPr>
            </w:pPr>
          </w:p>
        </w:tc>
        <w:tc>
          <w:tcPr>
            <w:tcW w:w="0" w:type="auto"/>
            <w:vMerge/>
            <w:tcBorders>
              <w:top w:val="nil"/>
              <w:left w:val="nil"/>
              <w:bottom w:val="nil"/>
              <w:right w:val="single" w:sz="8" w:space="0" w:color="auto"/>
            </w:tcBorders>
            <w:vAlign w:val="center"/>
            <w:hideMark/>
          </w:tcPr>
          <w:p w:rsidR="0007651E" w:rsidRPr="0007651E" w:rsidRDefault="0007651E" w:rsidP="0007651E">
            <w:pPr>
              <w:spacing w:after="0" w:line="240" w:lineRule="auto"/>
              <w:rPr>
                <w:rFonts w:ascii="Arial" w:eastAsia="Times New Roman" w:hAnsi="Arial" w:cs="Arial"/>
                <w:sz w:val="20"/>
                <w:szCs w:val="20"/>
              </w:rPr>
            </w:pPr>
          </w:p>
        </w:tc>
        <w:tc>
          <w:tcPr>
            <w:tcW w:w="0" w:type="auto"/>
            <w:vMerge/>
            <w:vAlign w:val="center"/>
            <w:hideMark/>
          </w:tcPr>
          <w:p w:rsidR="0007651E" w:rsidRPr="0007651E" w:rsidRDefault="0007651E" w:rsidP="0007651E">
            <w:pPr>
              <w:spacing w:after="0" w:line="240" w:lineRule="auto"/>
              <w:rPr>
                <w:rFonts w:ascii="Arial" w:eastAsia="Times New Roman" w:hAnsi="Arial" w:cs="Arial"/>
                <w:sz w:val="20"/>
                <w:szCs w:val="20"/>
              </w:rPr>
            </w:pPr>
          </w:p>
        </w:tc>
        <w:tc>
          <w:tcPr>
            <w:tcW w:w="0" w:type="auto"/>
            <w:vMerge/>
            <w:vAlign w:val="center"/>
            <w:hideMark/>
          </w:tcPr>
          <w:p w:rsidR="0007651E" w:rsidRPr="0007651E" w:rsidRDefault="0007651E" w:rsidP="0007651E">
            <w:pPr>
              <w:spacing w:after="0" w:line="240" w:lineRule="auto"/>
              <w:rPr>
                <w:rFonts w:ascii="Arial" w:eastAsia="Times New Roman" w:hAnsi="Arial" w:cs="Arial"/>
                <w:sz w:val="20"/>
                <w:szCs w:val="20"/>
              </w:rPr>
            </w:pPr>
          </w:p>
        </w:tc>
        <w:tc>
          <w:tcPr>
            <w:tcW w:w="0" w:type="auto"/>
            <w:vMerge/>
            <w:tcBorders>
              <w:top w:val="nil"/>
              <w:left w:val="nil"/>
              <w:bottom w:val="nil"/>
              <w:right w:val="single" w:sz="8" w:space="0" w:color="auto"/>
            </w:tcBorders>
            <w:vAlign w:val="center"/>
            <w:hideMark/>
          </w:tcPr>
          <w:p w:rsidR="0007651E" w:rsidRPr="0007651E" w:rsidRDefault="0007651E" w:rsidP="0007651E">
            <w:pPr>
              <w:spacing w:after="0" w:line="240" w:lineRule="auto"/>
              <w:rPr>
                <w:rFonts w:ascii="Arial" w:eastAsia="Times New Roman" w:hAnsi="Arial" w:cs="Arial"/>
                <w:sz w:val="20"/>
                <w:szCs w:val="20"/>
              </w:rPr>
            </w:pPr>
          </w:p>
        </w:tc>
        <w:tc>
          <w:tcPr>
            <w:tcW w:w="0" w:type="auto"/>
            <w:vMerge/>
            <w:vAlign w:val="center"/>
            <w:hideMark/>
          </w:tcPr>
          <w:p w:rsidR="0007651E" w:rsidRPr="0007651E" w:rsidRDefault="0007651E" w:rsidP="0007651E">
            <w:pPr>
              <w:spacing w:after="0" w:line="240" w:lineRule="auto"/>
              <w:rPr>
                <w:rFonts w:ascii="Arial" w:eastAsia="Times New Roman" w:hAnsi="Arial" w:cs="Arial"/>
                <w:sz w:val="20"/>
                <w:szCs w:val="20"/>
              </w:rPr>
            </w:pPr>
          </w:p>
        </w:tc>
        <w:tc>
          <w:tcPr>
            <w:tcW w:w="2982" w:type="dxa"/>
            <w:tcMar>
              <w:top w:w="0" w:type="dxa"/>
              <w:left w:w="108" w:type="dxa"/>
              <w:bottom w:w="0" w:type="dxa"/>
              <w:right w:w="108" w:type="dxa"/>
            </w:tcMar>
            <w:vAlign w:val="cente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sz w:val="20"/>
                <w:szCs w:val="20"/>
              </w:rPr>
              <w:t xml:space="preserve">Tổng số vốn góp thực tế của các bên tại tổ chức kinh tế </w:t>
            </w:r>
          </w:p>
        </w:tc>
      </w:tr>
    </w:tbl>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Trong đó: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Vốn góp thực tế của các bên tại tổ chức kinh tế được xác định trên Bảng cân đối kế toán của tổ chức kinh tế năm trước thời điểm trích lập dự phòng (mã số 411 và 412 Bảng cân đối kế toán – ban hành kèm theo Quyết định số 15/2006/QĐ-BTC ngày 20/3/2006 của Bộ trưởng Bộ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Vốn chủ sở hữu thực có được xác định tại Bảng cân đối kế toán của tổ chức kinh tế năm trước thời điểm trích lập dự phòng (mã số 410 Bảng cân đối kế toán – ban hành kèm theo Quyết định số 15/2006/QĐ-BTC ngày 20/3/2006 của Bộ trưởng Bộ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Căn cứ để lập dự phòng khi vốn góp thực tế của các bên tại tổ chức kinh tế lớn hơn vốn chủ sở hữu thực có tại thời điểm báo cáo tài chính của tổ chức kinh tế.</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Doanh nghiệp phải lập dự phòng riêng cho từng khoản đầu tư tài chính có tổn thất và được tổng hợp vào bảng kê chi tiết dự phòng tổn thất đầu tư tài chính. Bảng kê là căn cứ để hạch toán vào chi phí tài chính của doanh nghiệp.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c) Xử lý khoản dự phòng: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Tại thời điểm lập dự phòng nếu các khoản vốn đầu tư vào tổ chức kinh tế bị tổn thất do tổ chức kinh tế bị lỗ thì phải trích lập dự phòng tổn thất các đầu tư tài chính theo các quy định tại tiết b điểm 2 Điều này;</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Nếu số dự phòng tổn thất đầu tư tài chính phải trích lập bằng số dư khoản dự phòng, thì doanh nghiệp không phải trích lập khoản dự phòng tổn thất đầu tư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Nếu số dự phòng phải trích lập cao hơn số dư khoản dự phòng, thì doanh nghiệp trích thêm vào chi phí tài chính của doanh nghiệp phần chênh lệch.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Nếu số dự phòng phải trích lập thấp hơn số dư khoản dự phòng, thì doanh nghiệp phải hoàn nhập phần chênh lệch ghi giảm chi phí tài chính.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 xml:space="preserve">Điều 6. </w:t>
      </w:r>
      <w:r w:rsidRPr="0007651E">
        <w:rPr>
          <w:rFonts w:ascii="Arial" w:eastAsia="Times New Roman" w:hAnsi="Arial" w:cs="Arial"/>
          <w:sz w:val="20"/>
          <w:szCs w:val="20"/>
        </w:rPr>
        <w:t>Dự phòng nợ phải thu khó đòi.</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1. Điều kiện: là các khoản nợ phải thu khó đòi đảm bảo các điều kiện sau:</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Khoản nợ phải </w:t>
      </w:r>
      <w:r w:rsidRPr="00141879">
        <w:rPr>
          <w:rFonts w:ascii="Arial" w:eastAsia="Times New Roman" w:hAnsi="Arial" w:cs="Arial"/>
          <w:b/>
          <w:sz w:val="20"/>
          <w:szCs w:val="20"/>
        </w:rPr>
        <w:t>có chứng từ gốc</w:t>
      </w:r>
      <w:r w:rsidRPr="0007651E">
        <w:rPr>
          <w:rFonts w:ascii="Arial" w:eastAsia="Times New Roman" w:hAnsi="Arial" w:cs="Arial"/>
          <w:sz w:val="20"/>
          <w:szCs w:val="20"/>
        </w:rPr>
        <w:t xml:space="preserve">, </w:t>
      </w:r>
      <w:r w:rsidRPr="00141879">
        <w:rPr>
          <w:rFonts w:ascii="Arial" w:eastAsia="Times New Roman" w:hAnsi="Arial" w:cs="Arial"/>
          <w:b/>
          <w:sz w:val="20"/>
          <w:szCs w:val="20"/>
        </w:rPr>
        <w:t>có đối chiếu xác nhận của khách nợ về số tiền còn nợ</w:t>
      </w:r>
      <w:r w:rsidRPr="0007651E">
        <w:rPr>
          <w:rFonts w:ascii="Arial" w:eastAsia="Times New Roman" w:hAnsi="Arial" w:cs="Arial"/>
          <w:sz w:val="20"/>
          <w:szCs w:val="20"/>
        </w:rPr>
        <w:t>, bao gồm: hợp đồng kinh tế, khế ước vay nợ, bản thanh lý hợp đồng, cam kết nợ, đối chiếu công nợ và các chứng từ khác.</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Các khoản không đủ căn cứ xác định là nợ phải thu theo quy định này phải xử lý </w:t>
      </w:r>
      <w:r w:rsidRPr="006F1E2B">
        <w:rPr>
          <w:rFonts w:ascii="Arial" w:eastAsia="Times New Roman" w:hAnsi="Arial" w:cs="Arial"/>
          <w:b/>
          <w:color w:val="FF0000"/>
          <w:sz w:val="20"/>
          <w:szCs w:val="20"/>
        </w:rPr>
        <w:t>như một khoản tổn thất.</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Có đủ căn cứ xác định là khoản nợ phải thu khó đòi: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Nợ phải thu </w:t>
      </w:r>
      <w:r w:rsidRPr="00314D13">
        <w:rPr>
          <w:rFonts w:ascii="Arial" w:eastAsia="Times New Roman" w:hAnsi="Arial" w:cs="Arial"/>
          <w:sz w:val="20"/>
          <w:szCs w:val="20"/>
          <w:highlight w:val="yellow"/>
        </w:rPr>
        <w:t>đã quá hạn</w:t>
      </w:r>
      <w:r w:rsidRPr="0007651E">
        <w:rPr>
          <w:rFonts w:ascii="Arial" w:eastAsia="Times New Roman" w:hAnsi="Arial" w:cs="Arial"/>
          <w:sz w:val="20"/>
          <w:szCs w:val="20"/>
        </w:rPr>
        <w:t xml:space="preserve"> thanh toán ghi trên hợp đồng kinh tế, các khế ước vay nợ hoặc các cam kết nợ khác.</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lastRenderedPageBreak/>
        <w:t xml:space="preserve">+ Nợ phải </w:t>
      </w:r>
      <w:r w:rsidRPr="00314D13">
        <w:rPr>
          <w:rFonts w:ascii="Arial" w:eastAsia="Times New Roman" w:hAnsi="Arial" w:cs="Arial"/>
          <w:color w:val="FF0000"/>
          <w:sz w:val="20"/>
          <w:szCs w:val="20"/>
        </w:rPr>
        <w:t>thu chưa đến thời hạn thanh toán</w:t>
      </w:r>
      <w:r w:rsidRPr="0007651E">
        <w:rPr>
          <w:rFonts w:ascii="Arial" w:eastAsia="Times New Roman" w:hAnsi="Arial" w:cs="Arial"/>
          <w:sz w:val="20"/>
          <w:szCs w:val="20"/>
        </w:rPr>
        <w:t xml:space="preserve"> nhưng tổ chức kinh tế (các công ty, doanh nghiệp tư nhân, hợp tác xã, tổ chức tín dụng..) đã lâm vào tình trạng phá sản hoặc đang làm thủ tục giải thể; </w:t>
      </w:r>
      <w:r w:rsidRPr="006F1E2B">
        <w:rPr>
          <w:rFonts w:ascii="Arial" w:eastAsia="Times New Roman" w:hAnsi="Arial" w:cs="Arial"/>
          <w:sz w:val="20"/>
          <w:szCs w:val="20"/>
          <w:highlight w:val="yellow"/>
        </w:rPr>
        <w:t>người nợ mất tích, bỏ trốn,</w:t>
      </w:r>
      <w:r w:rsidRPr="0007651E">
        <w:rPr>
          <w:rFonts w:ascii="Arial" w:eastAsia="Times New Roman" w:hAnsi="Arial" w:cs="Arial"/>
          <w:sz w:val="20"/>
          <w:szCs w:val="20"/>
        </w:rPr>
        <w:t xml:space="preserve"> đang bị các cơ quan pháp luật truy tố, giam giữ, xét xử, đang thi hành án hoặc đã chết.</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2. Phương pháp lập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Doanh nghiệp phải dự kiến mức tổn thất có thể xảy ra hoặc tuổi nợ quá hạn của các khoản nợ và tiến hành lập dự phòng cho từng khoản nợ phải thu khó đòi, kèm theo các chứng cứ chứng minh các khoản nợ khó đòi nói trên. Trong đó:</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Đối với nợ phải thu quá hạn thanh toán, mức trích lập dự phòng như sau: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w:t>
      </w:r>
      <w:r w:rsidRPr="00141879">
        <w:rPr>
          <w:rFonts w:ascii="Arial" w:eastAsia="Times New Roman" w:hAnsi="Arial" w:cs="Arial"/>
          <w:b/>
          <w:color w:val="FF0000"/>
          <w:sz w:val="20"/>
          <w:szCs w:val="20"/>
        </w:rPr>
        <w:t>30%</w:t>
      </w:r>
      <w:r w:rsidRPr="0007651E">
        <w:rPr>
          <w:rFonts w:ascii="Arial" w:eastAsia="Times New Roman" w:hAnsi="Arial" w:cs="Arial"/>
          <w:sz w:val="20"/>
          <w:szCs w:val="20"/>
        </w:rPr>
        <w:t xml:space="preserve"> giá trị đối với khoản nợ phải thu quá hạn từ trên 6 tháng đến dưới 1 năm.</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w:t>
      </w:r>
      <w:r w:rsidRPr="00141879">
        <w:rPr>
          <w:rFonts w:ascii="Arial" w:eastAsia="Times New Roman" w:hAnsi="Arial" w:cs="Arial"/>
          <w:b/>
          <w:color w:val="FF0000"/>
          <w:sz w:val="20"/>
          <w:szCs w:val="20"/>
        </w:rPr>
        <w:t>50%</w:t>
      </w:r>
      <w:r w:rsidRPr="0007651E">
        <w:rPr>
          <w:rFonts w:ascii="Arial" w:eastAsia="Times New Roman" w:hAnsi="Arial" w:cs="Arial"/>
          <w:sz w:val="20"/>
          <w:szCs w:val="20"/>
        </w:rPr>
        <w:t xml:space="preserve"> giá trị đối với khoản nợ phải thu quá hạn từ 1 năm đến dưới 2 năm.</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w:t>
      </w:r>
      <w:r w:rsidRPr="00141879">
        <w:rPr>
          <w:rFonts w:ascii="Arial" w:eastAsia="Times New Roman" w:hAnsi="Arial" w:cs="Arial"/>
          <w:b/>
          <w:color w:val="FF0000"/>
          <w:sz w:val="20"/>
          <w:szCs w:val="20"/>
        </w:rPr>
        <w:t>70%</w:t>
      </w:r>
      <w:r w:rsidRPr="0007651E">
        <w:rPr>
          <w:rFonts w:ascii="Arial" w:eastAsia="Times New Roman" w:hAnsi="Arial" w:cs="Arial"/>
          <w:sz w:val="20"/>
          <w:szCs w:val="20"/>
        </w:rPr>
        <w:t xml:space="preserve"> giá trị đối với khoản nợ phải thu quá hạn từ 2 năm đến dưới 3 năm.</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w:t>
      </w:r>
      <w:r w:rsidRPr="00CE4989">
        <w:rPr>
          <w:rFonts w:ascii="Arial" w:eastAsia="Times New Roman" w:hAnsi="Arial" w:cs="Arial"/>
          <w:b/>
          <w:color w:val="FF0000"/>
          <w:sz w:val="20"/>
          <w:szCs w:val="20"/>
        </w:rPr>
        <w:t>100%</w:t>
      </w:r>
      <w:r w:rsidRPr="0007651E">
        <w:rPr>
          <w:rFonts w:ascii="Arial" w:eastAsia="Times New Roman" w:hAnsi="Arial" w:cs="Arial"/>
          <w:sz w:val="20"/>
          <w:szCs w:val="20"/>
        </w:rPr>
        <w:t xml:space="preserve"> giá trị đối với khoản nợ phải thu từ </w:t>
      </w:r>
      <w:r w:rsidRPr="00CE4989">
        <w:rPr>
          <w:rFonts w:ascii="Arial" w:eastAsia="Times New Roman" w:hAnsi="Arial" w:cs="Arial"/>
          <w:b/>
          <w:color w:val="FF0000"/>
          <w:sz w:val="20"/>
          <w:szCs w:val="20"/>
        </w:rPr>
        <w:t>3 năm</w:t>
      </w:r>
      <w:r w:rsidRPr="0007651E">
        <w:rPr>
          <w:rFonts w:ascii="Arial" w:eastAsia="Times New Roman" w:hAnsi="Arial" w:cs="Arial"/>
          <w:sz w:val="20"/>
          <w:szCs w:val="20"/>
        </w:rPr>
        <w:t xml:space="preserve"> trở lên.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Đối với nợ phải thu chưa đến hạn thanh toán nhưng tổ chức kinh tế đã lâm vào tình trạng phá sản hoặc đang làm thủ tục giải thể; người nợ mất tích, bỏ trốn, đang bị các cơ quan pháp luật truy tố, giam giữ, xét xử hoặc đang thi hành án hoặc đã chết… thì doanh nghiệp dự kiến mức tổn thất không thu hồi được để trích lập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Sau khi lập dự phòng cho từng khoản nợ phải thu khó đòi, doanh nghiệp tổng hợp toàn bộ khoản dự phòng các khoản nợ vào bảng kê chi tiết để làm căn cứ hạch toán vào chi phí quản lý của doanh nghiệp.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3. Xử lý khoản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Khi các khoản nợ phải thu được xác định khó đòi, doanh nghiệp phải trích lập dự phòng theo các quy định tại điểm 2 Điều này; nếu số dự phòng phải trích lập bằng số dư dự phòng nợ phải thu khó, thì doanh nghiệp không phải trích lập;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Nếu số dự phòng phải trích lập cao hơn số dư khoản dự phòng nợ phải thu khó đòi, thì doanh nghiệp phải trích thêm vào chi phí quản lý doanh nghiệp phần chênh lệch;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Nếu số dự phòng phải trích lập thấp hơn số dư khoản dự phòng nợ phải thu khó đòi, thì doanh nghiệp phải hoàn nhập phần chênh lệch ghi giảm chi phí quản lý doanh nghiệp.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4. Xử lý tài chính các khoản nợ </w:t>
      </w:r>
      <w:r w:rsidRPr="00FF0F57">
        <w:rPr>
          <w:rFonts w:ascii="Arial" w:eastAsia="Times New Roman" w:hAnsi="Arial" w:cs="Arial"/>
          <w:b/>
          <w:color w:val="FF0000"/>
          <w:sz w:val="20"/>
          <w:szCs w:val="20"/>
        </w:rPr>
        <w:t>không có khả năng thu hồi:</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a) Nợ phải thu không có khả năng thu hồi bao gồm các khoản nợ sau: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Đối với tổ chức kinh tế: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 Khách nợ đã giải thể, phá sản: </w:t>
      </w:r>
      <w:r w:rsidRPr="00FF0F57">
        <w:rPr>
          <w:rFonts w:ascii="Arial" w:eastAsia="Times New Roman" w:hAnsi="Arial" w:cs="Arial"/>
          <w:b/>
          <w:sz w:val="20"/>
          <w:szCs w:val="20"/>
        </w:rPr>
        <w:t>Quyết định của Tòa án tuyên bố phá sản</w:t>
      </w:r>
      <w:r w:rsidRPr="0007651E">
        <w:rPr>
          <w:rFonts w:ascii="Arial" w:eastAsia="Times New Roman" w:hAnsi="Arial" w:cs="Arial"/>
          <w:sz w:val="20"/>
          <w:szCs w:val="20"/>
        </w:rPr>
        <w:t xml:space="preserve"> doanh nghiệp theo Luật phá sản hoặc quyết định của người có thẩm quyền về giải thể đối với doanh nghiệp nợ, trường hợp tự giải thể thì có thông báo của đơn vị hoặc xác nhận của cơ quan quyết định thành lập đơn vị, tổ chức.</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Khách nợ đã ngừng hoạt động và không có khả năng chi trả: Xác nhận của cơ quan quyết định thành lập doanh nghiệp hoặc tổ chức đăng ký kinh doanh về việc doanh nghiệp, tổ chức đã ngừng hoạt động không có khả năng thanh toán.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lastRenderedPageBreak/>
        <w:t xml:space="preserve">- Đối với cá nhân phải có một trong các tài liệu sau: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Giấy chứng từ (bản sao) hoặc xác nhận của chính quyền địa phương đối với người nợ đã chết nhưng không có tài sản thừa kế để trả nợ.</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Giấy xác nhận của chính quyền địa phương đối với người nợ còn sống hoặc đã mất tích nhưng không có khả năng trả nợ.</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Lệnh truy nã hoặc xác nhận của cơ quan pháp luật đối với người nợ đã bỏ trốn hoặc đang bị truy tố, đang thi hành án hoặc xác nhận của chính quyền địa phương về việc khách nợ hoặc người thừa kế không có khả năng chi trả.</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b) Xử lý tài chính: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Tổn thất thực tế của từng khoản nợ không thu hồi được là khoản chênh lệch giữa nợ phải thu ghi trên sổ kế toán và số tiền đã thu hồi được (do người gây ra thiệt hại đền bù, do phát mại tài sản của đơn vị nợ hoặc người nợ, do được chia tài sản theo quyết định của tòa án hoặc các cơ quan có thẩm quyền khác…).</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Giá trị tổn thất thực tế của khoản nợ không có khả năng thu hồi, doanh nghiệp sử dụng nguồn dự phòng nợ phải thu khó đòi, quỹ dự phòng tài chính (nếu có) để bù đắp, </w:t>
      </w:r>
      <w:r w:rsidRPr="00336381">
        <w:rPr>
          <w:rFonts w:ascii="Arial" w:eastAsia="Times New Roman" w:hAnsi="Arial" w:cs="Arial"/>
          <w:color w:val="FF0000"/>
          <w:sz w:val="20"/>
          <w:szCs w:val="20"/>
        </w:rPr>
        <w:t>phần chênh lệch thiếu hạch toán vào chi phí quản lý của doanh nghiệp.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Các khoản nợ phải thu sau khi đã có quyết định xử lý, doanh nghiệp vẫn phải theo dõi riêng trên sổ kế toán và được phản ánh ở ngoài bảng cân đối kế toán trong thời hạn tối thiểu là 10 năm, tối đa là 15 năm kể từ ngày thực hiện xử lý và tiếp tục có các biện pháp để thu hồi nợ. Nếu thu hồi được nợ thì số tiền thu hồi sau khi trừ các chi phí có liên quan đến việc thu hồi nợ, doanh nghiệp hạch toán vào thu nhập khác.</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c) Khi xử lý khoản nợ phải thu không có khả năng thu hồi doanh nghiệp phải lập hồ sơ sau: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Biên bản của Hội đồng xử lý nợ của doanh nghiệp. Trong đó ghi rõ giá trị của từng khoản nợ phải thu, giá trị nợ đã thu hồi được, giá trị thiệt hại thực tế (sau khi đã trừ đi các khoản thu hồi được).</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Bảng kê chi tiết các khoản nợ phải thu đã xóa để làm căn cứ hạch toán, biên bản đối chiếu nợ được chủ nợ và khách nợ xác nhận hoặc Bản thanh lý hợp đồng kinh tế hoặc xác nhận của cơ quan quyết định thành lập doanh nghiệp, tổ chức hoặc các tài liệu khách quan khác chứng minh được số nợ tồn đọng và các giấy tờ tài liệu liên quan.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Sổ kế toán, chứng từ, tài liệu chứng minh khoản nợ chưa thu hồi được, đến thời điểm xử lý nợ doanh nghiệp đang hạch toán nợ phải thu trên sổ kế toán của doanh nghiệp.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d) Thẩm quyền xử lý nợ: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Hội đồng quản trị (đối với doanh nghiệp có Hội đồng quản trị) hoặc Hội đồng thành viên (đối với doanh nghiệp có Hội đồng thành viên); Tổng giám đốc, Giám đốc (đối với doanh nghiệp không có Hội đồng quản trị hoặc Hội đồng thành viên) hoặc chủ doanh nghiệp căn cứ vào Biên bản của Hội đồng xử lý, các bằng chứng liên quan đến các khoản nợ để quyết định xử lý những khoản nợ phải thu không thu hồi được và chịu trách nhiệm về quyết định của mình trước pháp luật, đồng thời thực hiện các biện pháp xử lý trách nhiệm theo chế độ hiện hành.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85FC3">
        <w:rPr>
          <w:rFonts w:ascii="Arial" w:eastAsia="Times New Roman" w:hAnsi="Arial" w:cs="Arial"/>
          <w:b/>
          <w:bCs/>
          <w:sz w:val="20"/>
          <w:szCs w:val="20"/>
          <w:highlight w:val="yellow"/>
        </w:rPr>
        <w:t xml:space="preserve">Điều 7. </w:t>
      </w:r>
      <w:r w:rsidRPr="00085FC3">
        <w:rPr>
          <w:rFonts w:ascii="Arial" w:eastAsia="Times New Roman" w:hAnsi="Arial" w:cs="Arial"/>
          <w:sz w:val="20"/>
          <w:szCs w:val="20"/>
          <w:highlight w:val="yellow"/>
        </w:rPr>
        <w:t>Dự phòng bảo hành sản phẩm, hàng hóa, công trình xây lắp.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lastRenderedPageBreak/>
        <w:t xml:space="preserve">1. Đối tượng và điều kiện lập dự phòng: là những sản phẩm, hàng hóa, công trình xây lắp do doanh nghiệp thực hiện và đã bán hoặc bàn giao trong năm </w:t>
      </w:r>
      <w:r w:rsidRPr="00E06495">
        <w:rPr>
          <w:rFonts w:ascii="Arial" w:eastAsia="Times New Roman" w:hAnsi="Arial" w:cs="Arial"/>
          <w:color w:val="FF0000"/>
          <w:sz w:val="20"/>
          <w:szCs w:val="20"/>
        </w:rPr>
        <w:t>được doanh nghiệp cam kết bảo hành</w:t>
      </w:r>
      <w:r w:rsidRPr="0007651E">
        <w:rPr>
          <w:rFonts w:ascii="Arial" w:eastAsia="Times New Roman" w:hAnsi="Arial" w:cs="Arial"/>
          <w:sz w:val="20"/>
          <w:szCs w:val="20"/>
        </w:rPr>
        <w:t xml:space="preserve"> tại hợp đồng hoặc các văn bản quy định khác.</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2. Phương pháp lập dự phòng: </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xml:space="preserve">Doanh nghiệp dự kiến mức tổn thất trích bảo hành sản phẩm, hàng hóa, công trình xây lắp đã tiêu thụ trong năm và tiến hành lập dự phòng cho từng loại sản phẩm, hàng hóa, công trình xây lắp có cam kết bảo hành. Tổng mức trích lập dự phòng bảo hành của các sản phẩm, hàng hóa, công trình xây lắp theo quy định đã cam kết với khách hàng nhưng </w:t>
      </w:r>
      <w:r w:rsidRPr="00085FC3">
        <w:rPr>
          <w:rFonts w:ascii="Arial" w:eastAsia="Times New Roman" w:hAnsi="Arial" w:cs="Arial"/>
          <w:sz w:val="20"/>
          <w:szCs w:val="20"/>
          <w:highlight w:val="yellow"/>
        </w:rPr>
        <w:t>tối đa không vượt quá 5% tổng doanh thu tiêu thụ</w:t>
      </w:r>
      <w:r w:rsidRPr="0007651E">
        <w:rPr>
          <w:rFonts w:ascii="Arial" w:eastAsia="Times New Roman" w:hAnsi="Arial" w:cs="Arial"/>
          <w:sz w:val="20"/>
          <w:szCs w:val="20"/>
        </w:rPr>
        <w:t xml:space="preserve"> đối với các sản phẩm, hàng hóa và không quá </w:t>
      </w:r>
      <w:r w:rsidRPr="00994E2B">
        <w:rPr>
          <w:rFonts w:ascii="Arial" w:eastAsia="Times New Roman" w:hAnsi="Arial" w:cs="Arial"/>
          <w:sz w:val="20"/>
          <w:szCs w:val="20"/>
          <w:highlight w:val="yellow"/>
        </w:rPr>
        <w:t>5% trên tổng giá trị công trình đối với các công trình xây lắp.</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Sau khi lập dự phòng cho từng loại sản phẩm, hàng hóa, công trình xây lắp doanh nghiệp tổng hợp toàn bộ khoản dự phòng vào bảng kê chi tiết. Bảng kê chi tiết là căn cứ để hạch toán: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Đối với dự phòng bảo hành sản phẩm, hàng hóa khi trích lập hạch toán vào chi phí bán hàng.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Đối với dự phòng bảo hành công trình xây lắp khi trích lập hạch toán vào chi phí sản xuất chung.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3. Xử lý khoản dự phòng: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Tại thời điểm lập dự phòng nếu số thực chi bảo hành lớn hơn số đã trích lập dự phòng thì phần chênh lệch thiếu được hạch toán vào chi phí bán hàng. Nếu số dự phòng bảo hành phải trích lập bằng số dư của khoản dự phòng, thì doanh nghiệp không phải trích lập khoản dự phòng bảo hành;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Nếu số dự phòng bảo hành phải trích lập cao hơn số dư của khoản dự phòng bảo hành, thì doanh nghiệp trích thêm vào chi phí bán hàng đối với dự phòng bảo hành sản phẩm, hàng hóa hoặc chi phí sản xuất chung đối với dự phòng bảo hành công trình xây lắp của doanh nghiệp phần chênh lệch này.</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Nếu số dự phòng phải trích lập thấp hơn số dư của khoản dự phòng, thì doanh nghiệp hoàn nhập phần chênh lệch:</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Đối với dự phòng bảo hành sản phẩm, hàng hóa ghi giảm chi phí bán hàng.</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 Đối với dự phòng bảo hành công trình xây lắp hạch toán vào thu nhập khác.</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Hết thời hạn bảo hành, nếu không phải chi bảo hành hoặc không sử dụng hết số tiền dự phòng đã trích lập, số dư còn lại được hoàn nhập theo nguyên tắc trên.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Phần 3.</w:t>
      </w:r>
    </w:p>
    <w:p w:rsidR="0007651E" w:rsidRPr="0007651E" w:rsidRDefault="0007651E" w:rsidP="0007651E">
      <w:pPr>
        <w:shd w:val="clear" w:color="auto" w:fill="FFFFFF"/>
        <w:spacing w:after="120" w:line="312" w:lineRule="auto"/>
        <w:jc w:val="center"/>
        <w:rPr>
          <w:rFonts w:ascii="Arial" w:eastAsia="Times New Roman" w:hAnsi="Arial" w:cs="Arial"/>
          <w:sz w:val="20"/>
          <w:szCs w:val="20"/>
        </w:rPr>
      </w:pPr>
      <w:r w:rsidRPr="0007651E">
        <w:rPr>
          <w:rFonts w:ascii="Arial" w:eastAsia="Times New Roman" w:hAnsi="Arial" w:cs="Arial"/>
          <w:b/>
          <w:bCs/>
          <w:sz w:val="24"/>
          <w:szCs w:val="24"/>
        </w:rPr>
        <w:t>TỔ CHỨC THỰC HIỆN</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b/>
          <w:bCs/>
          <w:sz w:val="20"/>
          <w:szCs w:val="20"/>
        </w:rPr>
        <w:t xml:space="preserve">Điều 8. </w:t>
      </w:r>
      <w:r w:rsidRPr="0007651E">
        <w:rPr>
          <w:rFonts w:ascii="Arial" w:eastAsia="Times New Roman" w:hAnsi="Arial" w:cs="Arial"/>
          <w:sz w:val="20"/>
          <w:szCs w:val="20"/>
        </w:rPr>
        <w:t>Thông tư này có hiệu lực sau 45 ngày kể từ ngày ký và được áp dụng việc trích lập các khoản dự phòng của doanh nghiệp từ năm 2009, thay thế Thông tư số 13/2006/TT-BTC ngày 27/2/2006 của Bộ Tài chính hướng dẫn chế độ trích lập và sử dụng các khoản dự phòng giảm giá hàng tồn kho, tổn thất các khoản đầu tư tài chính, nợ khó đòi và bảo hành sản phẩm, hàng hóa, công trình xây lắp tại doanh nghiệp và các văn bản khác quy định về trích lập và sử dụng các khoản dự phòng trái với quy định của Thông tư này.</w:t>
      </w:r>
    </w:p>
    <w:p w:rsidR="0007651E" w:rsidRPr="0007651E" w:rsidRDefault="0007651E" w:rsidP="0007651E">
      <w:pPr>
        <w:shd w:val="clear" w:color="auto" w:fill="FFFFFF"/>
        <w:spacing w:after="120" w:line="312" w:lineRule="auto"/>
        <w:jc w:val="both"/>
        <w:rPr>
          <w:rFonts w:ascii="Arial" w:eastAsia="Times New Roman" w:hAnsi="Arial" w:cs="Arial"/>
          <w:sz w:val="20"/>
          <w:szCs w:val="20"/>
        </w:rPr>
      </w:pPr>
      <w:r w:rsidRPr="0007651E">
        <w:rPr>
          <w:rFonts w:ascii="Arial" w:eastAsia="Times New Roman" w:hAnsi="Arial" w:cs="Arial"/>
          <w:sz w:val="20"/>
          <w:szCs w:val="20"/>
        </w:rPr>
        <w:t>2. Trong quá trình thực hiện nếu có vướng mắc đề nghị phản ánh kịp thời về Bộ Tài chính để nghiên cứu sửa đổi, bổ sung.</w:t>
      </w:r>
    </w:p>
    <w:p w:rsidR="0007651E" w:rsidRPr="0007651E" w:rsidRDefault="0007651E" w:rsidP="0007651E">
      <w:pPr>
        <w:shd w:val="clear" w:color="auto" w:fill="FFFFFF"/>
        <w:spacing w:after="120" w:line="312" w:lineRule="auto"/>
        <w:jc w:val="center"/>
        <w:rPr>
          <w:rFonts w:ascii="Arial" w:eastAsia="Times New Roman" w:hAnsi="Arial" w:cs="Arial"/>
          <w:sz w:val="20"/>
          <w:szCs w:val="20"/>
        </w:rPr>
      </w:pPr>
      <w:r w:rsidRPr="0007651E">
        <w:rPr>
          <w:rFonts w:ascii="Arial" w:eastAsia="Times New Roman" w:hAnsi="Arial" w:cs="Arial"/>
          <w:b/>
          <w:bCs/>
          <w:sz w:val="20"/>
          <w:szCs w:val="20"/>
        </w:rPr>
        <w:lastRenderedPageBreak/>
        <w:t> </w:t>
      </w:r>
    </w:p>
    <w:tbl>
      <w:tblPr>
        <w:tblW w:w="0" w:type="auto"/>
        <w:tblCellMar>
          <w:left w:w="0" w:type="dxa"/>
          <w:right w:w="0" w:type="dxa"/>
        </w:tblCellMar>
        <w:tblLook w:val="04A0" w:firstRow="1" w:lastRow="0" w:firstColumn="1" w:lastColumn="0" w:noHBand="0" w:noVBand="1"/>
      </w:tblPr>
      <w:tblGrid>
        <w:gridCol w:w="4374"/>
        <w:gridCol w:w="4382"/>
      </w:tblGrid>
      <w:tr w:rsidR="0007651E" w:rsidRPr="0007651E" w:rsidTr="0007651E">
        <w:tc>
          <w:tcPr>
            <w:tcW w:w="4374" w:type="dxa"/>
            <w:tcMar>
              <w:top w:w="0" w:type="dxa"/>
              <w:left w:w="108" w:type="dxa"/>
              <w:bottom w:w="0" w:type="dxa"/>
              <w:right w:w="108" w:type="dxa"/>
            </w:tcMar>
            <w:hideMark/>
          </w:tcPr>
          <w:p w:rsidR="0007651E" w:rsidRPr="0007651E" w:rsidRDefault="0007651E" w:rsidP="0007651E">
            <w:pPr>
              <w:spacing w:after="120" w:line="312" w:lineRule="auto"/>
              <w:rPr>
                <w:rFonts w:ascii="Arial" w:eastAsia="Times New Roman" w:hAnsi="Arial" w:cs="Arial"/>
                <w:sz w:val="20"/>
                <w:szCs w:val="20"/>
              </w:rPr>
            </w:pPr>
            <w:r w:rsidRPr="0007651E">
              <w:rPr>
                <w:rFonts w:ascii="Arial" w:eastAsia="Times New Roman" w:hAnsi="Arial" w:cs="Arial"/>
                <w:b/>
                <w:bCs/>
                <w:i/>
                <w:iCs/>
                <w:sz w:val="20"/>
                <w:szCs w:val="20"/>
              </w:rPr>
              <w:t> </w:t>
            </w:r>
          </w:p>
          <w:p w:rsidR="0007651E" w:rsidRPr="0007651E" w:rsidRDefault="0007651E" w:rsidP="0007651E">
            <w:pPr>
              <w:spacing w:after="120" w:line="312" w:lineRule="auto"/>
              <w:rPr>
                <w:rFonts w:ascii="Arial" w:eastAsia="Times New Roman" w:hAnsi="Arial" w:cs="Arial"/>
                <w:sz w:val="20"/>
                <w:szCs w:val="20"/>
              </w:rPr>
            </w:pPr>
            <w:r w:rsidRPr="0007651E">
              <w:rPr>
                <w:rFonts w:ascii="Arial" w:eastAsia="Times New Roman" w:hAnsi="Arial" w:cs="Arial"/>
                <w:b/>
                <w:bCs/>
                <w:i/>
                <w:iCs/>
                <w:sz w:val="20"/>
                <w:szCs w:val="20"/>
              </w:rPr>
              <w:t xml:space="preserve">Nơi nhận: </w:t>
            </w:r>
            <w:r w:rsidRPr="0007651E">
              <w:rPr>
                <w:rFonts w:ascii="Arial" w:eastAsia="Times New Roman" w:hAnsi="Arial" w:cs="Arial"/>
                <w:b/>
                <w:bCs/>
                <w:sz w:val="20"/>
                <w:szCs w:val="20"/>
              </w:rPr>
              <w:br/>
            </w:r>
            <w:r w:rsidRPr="0007651E">
              <w:rPr>
                <w:rFonts w:ascii="Arial" w:eastAsia="Times New Roman" w:hAnsi="Arial" w:cs="Arial"/>
                <w:sz w:val="16"/>
                <w:szCs w:val="16"/>
              </w:rPr>
              <w:t>- Thủ tướng, các phó Thủ tướng Chính phủ;</w:t>
            </w:r>
            <w:r w:rsidRPr="0007651E">
              <w:rPr>
                <w:rFonts w:ascii="Arial" w:eastAsia="Times New Roman" w:hAnsi="Arial" w:cs="Arial"/>
                <w:sz w:val="16"/>
                <w:szCs w:val="16"/>
              </w:rPr>
              <w:br/>
              <w:t>- VPTW và các Ban của Đảng;</w:t>
            </w:r>
            <w:r w:rsidRPr="0007651E">
              <w:rPr>
                <w:rFonts w:ascii="Arial" w:eastAsia="Times New Roman" w:hAnsi="Arial" w:cs="Arial"/>
                <w:sz w:val="16"/>
                <w:szCs w:val="16"/>
              </w:rPr>
              <w:br/>
              <w:t>- Văn phòng Quốc hội;</w:t>
            </w:r>
            <w:r w:rsidRPr="0007651E">
              <w:rPr>
                <w:rFonts w:ascii="Arial" w:eastAsia="Times New Roman" w:hAnsi="Arial" w:cs="Arial"/>
                <w:sz w:val="16"/>
                <w:szCs w:val="16"/>
              </w:rPr>
              <w:br/>
              <w:t>- Văn phòng Chủ tịch nước;</w:t>
            </w:r>
            <w:r w:rsidRPr="0007651E">
              <w:rPr>
                <w:rFonts w:ascii="Arial" w:eastAsia="Times New Roman" w:hAnsi="Arial" w:cs="Arial"/>
                <w:sz w:val="16"/>
                <w:szCs w:val="16"/>
              </w:rPr>
              <w:br/>
              <w:t>- Văn phòng Chính phủ;</w:t>
            </w:r>
            <w:r w:rsidRPr="0007651E">
              <w:rPr>
                <w:rFonts w:ascii="Arial" w:eastAsia="Times New Roman" w:hAnsi="Arial" w:cs="Arial"/>
                <w:sz w:val="16"/>
                <w:szCs w:val="16"/>
              </w:rPr>
              <w:br/>
              <w:t>- Viện Kiểm sát nhân dân tối cao;</w:t>
            </w:r>
            <w:r w:rsidRPr="0007651E">
              <w:rPr>
                <w:rFonts w:ascii="Arial" w:eastAsia="Times New Roman" w:hAnsi="Arial" w:cs="Arial"/>
                <w:sz w:val="16"/>
                <w:szCs w:val="16"/>
              </w:rPr>
              <w:br/>
              <w:t>- Tòa án nhân dân tối cao;</w:t>
            </w:r>
            <w:r w:rsidRPr="0007651E">
              <w:rPr>
                <w:rFonts w:ascii="Arial" w:eastAsia="Times New Roman" w:hAnsi="Arial" w:cs="Arial"/>
                <w:sz w:val="16"/>
                <w:szCs w:val="16"/>
              </w:rPr>
              <w:br/>
              <w:t>- Kiểm toán Nhà nước;</w:t>
            </w:r>
            <w:r w:rsidRPr="0007651E">
              <w:rPr>
                <w:rFonts w:ascii="Arial" w:eastAsia="Times New Roman" w:hAnsi="Arial" w:cs="Arial"/>
                <w:sz w:val="16"/>
                <w:szCs w:val="16"/>
              </w:rPr>
              <w:br/>
              <w:t>- Các Bộ, cơ quan ngang Bộ, cơ quan thuộc Chính phủ;</w:t>
            </w:r>
            <w:r w:rsidRPr="0007651E">
              <w:rPr>
                <w:rFonts w:ascii="Arial" w:eastAsia="Times New Roman" w:hAnsi="Arial" w:cs="Arial"/>
                <w:sz w:val="16"/>
                <w:szCs w:val="16"/>
              </w:rPr>
              <w:br/>
              <w:t>- Cơ quan TW của các đoàn thể;</w:t>
            </w:r>
            <w:r w:rsidRPr="0007651E">
              <w:rPr>
                <w:rFonts w:ascii="Arial" w:eastAsia="Times New Roman" w:hAnsi="Arial" w:cs="Arial"/>
                <w:sz w:val="16"/>
                <w:szCs w:val="16"/>
              </w:rPr>
              <w:br/>
              <w:t>- UBND, Sở Tài chính, Cục thuế, Kho bạc các tỉnh, thành phố trực thuộc Trung ương;</w:t>
            </w:r>
            <w:r w:rsidRPr="0007651E">
              <w:rPr>
                <w:rFonts w:ascii="Arial" w:eastAsia="Times New Roman" w:hAnsi="Arial" w:cs="Arial"/>
                <w:sz w:val="16"/>
                <w:szCs w:val="16"/>
              </w:rPr>
              <w:br/>
              <w:t>- Website Chính phủ; Công báo;</w:t>
            </w:r>
            <w:r w:rsidRPr="0007651E">
              <w:rPr>
                <w:rFonts w:ascii="Arial" w:eastAsia="Times New Roman" w:hAnsi="Arial" w:cs="Arial"/>
                <w:sz w:val="16"/>
                <w:szCs w:val="16"/>
              </w:rPr>
              <w:br/>
              <w:t>- VP BCĐ TW về phòng, chống tham nhũng;</w:t>
            </w:r>
            <w:r w:rsidRPr="0007651E">
              <w:rPr>
                <w:rFonts w:ascii="Arial" w:eastAsia="Times New Roman" w:hAnsi="Arial" w:cs="Arial"/>
                <w:sz w:val="16"/>
                <w:szCs w:val="16"/>
              </w:rPr>
              <w:br/>
              <w:t>- Cục Kiểm tra văn bản (Bộ Tư pháp);</w:t>
            </w:r>
            <w:r w:rsidRPr="0007651E">
              <w:rPr>
                <w:rFonts w:ascii="Arial" w:eastAsia="Times New Roman" w:hAnsi="Arial" w:cs="Arial"/>
                <w:sz w:val="16"/>
                <w:szCs w:val="16"/>
              </w:rPr>
              <w:br/>
              <w:t>- Các Tập đoàn kinh tế nhà nước; các Tổng công ty Nhà nước; VCCI; Hội Kế toán và Kiểm toán VN; Hội Kiểm toán viên hành nghề VN;</w:t>
            </w:r>
            <w:r w:rsidRPr="0007651E">
              <w:rPr>
                <w:rFonts w:ascii="Arial" w:eastAsia="Times New Roman" w:hAnsi="Arial" w:cs="Arial"/>
                <w:sz w:val="16"/>
                <w:szCs w:val="16"/>
              </w:rPr>
              <w:br/>
              <w:t xml:space="preserve">- Các đơn vị thuộc Bộ Tài chính; </w:t>
            </w:r>
            <w:r w:rsidRPr="0007651E">
              <w:rPr>
                <w:rFonts w:ascii="Arial" w:eastAsia="Times New Roman" w:hAnsi="Arial" w:cs="Arial"/>
                <w:sz w:val="16"/>
                <w:szCs w:val="16"/>
              </w:rPr>
              <w:br/>
              <w:t>- Website Bộ Tài chính;</w:t>
            </w:r>
            <w:r w:rsidRPr="0007651E">
              <w:rPr>
                <w:rFonts w:ascii="Arial" w:eastAsia="Times New Roman" w:hAnsi="Arial" w:cs="Arial"/>
                <w:sz w:val="16"/>
                <w:szCs w:val="16"/>
              </w:rPr>
              <w:br/>
              <w:t>- Lưu: VT, Cục TCDN.</w:t>
            </w:r>
          </w:p>
        </w:tc>
        <w:tc>
          <w:tcPr>
            <w:tcW w:w="4382" w:type="dxa"/>
            <w:tcMar>
              <w:top w:w="0" w:type="dxa"/>
              <w:left w:w="108" w:type="dxa"/>
              <w:bottom w:w="0" w:type="dxa"/>
              <w:right w:w="108" w:type="dxa"/>
            </w:tcMar>
            <w:hideMark/>
          </w:tcPr>
          <w:p w:rsidR="0007651E" w:rsidRPr="0007651E" w:rsidRDefault="0007651E" w:rsidP="0007651E">
            <w:pPr>
              <w:spacing w:after="120" w:line="312" w:lineRule="auto"/>
              <w:jc w:val="center"/>
              <w:rPr>
                <w:rFonts w:ascii="Arial" w:eastAsia="Times New Roman" w:hAnsi="Arial" w:cs="Arial"/>
                <w:sz w:val="20"/>
                <w:szCs w:val="20"/>
              </w:rPr>
            </w:pPr>
            <w:r w:rsidRPr="0007651E">
              <w:rPr>
                <w:rFonts w:ascii="Arial" w:eastAsia="Times New Roman" w:hAnsi="Arial" w:cs="Arial"/>
                <w:b/>
                <w:bCs/>
                <w:sz w:val="20"/>
                <w:szCs w:val="20"/>
              </w:rPr>
              <w:t>KT. BỘ TRƯỞNG</w:t>
            </w:r>
            <w:r w:rsidRPr="0007651E">
              <w:rPr>
                <w:rFonts w:ascii="Arial" w:eastAsia="Times New Roman" w:hAnsi="Arial" w:cs="Arial"/>
                <w:b/>
                <w:bCs/>
                <w:sz w:val="20"/>
                <w:szCs w:val="20"/>
              </w:rPr>
              <w:br/>
              <w:t xml:space="preserve">THỨ TRƯỞNG </w:t>
            </w:r>
            <w:r w:rsidRPr="0007651E">
              <w:rPr>
                <w:rFonts w:ascii="Arial" w:eastAsia="Times New Roman" w:hAnsi="Arial" w:cs="Arial"/>
                <w:b/>
                <w:bCs/>
                <w:sz w:val="20"/>
                <w:szCs w:val="20"/>
              </w:rPr>
              <w:br/>
            </w:r>
            <w:r w:rsidRPr="0007651E">
              <w:rPr>
                <w:rFonts w:ascii="Arial" w:eastAsia="Times New Roman" w:hAnsi="Arial" w:cs="Arial"/>
                <w:b/>
                <w:bCs/>
                <w:sz w:val="20"/>
                <w:szCs w:val="20"/>
              </w:rPr>
              <w:br/>
            </w:r>
            <w:r w:rsidRPr="0007651E">
              <w:rPr>
                <w:rFonts w:ascii="Arial" w:eastAsia="Times New Roman" w:hAnsi="Arial" w:cs="Arial"/>
                <w:b/>
                <w:bCs/>
                <w:sz w:val="20"/>
                <w:szCs w:val="20"/>
              </w:rPr>
              <w:br/>
            </w:r>
            <w:r w:rsidRPr="0007651E">
              <w:rPr>
                <w:rFonts w:ascii="Arial" w:eastAsia="Times New Roman" w:hAnsi="Arial" w:cs="Arial"/>
                <w:b/>
                <w:bCs/>
                <w:sz w:val="20"/>
                <w:szCs w:val="20"/>
              </w:rPr>
              <w:br/>
            </w:r>
            <w:r w:rsidRPr="0007651E">
              <w:rPr>
                <w:rFonts w:ascii="Arial" w:eastAsia="Times New Roman" w:hAnsi="Arial" w:cs="Arial"/>
                <w:b/>
                <w:bCs/>
                <w:sz w:val="20"/>
                <w:szCs w:val="20"/>
              </w:rPr>
              <w:br/>
              <w:t>Trần Văn Hiếu   </w:t>
            </w:r>
          </w:p>
        </w:tc>
      </w:tr>
    </w:tbl>
    <w:p w:rsidR="00484647" w:rsidRPr="0007651E" w:rsidRDefault="00484647">
      <w:pPr>
        <w:rPr>
          <w:rFonts w:ascii="Arial" w:hAnsi="Arial" w:cs="Arial"/>
        </w:rPr>
      </w:pPr>
    </w:p>
    <w:sectPr w:rsidR="00484647" w:rsidRPr="0007651E" w:rsidSect="00484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7651E"/>
    <w:rsid w:val="00061314"/>
    <w:rsid w:val="0007651E"/>
    <w:rsid w:val="00080007"/>
    <w:rsid w:val="00085FC3"/>
    <w:rsid w:val="00141879"/>
    <w:rsid w:val="001458B8"/>
    <w:rsid w:val="001722A1"/>
    <w:rsid w:val="0024217B"/>
    <w:rsid w:val="00277486"/>
    <w:rsid w:val="002852E6"/>
    <w:rsid w:val="002A2941"/>
    <w:rsid w:val="00314D13"/>
    <w:rsid w:val="00336381"/>
    <w:rsid w:val="00352729"/>
    <w:rsid w:val="0043235F"/>
    <w:rsid w:val="00484647"/>
    <w:rsid w:val="004C18F8"/>
    <w:rsid w:val="0056449E"/>
    <w:rsid w:val="006432BA"/>
    <w:rsid w:val="00674F14"/>
    <w:rsid w:val="006F1E2B"/>
    <w:rsid w:val="00782450"/>
    <w:rsid w:val="00883F1E"/>
    <w:rsid w:val="008868D4"/>
    <w:rsid w:val="009035FA"/>
    <w:rsid w:val="00957CFA"/>
    <w:rsid w:val="009869E6"/>
    <w:rsid w:val="00994E2B"/>
    <w:rsid w:val="009E629B"/>
    <w:rsid w:val="00A15425"/>
    <w:rsid w:val="00B373A8"/>
    <w:rsid w:val="00B40132"/>
    <w:rsid w:val="00C960CC"/>
    <w:rsid w:val="00CE4989"/>
    <w:rsid w:val="00DB78F9"/>
    <w:rsid w:val="00E06495"/>
    <w:rsid w:val="00F62025"/>
    <w:rsid w:val="00FF0F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BB120E-1AE4-48AD-869A-245A6DD0E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46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7651E"/>
    <w:pPr>
      <w:spacing w:after="0" w:line="312"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3867244">
      <w:bodyDiv w:val="1"/>
      <w:marLeft w:val="0"/>
      <w:marRight w:val="0"/>
      <w:marTop w:val="0"/>
      <w:marBottom w:val="0"/>
      <w:divBdr>
        <w:top w:val="none" w:sz="0" w:space="0" w:color="auto"/>
        <w:left w:val="none" w:sz="0" w:space="0" w:color="auto"/>
        <w:bottom w:val="none" w:sz="0" w:space="0" w:color="auto"/>
        <w:right w:val="none" w:sz="0" w:space="0" w:color="auto"/>
      </w:divBdr>
      <w:divsChild>
        <w:div w:id="754013383">
          <w:marLeft w:val="0"/>
          <w:marRight w:val="0"/>
          <w:marTop w:val="0"/>
          <w:marBottom w:val="0"/>
          <w:divBdr>
            <w:top w:val="single" w:sz="4" w:space="0" w:color="C0C0C0"/>
            <w:left w:val="single" w:sz="4" w:space="0" w:color="C0C0C0"/>
            <w:bottom w:val="single" w:sz="4" w:space="0" w:color="C0C0C0"/>
            <w:right w:val="single" w:sz="4" w:space="0" w:color="C0C0C0"/>
          </w:divBdr>
          <w:divsChild>
            <w:div w:id="458764506">
              <w:marLeft w:val="46"/>
              <w:marRight w:val="46"/>
              <w:marTop w:val="46"/>
              <w:marBottom w:val="46"/>
              <w:divBdr>
                <w:top w:val="single" w:sz="4" w:space="1" w:color="C0C0C0"/>
                <w:left w:val="single" w:sz="4" w:space="1" w:color="C0C0C0"/>
                <w:bottom w:val="single" w:sz="4" w:space="1" w:color="C0C0C0"/>
                <w:right w:val="single" w:sz="4" w:space="1" w:color="C0C0C0"/>
              </w:divBdr>
              <w:divsChild>
                <w:div w:id="89635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712C630D-2359-46D9-BF77-DFB0C8B5BAA8}"/>
</file>

<file path=customXml/itemProps2.xml><?xml version="1.0" encoding="utf-8"?>
<ds:datastoreItem xmlns:ds="http://schemas.openxmlformats.org/officeDocument/2006/customXml" ds:itemID="{4F7A55AB-1B73-4DD7-8D63-A7B82994246E}"/>
</file>

<file path=customXml/itemProps3.xml><?xml version="1.0" encoding="utf-8"?>
<ds:datastoreItem xmlns:ds="http://schemas.openxmlformats.org/officeDocument/2006/customXml" ds:itemID="{0E2B2347-C001-438F-8F0A-89A8756ED458}"/>
</file>

<file path=docProps/app.xml><?xml version="1.0" encoding="utf-8"?>
<Properties xmlns="http://schemas.openxmlformats.org/officeDocument/2006/extended-properties" xmlns:vt="http://schemas.openxmlformats.org/officeDocument/2006/docPropsVTypes">
  <Template>Normal.dotm</Template>
  <TotalTime>187</TotalTime>
  <Pages>10</Pages>
  <Words>3750</Words>
  <Characters>21379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25079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KPMG</dc:creator>
  <cp:keywords/>
  <dc:description/>
  <cp:lastModifiedBy>Dinh, Thi Vien</cp:lastModifiedBy>
  <cp:revision>23</cp:revision>
  <cp:lastPrinted>2013-05-09T11:51:00Z</cp:lastPrinted>
  <dcterms:created xsi:type="dcterms:W3CDTF">2013-05-09T11:42:00Z</dcterms:created>
  <dcterms:modified xsi:type="dcterms:W3CDTF">2019-08-13T08:40:00Z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