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84" w:type="dxa"/>
        <w:shd w:val="clear" w:color="auto" w:fill="FFFFFF"/>
        <w:tblCellMar>
          <w:left w:w="0" w:type="dxa"/>
          <w:right w:w="0" w:type="dxa"/>
        </w:tblCellMar>
        <w:tblLook w:val="04A0" w:firstRow="1" w:lastRow="0" w:firstColumn="1" w:lastColumn="0" w:noHBand="0" w:noVBand="1"/>
      </w:tblPr>
      <w:tblGrid>
        <w:gridCol w:w="3348"/>
        <w:gridCol w:w="5436"/>
      </w:tblGrid>
      <w:tr w:rsidR="0007733E" w:rsidRPr="0007733E" w:rsidTr="0007733E">
        <w:tc>
          <w:tcPr>
            <w:tcW w:w="3348" w:type="dxa"/>
            <w:tcBorders>
              <w:top w:val="single" w:sz="6" w:space="0" w:color="DDDDDD"/>
              <w:left w:val="single" w:sz="6" w:space="0" w:color="DDDDDD"/>
              <w:bottom w:val="single" w:sz="6" w:space="0" w:color="DDDDDD"/>
              <w:right w:val="single" w:sz="6" w:space="0" w:color="DDDDDD"/>
            </w:tcBorders>
            <w:shd w:val="clear" w:color="auto" w:fill="FFFFFF"/>
            <w:tcMar>
              <w:top w:w="0" w:type="dxa"/>
              <w:left w:w="108" w:type="dxa"/>
              <w:bottom w:w="0" w:type="dxa"/>
              <w:right w:w="108" w:type="dxa"/>
            </w:tcMar>
            <w:vAlign w:val="bottom"/>
            <w:hideMark/>
          </w:tcPr>
          <w:p w:rsidR="0007733E" w:rsidRPr="0007733E" w:rsidRDefault="0007733E" w:rsidP="0007733E">
            <w:pPr>
              <w:spacing w:after="0" w:line="375" w:lineRule="atLeast"/>
              <w:jc w:val="center"/>
              <w:textAlignment w:val="baseline"/>
              <w:rPr>
                <w:rFonts w:ascii="inherit" w:eastAsia="Times New Roman" w:hAnsi="inherit" w:cs="Arial"/>
                <w:color w:val="000000"/>
                <w:sz w:val="24"/>
                <w:szCs w:val="24"/>
              </w:rPr>
            </w:pPr>
            <w:bookmarkStart w:id="0" w:name="_GoBack"/>
            <w:bookmarkEnd w:id="0"/>
            <w:r w:rsidRPr="0007733E">
              <w:rPr>
                <w:rFonts w:ascii="inherit" w:eastAsia="Times New Roman" w:hAnsi="inherit" w:cs="Arial"/>
                <w:color w:val="000000"/>
                <w:sz w:val="24"/>
                <w:szCs w:val="24"/>
              </w:rPr>
              <w:t>BỘ TÀI CHÍNH</w:t>
            </w:r>
            <w:r w:rsidRPr="0007733E">
              <w:rPr>
                <w:rFonts w:ascii="inherit" w:eastAsia="Times New Roman" w:hAnsi="inherit" w:cs="Arial"/>
                <w:b/>
                <w:bCs/>
                <w:color w:val="000000"/>
                <w:sz w:val="24"/>
                <w:szCs w:val="24"/>
                <w:bdr w:val="none" w:sz="0" w:space="0" w:color="auto" w:frame="1"/>
              </w:rPr>
              <w:br/>
              <w:t>TỔNG CỤC THUẾ</w:t>
            </w:r>
            <w:r w:rsidRPr="0007733E">
              <w:rPr>
                <w:rFonts w:ascii="inherit" w:eastAsia="Times New Roman" w:hAnsi="inherit" w:cs="Arial"/>
                <w:b/>
                <w:bCs/>
                <w:color w:val="000000"/>
                <w:sz w:val="24"/>
                <w:szCs w:val="24"/>
                <w:bdr w:val="none" w:sz="0" w:space="0" w:color="auto" w:frame="1"/>
              </w:rPr>
              <w:br/>
              <w:t>-------</w:t>
            </w:r>
          </w:p>
        </w:tc>
        <w:tc>
          <w:tcPr>
            <w:tcW w:w="5436" w:type="dxa"/>
            <w:tcBorders>
              <w:top w:val="single" w:sz="6" w:space="0" w:color="DDDDDD"/>
              <w:left w:val="single" w:sz="6" w:space="0" w:color="DDDDDD"/>
              <w:bottom w:val="single" w:sz="6" w:space="0" w:color="DDDDDD"/>
              <w:right w:val="single" w:sz="6" w:space="0" w:color="DDDDDD"/>
            </w:tcBorders>
            <w:shd w:val="clear" w:color="auto" w:fill="FFFFFF"/>
            <w:tcMar>
              <w:top w:w="0" w:type="dxa"/>
              <w:left w:w="108" w:type="dxa"/>
              <w:bottom w:w="0" w:type="dxa"/>
              <w:right w:w="108" w:type="dxa"/>
            </w:tcMar>
            <w:vAlign w:val="bottom"/>
            <w:hideMark/>
          </w:tcPr>
          <w:p w:rsidR="0007733E" w:rsidRPr="0007733E" w:rsidRDefault="0007733E" w:rsidP="0007733E">
            <w:pPr>
              <w:spacing w:after="0" w:line="375" w:lineRule="atLeast"/>
              <w:jc w:val="center"/>
              <w:textAlignment w:val="baseline"/>
              <w:rPr>
                <w:rFonts w:ascii="inherit" w:eastAsia="Times New Roman" w:hAnsi="inherit" w:cs="Arial"/>
                <w:color w:val="000000"/>
                <w:sz w:val="24"/>
                <w:szCs w:val="24"/>
              </w:rPr>
            </w:pPr>
            <w:r w:rsidRPr="0007733E">
              <w:rPr>
                <w:rFonts w:ascii="inherit" w:eastAsia="Times New Roman" w:hAnsi="inherit" w:cs="Arial"/>
                <w:b/>
                <w:bCs/>
                <w:color w:val="000000"/>
                <w:sz w:val="24"/>
                <w:szCs w:val="24"/>
                <w:bdr w:val="none" w:sz="0" w:space="0" w:color="auto" w:frame="1"/>
              </w:rPr>
              <w:t>CỘNG HÒA XÃ HỘI CHỦ NGHĨA VIỆT NAM</w:t>
            </w:r>
            <w:r w:rsidRPr="0007733E">
              <w:rPr>
                <w:rFonts w:ascii="inherit" w:eastAsia="Times New Roman" w:hAnsi="inherit" w:cs="Arial"/>
                <w:b/>
                <w:bCs/>
                <w:color w:val="000000"/>
                <w:sz w:val="24"/>
                <w:szCs w:val="24"/>
                <w:bdr w:val="none" w:sz="0" w:space="0" w:color="auto" w:frame="1"/>
              </w:rPr>
              <w:br/>
              <w:t>Độc lập – Tự do – Hạnh phúc</w:t>
            </w:r>
            <w:r w:rsidRPr="0007733E">
              <w:rPr>
                <w:rFonts w:ascii="inherit" w:eastAsia="Times New Roman" w:hAnsi="inherit" w:cs="Arial"/>
                <w:b/>
                <w:bCs/>
                <w:color w:val="000000"/>
                <w:sz w:val="24"/>
                <w:szCs w:val="24"/>
                <w:bdr w:val="none" w:sz="0" w:space="0" w:color="auto" w:frame="1"/>
              </w:rPr>
              <w:br/>
              <w:t>--------------</w:t>
            </w:r>
          </w:p>
        </w:tc>
      </w:tr>
      <w:tr w:rsidR="0007733E" w:rsidRPr="0007733E" w:rsidTr="0007733E">
        <w:tc>
          <w:tcPr>
            <w:tcW w:w="3348" w:type="dxa"/>
            <w:tcBorders>
              <w:top w:val="single" w:sz="6" w:space="0" w:color="DDDDDD"/>
              <w:left w:val="single" w:sz="6" w:space="0" w:color="DDDDDD"/>
              <w:bottom w:val="single" w:sz="6" w:space="0" w:color="DDDDDD"/>
              <w:right w:val="single" w:sz="6" w:space="0" w:color="DDDDDD"/>
            </w:tcBorders>
            <w:shd w:val="clear" w:color="auto" w:fill="FFFFFF"/>
            <w:tcMar>
              <w:top w:w="0" w:type="dxa"/>
              <w:left w:w="108" w:type="dxa"/>
              <w:bottom w:w="0" w:type="dxa"/>
              <w:right w:w="108" w:type="dxa"/>
            </w:tcMar>
            <w:vAlign w:val="bottom"/>
            <w:hideMark/>
          </w:tcPr>
          <w:p w:rsidR="0007733E" w:rsidRPr="0007733E" w:rsidRDefault="0007733E" w:rsidP="0007733E">
            <w:pPr>
              <w:spacing w:after="0" w:line="375" w:lineRule="atLeast"/>
              <w:jc w:val="both"/>
              <w:textAlignment w:val="baseline"/>
              <w:rPr>
                <w:rFonts w:ascii="inherit" w:eastAsia="Times New Roman" w:hAnsi="inherit" w:cs="Arial"/>
                <w:color w:val="000000"/>
                <w:sz w:val="24"/>
                <w:szCs w:val="24"/>
              </w:rPr>
            </w:pPr>
            <w:r w:rsidRPr="0007733E">
              <w:rPr>
                <w:rFonts w:ascii="inherit" w:eastAsia="Times New Roman" w:hAnsi="inherit" w:cs="Arial"/>
                <w:color w:val="000000"/>
                <w:sz w:val="24"/>
                <w:szCs w:val="24"/>
              </w:rPr>
              <w:t>Số: 1806/TCT-CS</w:t>
            </w:r>
            <w:r w:rsidRPr="0007733E">
              <w:rPr>
                <w:rFonts w:ascii="inherit" w:eastAsia="Times New Roman" w:hAnsi="inherit" w:cs="Arial"/>
                <w:color w:val="000000"/>
                <w:sz w:val="24"/>
                <w:szCs w:val="24"/>
              </w:rPr>
              <w:br/>
            </w:r>
            <w:r w:rsidRPr="0007733E">
              <w:rPr>
                <w:rFonts w:ascii="inherit" w:eastAsia="Times New Roman" w:hAnsi="inherit" w:cs="Arial"/>
                <w:i/>
                <w:iCs/>
                <w:color w:val="000000"/>
                <w:sz w:val="16"/>
                <w:szCs w:val="16"/>
                <w:bdr w:val="none" w:sz="0" w:space="0" w:color="auto" w:frame="1"/>
              </w:rPr>
              <w:t>V/v chi phí xác định thu nhập chịu thuế TNDN và thuế nhà thầu</w:t>
            </w:r>
          </w:p>
        </w:tc>
        <w:tc>
          <w:tcPr>
            <w:tcW w:w="5436" w:type="dxa"/>
            <w:tcBorders>
              <w:top w:val="single" w:sz="6" w:space="0" w:color="DDDDDD"/>
              <w:left w:val="single" w:sz="6" w:space="0" w:color="DDDDDD"/>
              <w:bottom w:val="single" w:sz="6" w:space="0" w:color="DDDDDD"/>
              <w:right w:val="single" w:sz="6" w:space="0" w:color="DDDDDD"/>
            </w:tcBorders>
            <w:shd w:val="clear" w:color="auto" w:fill="FFFFFF"/>
            <w:tcMar>
              <w:top w:w="0" w:type="dxa"/>
              <w:left w:w="108" w:type="dxa"/>
              <w:bottom w:w="0" w:type="dxa"/>
              <w:right w:w="108" w:type="dxa"/>
            </w:tcMar>
            <w:vAlign w:val="bottom"/>
            <w:hideMark/>
          </w:tcPr>
          <w:p w:rsidR="0007733E" w:rsidRPr="0007733E" w:rsidRDefault="0007733E" w:rsidP="0007733E">
            <w:pPr>
              <w:spacing w:after="0" w:line="375" w:lineRule="atLeast"/>
              <w:jc w:val="right"/>
              <w:textAlignment w:val="baseline"/>
              <w:rPr>
                <w:rFonts w:ascii="inherit" w:eastAsia="Times New Roman" w:hAnsi="inherit" w:cs="Arial"/>
                <w:color w:val="000000"/>
                <w:sz w:val="24"/>
                <w:szCs w:val="24"/>
              </w:rPr>
            </w:pPr>
            <w:r w:rsidRPr="0007733E">
              <w:rPr>
                <w:rFonts w:ascii="inherit" w:eastAsia="Times New Roman" w:hAnsi="inherit" w:cs="Arial"/>
                <w:i/>
                <w:iCs/>
                <w:color w:val="000000"/>
                <w:sz w:val="24"/>
                <w:szCs w:val="24"/>
                <w:bdr w:val="none" w:sz="0" w:space="0" w:color="auto" w:frame="1"/>
              </w:rPr>
              <w:t>Hà Nội, ngày 28 tháng 05 năm 2010</w:t>
            </w:r>
          </w:p>
        </w:tc>
      </w:tr>
    </w:tbl>
    <w:p w:rsidR="0007733E" w:rsidRPr="0007733E" w:rsidRDefault="0007733E" w:rsidP="0007733E">
      <w:pPr>
        <w:shd w:val="clear" w:color="auto" w:fill="FFFFFF"/>
        <w:spacing w:after="0" w:line="375" w:lineRule="atLeast"/>
        <w:jc w:val="center"/>
        <w:textAlignment w:val="baseline"/>
        <w:rPr>
          <w:rFonts w:ascii="Arial" w:eastAsia="Times New Roman" w:hAnsi="Arial" w:cs="Arial"/>
          <w:color w:val="000000"/>
          <w:sz w:val="24"/>
          <w:szCs w:val="24"/>
        </w:rPr>
      </w:pPr>
      <w:r w:rsidRPr="0007733E">
        <w:rPr>
          <w:rFonts w:ascii="Arial" w:eastAsia="Times New Roman" w:hAnsi="Arial" w:cs="Arial"/>
          <w:b/>
          <w:bCs/>
          <w:color w:val="000000"/>
          <w:sz w:val="24"/>
          <w:szCs w:val="24"/>
          <w:bdr w:val="none" w:sz="0" w:space="0" w:color="auto" w:frame="1"/>
        </w:rPr>
        <w:t>Kínhgửi:</w:t>
      </w:r>
      <w:r w:rsidRPr="0007733E">
        <w:rPr>
          <w:rFonts w:ascii="Arial" w:eastAsia="Times New Roman" w:hAnsi="Arial" w:cs="Arial"/>
          <w:color w:val="000000"/>
          <w:sz w:val="24"/>
          <w:szCs w:val="24"/>
        </w:rPr>
        <w:t> Cục thuế tỉnh Bình Dương</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Tổng cục Thuế nhận được các côngvăn: công văn số </w:t>
      </w:r>
      <w:hyperlink r:id="rId4" w:tgtFrame="_blank" w:tooltip="Xem văn bản 9031/CT-TTra1" w:history="1">
        <w:r w:rsidRPr="0007733E">
          <w:rPr>
            <w:rFonts w:ascii="Arial" w:eastAsia="Times New Roman" w:hAnsi="Arial" w:cs="Arial"/>
            <w:color w:val="135ECD"/>
            <w:sz w:val="24"/>
            <w:szCs w:val="24"/>
            <w:u w:val="single"/>
            <w:bdr w:val="none" w:sz="0" w:space="0" w:color="auto" w:frame="1"/>
          </w:rPr>
          <w:t>9031/CT-TTra1 </w:t>
        </w:r>
      </w:hyperlink>
      <w:r w:rsidRPr="0007733E">
        <w:rPr>
          <w:rFonts w:ascii="Arial" w:eastAsia="Times New Roman" w:hAnsi="Arial" w:cs="Arial"/>
          <w:color w:val="000000"/>
          <w:sz w:val="24"/>
          <w:szCs w:val="24"/>
        </w:rPr>
        <w:t>ngày 27/08/2009 và công văn số 1624/BC-TTr1 ngày25/02/2010 của Cục thuế tỉnh Bình Dương về báo cáo hợp tác kinh doanh bất độngsản và hạch toán chi phí xác định thu nhập chịu thuế TNDN của Công ty Cổ phầnQuốc tế Bắc Sài Gòn; công văn số CV-TBD-122709 ngày 27/12/2009 và công văn sốCV-TCT-280410 ngày 28/04/2010 của Công ty Cổ phần Quốc tế Bắc Sài Gòn về xâydựng, kinh doanh phát triển nhà tại Khu định cư Việt – Sing, Thuận An, Bình Dương.Về vấn đề này, sau khi báo cáo Bộ Tài chính, Tổng cục Thuế hướng dẫn căn cứ ápdụng văn bản quy phạm pháp luật như sau:</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b/>
          <w:bCs/>
          <w:color w:val="000000"/>
          <w:sz w:val="24"/>
          <w:szCs w:val="24"/>
          <w:bdr w:val="none" w:sz="0" w:space="0" w:color="auto" w:frame="1"/>
        </w:rPr>
        <w:t>1. Hạch toán chi phí xác địnhthu nhập chịu thuế TNDN:</w:t>
      </w:r>
    </w:p>
    <w:p w:rsidR="0007733E" w:rsidRPr="0007733E" w:rsidRDefault="0007733E" w:rsidP="0007733E">
      <w:pPr>
        <w:shd w:val="clear" w:color="auto" w:fill="FFFFFF"/>
        <w:spacing w:before="120"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Theo quy định của Luật thuế TNDN vàcác văn bản hướng dẫn thi hành có quy định nguyên tắc xác định các khoản chiđược trừ khi xác định thu nhập chịu thuế nếu đáp ứng đủ các điều kiện sau:khoản chi thực tế phát sinh liên quan đến hoạt động sản xuất, kinh doanh củadoanh nghiệp, khoản chi có đủ hóa đơn, chứng từ hợp pháp theo quy định của phápluật.</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Các khoản chi không được trừ khixác định thu nhập chịu thuế là các khoản chi không đáp ứng các điều kiện nêutrên và các khoản chi quy định tại Khoản 2 Mục III Phần B Thông tư số </w:t>
      </w:r>
      <w:hyperlink r:id="rId5" w:tgtFrame="_blank" w:tooltip="Xem văn bản 134/2007/TT-BTC" w:history="1">
        <w:r w:rsidRPr="0007733E">
          <w:rPr>
            <w:rFonts w:ascii="Arial" w:eastAsia="Times New Roman" w:hAnsi="Arial" w:cs="Arial"/>
            <w:color w:val="135ECD"/>
            <w:sz w:val="24"/>
            <w:szCs w:val="24"/>
            <w:u w:val="single"/>
            <w:bdr w:val="none" w:sz="0" w:space="0" w:color="auto" w:frame="1"/>
          </w:rPr>
          <w:t>134/2007/TT-BTC </w:t>
        </w:r>
      </w:hyperlink>
      <w:r w:rsidRPr="0007733E">
        <w:rPr>
          <w:rFonts w:ascii="Arial" w:eastAsia="Times New Roman" w:hAnsi="Arial" w:cs="Arial"/>
          <w:color w:val="000000"/>
          <w:sz w:val="24"/>
          <w:szCs w:val="24"/>
        </w:rPr>
        <w:t>ngày 23/11/2007 (áp dụng năm tài chính 2007, 2008) và tại Khoản2 Mục IV Phần C Thông tư số 130/2008/TT-BTC ngày 26/12/2008 của Bộ Tài chính(áp dụng từ ngày 01/01/2009).</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Tại điểm 2.21 Mục III Phần B Thôngtư số </w:t>
      </w:r>
      <w:hyperlink r:id="rId6" w:tgtFrame="_blank" w:tooltip="Xem văn bản 134/2007/TT-BTC" w:history="1">
        <w:r w:rsidRPr="0007733E">
          <w:rPr>
            <w:rFonts w:ascii="Arial" w:eastAsia="Times New Roman" w:hAnsi="Arial" w:cs="Arial"/>
            <w:color w:val="135ECD"/>
            <w:sz w:val="24"/>
            <w:szCs w:val="24"/>
            <w:u w:val="single"/>
            <w:bdr w:val="none" w:sz="0" w:space="0" w:color="auto" w:frame="1"/>
          </w:rPr>
          <w:t>134/2007/TT-BTC </w:t>
        </w:r>
      </w:hyperlink>
      <w:r w:rsidRPr="0007733E">
        <w:rPr>
          <w:rFonts w:ascii="Arial" w:eastAsia="Times New Roman" w:hAnsi="Arial" w:cs="Arial"/>
          <w:color w:val="000000"/>
          <w:sz w:val="24"/>
          <w:szCs w:val="24"/>
        </w:rPr>
        <w:t xml:space="preserve">ngày 23/11/2007 của Bộ Tài chính quy định những khoản chiphí không tính vào chi phí hợp lý: “Chi phí quảng cáo, khuyến mại, chi phí giaodịch, đối ngoại (không bao gồm: Chi phí nghiên cứu thị trường: thăm dò, khảosát, phỏng vấn, thu thập, phân tích và đánh giá thông tin; chi phí phát triểnvà hỗ trợ nghiên cứu thị trường; chi phí thuê tư vấn thực hiện công việc nghiêncứu, phát triển và hỗ trợ nghiên cứu thị trường; Chi phí trưng bày, giới thiệusản phẩm và tổ chức hội chợ, triển lãm thương mại: chi phí mở phòng hoặc gianhàng trưng bày, giới thiệu sản phẩm; chi phí thuê không gian để trưng bày, giớithiệu sản phẩm; chi phí vật </w:t>
      </w:r>
      <w:r w:rsidRPr="0007733E">
        <w:rPr>
          <w:rFonts w:ascii="Arial" w:eastAsia="Times New Roman" w:hAnsi="Arial" w:cs="Arial"/>
          <w:color w:val="000000"/>
          <w:sz w:val="24"/>
          <w:szCs w:val="24"/>
        </w:rPr>
        <w:lastRenderedPageBreak/>
        <w:t>liệu, công cụ hỗ trợ trưng bày, giới thiệu sảnphẩm; chi phí vận chuyển sản phẩm trưng bày, giới thiệu); Chi tiếp tân, khánhtiết, chi hoa hồng môi giới, chi phí hội nghị; Chi phí hỗ trợ tiếp thị, chi hỗtrợ chi phí, chi phí chiết khấu thanh toán (kể cả chi bằng tiền cho đại lý vàngười mua hàng hóa, dịch vụ với khối lượng lớn); Chi báo biếu, báo tặng của cáccơ quan báo chí và các loại chi phí khác phần vượt quá 10% tổng số các khoảnchi phí hợp lý. Đối với hoạt động kinh doanh thương mại chi phí hợp lý để xácđịnh mức khống chế không bao gồm giá vốn của hàng hóa bán ra”.</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Tại điểm 2.19 Mục IV Phần B Thôngtư số </w:t>
      </w:r>
      <w:hyperlink r:id="rId7" w:tgtFrame="_blank" w:tooltip="Xem văn bản 130/2008/TT-BTC" w:history="1">
        <w:r w:rsidRPr="0007733E">
          <w:rPr>
            <w:rFonts w:ascii="Arial" w:eastAsia="Times New Roman" w:hAnsi="Arial" w:cs="Arial"/>
            <w:color w:val="135ECD"/>
            <w:sz w:val="24"/>
            <w:szCs w:val="24"/>
            <w:u w:val="single"/>
            <w:bdr w:val="none" w:sz="0" w:space="0" w:color="auto" w:frame="1"/>
          </w:rPr>
          <w:t>130/2008/TT-BTC </w:t>
        </w:r>
      </w:hyperlink>
      <w:r w:rsidRPr="0007733E">
        <w:rPr>
          <w:rFonts w:ascii="Arial" w:eastAsia="Times New Roman" w:hAnsi="Arial" w:cs="Arial"/>
          <w:color w:val="000000"/>
          <w:sz w:val="24"/>
          <w:szCs w:val="24"/>
        </w:rPr>
        <w:t>ngày 26/12/2008 của Bộ Tài chính quy định các khoản chikhông được trừ khi xác định thu nhập chịu thuế bao gồm:</w:t>
      </w:r>
    </w:p>
    <w:p w:rsidR="0007733E" w:rsidRPr="0007733E" w:rsidRDefault="0007733E" w:rsidP="0007733E">
      <w:pPr>
        <w:shd w:val="clear" w:color="auto" w:fill="FFFFFF"/>
        <w:spacing w:before="120"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 … Các khoản chi quảng cáo, tiếpthị, khuyến mại, hoa hồng môi giới bị khống chế nêu trên không bao gồm hoa hồngmôi giới bảo hiểm theo quy định của pháp luật về kinh doanh bảo hiểm; hoa hồngtrả cho các đại lý bán hàng đúng giá; các khoản chi sau phát sinh trong nướchoặc ngoài nước (nếu có); Chi phí nghiên cứu thị trường: thăm dò, khảo sát,phỏng vấn, thu thập, phân tích và đánh giá thông tin; chi phí phát triển và hỗtrợ nghiên cứu thị trường; chi phí thuê tư vấn thực hiện công việc nghiên cứu,phát triển và hỗ trợ nghiên cứu thị trường; Chi phí trưng bày, giới thiệu sảnphẩm và tổ chức hội chợ, triển lãm thương mại; chi phí mở phòng hoặc gian hàngtrưng bày, giới thiệu sản phẩm; chi phí thuê không gian để trưng bày, giớithiệu sản phẩm; chi phí vật liệu, công cụ hỗ trợ trưng bày, giới thiệu sảnphẩm; chi phí vận chuyển sản phẩm trưng bày, giới thiệu”.</w:t>
      </w:r>
    </w:p>
    <w:p w:rsidR="0007733E" w:rsidRPr="0007733E" w:rsidRDefault="0007733E" w:rsidP="0007733E">
      <w:pPr>
        <w:shd w:val="clear" w:color="auto" w:fill="FFFFFF"/>
        <w:spacing w:before="120"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Theo nội dung công văn của Cục thuếvà Công ty gửi: Công ty Cổ phần Quốc tế Bắc Sài Gòn (SNI) đã ký hợp đồng thuêdịch vụ tư vấn và quản lý dự án với Công ty nước ngoài Global InvestmentsConsultancy &amp; Servicse Pte., Ltd (GI-Singapore) ngày 05/6/2005, sau đó Hợpđồng được chuyển nhượng ngày 01/01/2007 giữa Công ty GI cho Công ty Trigg GlobalLTD (TG-Anh) tiếp tục thực hiện Hợp đồng dịch vụ tư vấn và quản lý dự án vớiCông ty SNI với điều khoản quy định khoản tiền thù lao mà Công ty CP Quốc tếBắc Sài Gòn phải trả cho Công ty tư vấn là 12.000 USD trên mỗi căn nhà của dựán tiêu thụ được, ngoài ra Công ty Cổ phần Quốc tế Bắc Sài Gòn còn phải trảthêm 20% trên lợi nhuận trước thuế cho Công ty nước ngoài nói trên với lý do“khuyến khích để đạt lợi nhuận tối đa”.</w:t>
      </w:r>
    </w:p>
    <w:p w:rsidR="0007733E" w:rsidRPr="0007733E" w:rsidRDefault="0007733E" w:rsidP="0007733E">
      <w:pPr>
        <w:shd w:val="clear" w:color="auto" w:fill="FFFFFF"/>
        <w:spacing w:before="120"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 xml:space="preserve">Căn cứ quy định nêu trên, đề nghịCục thuế kiểm tra thực tế Hợp đồng dịch vụ tư vấn và quản lý; hóa đơn, chứng từliên quan của Công ty Cổ phần Quốc tế Bắc Sài Gòn. Theo đó, trường hợp nếu cáckhoản tiền thù lao trả cho nhà tư vấn nước ngoài quy định trong Hợp đồng dịchvụ tư vấn và quản lý là chi phí dịch vụ tư vấn thực tế phát sinh liên quan </w:t>
      </w:r>
      <w:r w:rsidRPr="0007733E">
        <w:rPr>
          <w:rFonts w:ascii="Arial" w:eastAsia="Times New Roman" w:hAnsi="Arial" w:cs="Arial"/>
          <w:color w:val="000000"/>
          <w:sz w:val="24"/>
          <w:szCs w:val="24"/>
        </w:rPr>
        <w:lastRenderedPageBreak/>
        <w:t>trựctiếp đến hoạt động sản xuất, kinh doanh của doanh nghiệp và có đủ hóa đơn,chứng từ hợp pháp theo quy định của pháp luật thì khoản chi phí thuê dịch vụ tưvấn và quản lý dự án của Công ty Cổ phần Quốc tế Bắc Sài Gòn được tập hợp vàochi phí được trừ khi xác định thu nhập chịu thuế TNDN.</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b/>
          <w:bCs/>
          <w:color w:val="000000"/>
          <w:sz w:val="24"/>
          <w:szCs w:val="24"/>
          <w:bdr w:val="none" w:sz="0" w:space="0" w:color="auto" w:frame="1"/>
        </w:rPr>
        <w:t>2. Thuế nhà thầu nước ngoài:</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Tại Điều 2 Thông tư số </w:t>
      </w:r>
      <w:hyperlink r:id="rId8" w:tgtFrame="_blank" w:tooltip="Xem văn bản 197/2009/TT-BTC" w:history="1">
        <w:r w:rsidRPr="0007733E">
          <w:rPr>
            <w:rFonts w:ascii="Arial" w:eastAsia="Times New Roman" w:hAnsi="Arial" w:cs="Arial"/>
            <w:color w:val="135ECD"/>
            <w:sz w:val="24"/>
            <w:szCs w:val="24"/>
            <w:u w:val="single"/>
            <w:bdr w:val="none" w:sz="0" w:space="0" w:color="auto" w:frame="1"/>
          </w:rPr>
          <w:t>197/2009/TT-BTC </w:t>
        </w:r>
      </w:hyperlink>
      <w:r w:rsidRPr="0007733E">
        <w:rPr>
          <w:rFonts w:ascii="Arial" w:eastAsia="Times New Roman" w:hAnsi="Arial" w:cs="Arial"/>
          <w:color w:val="000000"/>
          <w:sz w:val="24"/>
          <w:szCs w:val="24"/>
        </w:rPr>
        <w:t>ngày 09/10/2009 của Bộ Tài chính bổ sung Thông tư số 134/2008/TT-BTC ngày 31/12/2008 của Bộ Tài chính hướng dẫn thực hiện nghĩa vụthuế áp dụng đối với tổ chức, cá nhân nước ngoài kinh doanh tại Việt Nam hoặccó thu nhập tại Việt Nam quy định: “Trường hợp các Hợp đồng thầu, Hợp đồng thầuphụ được ký kết trước ngày Thông tư số 134/2008/TT-BTC có hiệu lực thì việc xácđịnh nghĩa vụ thuế GTGT, thuế TNDN tiếp tục thực hiện như hướng dẫn tại Thôngtư số 05/2005/TT-BTC ngày 11/1/2005 của Bộ Tài chính hướng dẫn chế độ thuế ápdụng đối với các tổ chức nước ngoài không có tư cách pháp nhân Việt Nam và cánhân nước ngoài kinh doanh hoặc có thu nhập phát sinh tại Việt Nam cho đến khikết thúc hợp đồng”.</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Theo quy định tại Thông tư số</w:t>
      </w:r>
      <w:hyperlink r:id="rId9" w:tgtFrame="_blank" w:tooltip="Xem văn bản 05/2005/TT-BTC" w:history="1">
        <w:r w:rsidRPr="0007733E">
          <w:rPr>
            <w:rFonts w:ascii="Arial" w:eastAsia="Times New Roman" w:hAnsi="Arial" w:cs="Arial"/>
            <w:color w:val="135ECD"/>
            <w:sz w:val="24"/>
            <w:szCs w:val="24"/>
            <w:u w:val="single"/>
            <w:bdr w:val="none" w:sz="0" w:space="0" w:color="auto" w:frame="1"/>
          </w:rPr>
          <w:t>05/2005/TT-BTC </w:t>
        </w:r>
      </w:hyperlink>
      <w:r w:rsidRPr="0007733E">
        <w:rPr>
          <w:rFonts w:ascii="Arial" w:eastAsia="Times New Roman" w:hAnsi="Arial" w:cs="Arial"/>
          <w:color w:val="000000"/>
          <w:sz w:val="24"/>
          <w:szCs w:val="24"/>
        </w:rPr>
        <w:t>ngày 11/1/2005 của Bộ Tài chính thì tổ chức nước ngoài, cá nhânnước ngoài kinh doanh nhưng không hiện diện tại Việt Nam, có thu nhập phát sinhtại Việt Nam thuộc đối tượng chịu thuế tại Việt Nam. Hoạt động kinh doanh dịchvụ của tổ chức, cá nhân nước ngoài không hiện diện tại Việt Nam được xác địnhthuộc đối tượng chịu thuế tại Việt Nam khi dịch vụ đó được thực hiện tại ViệtNam và nguồn tiền thanh toán trả từ Việt Nam.</w:t>
      </w:r>
    </w:p>
    <w:p w:rsidR="0007733E" w:rsidRPr="0007733E" w:rsidRDefault="0007733E" w:rsidP="0007733E">
      <w:pPr>
        <w:shd w:val="clear" w:color="auto" w:fill="FFFFFF"/>
        <w:spacing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Căn cứ các quy định tại Thông tư số</w:t>
      </w:r>
      <w:hyperlink r:id="rId10" w:tgtFrame="_blank" w:tooltip="Xem văn bản 05/2005/TT-BTC" w:history="1">
        <w:r w:rsidRPr="0007733E">
          <w:rPr>
            <w:rFonts w:ascii="Arial" w:eastAsia="Times New Roman" w:hAnsi="Arial" w:cs="Arial"/>
            <w:color w:val="135ECD"/>
            <w:sz w:val="24"/>
            <w:szCs w:val="24"/>
            <w:u w:val="single"/>
            <w:bdr w:val="none" w:sz="0" w:space="0" w:color="auto" w:frame="1"/>
          </w:rPr>
          <w:t>05/2005/TT-BTC </w:t>
        </w:r>
      </w:hyperlink>
      <w:r w:rsidRPr="0007733E">
        <w:rPr>
          <w:rFonts w:ascii="Arial" w:eastAsia="Times New Roman" w:hAnsi="Arial" w:cs="Arial"/>
          <w:color w:val="000000"/>
          <w:sz w:val="24"/>
          <w:szCs w:val="24"/>
        </w:rPr>
        <w:t>ngày 11/01/2005 của Bộ Tài chính nêu trên, đề nghị Cục thuế kiểmtra tình hình thực tế việc đăng ký, kê khai nộp thuế thay Nhà thầu nước ngoàikhi thực hiện Hợp đồng dịch vụ tư vấn và quản lý dự án của Công ty Cổ phần Quốctế Bắc Sài Gòn theo đúng quy định. Kiểm tra nội dung hợp đồng tư vấn và kiểmtra các hoạt động tư vấn đó thực tế đã phát sinh để có căn cứ xác nhận và xácđịnh đúng doanh thu tính thuế nhà thầu, nhất là trong trường hợp thu thuế nhàthầu theo phương pháp ấn định thì cần kiểm tra thực tế để có căn cứ xác địnhtổng khối lượng doanh thu tính thuế mà nhà thầu được giao thực hiện để tránhviệc “chuyển giá” giảm các nghĩa vụ thuế đối với Ngân sách Nhà nước.</w:t>
      </w:r>
    </w:p>
    <w:p w:rsidR="0007733E" w:rsidRPr="0007733E" w:rsidRDefault="0007733E" w:rsidP="0007733E">
      <w:pPr>
        <w:shd w:val="clear" w:color="auto" w:fill="FFFFFF"/>
        <w:spacing w:before="120"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t>Trường hợp có các Cá nhân nướcngoài hiện diện tại Việt Nam thực hiện công việc tư vấn và quản lý dự án trongHợp đồng dịch vụ tư vấn và quản lý thì kê khai nộp thuế thu nhập cá nhân tươngứng tiền lương, tiền công được nhận theo quy định của Pháp lệnh thuế thu nhậpđối với người có thu nhập cao, kể từ ngày 01/1/2009 thực hiện nghĩa vụ thuế thunhập cá nhân theo Luật thuế TNCN và các văn bản hướng dẫn hiện hành.</w:t>
      </w:r>
    </w:p>
    <w:p w:rsidR="0007733E" w:rsidRPr="0007733E" w:rsidRDefault="0007733E" w:rsidP="0007733E">
      <w:pPr>
        <w:shd w:val="clear" w:color="auto" w:fill="FFFFFF"/>
        <w:spacing w:before="120" w:after="0" w:line="375" w:lineRule="atLeast"/>
        <w:jc w:val="both"/>
        <w:textAlignment w:val="baseline"/>
        <w:rPr>
          <w:rFonts w:ascii="Arial" w:eastAsia="Times New Roman" w:hAnsi="Arial" w:cs="Arial"/>
          <w:color w:val="000000"/>
          <w:sz w:val="24"/>
          <w:szCs w:val="24"/>
        </w:rPr>
      </w:pPr>
      <w:r w:rsidRPr="0007733E">
        <w:rPr>
          <w:rFonts w:ascii="Arial" w:eastAsia="Times New Roman" w:hAnsi="Arial" w:cs="Arial"/>
          <w:color w:val="000000"/>
          <w:sz w:val="24"/>
          <w:szCs w:val="24"/>
        </w:rPr>
        <w:lastRenderedPageBreak/>
        <w:t>Tổng cục Thuế trả lời để Cục thuếđược biết và hướng dẫn đơn vị theo điều kiện thực tế đáp ứng để áp dụng chínhsách thuế theo đúng quy định.</w:t>
      </w:r>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07733E" w:rsidRPr="0007733E" w:rsidTr="0007733E">
        <w:tc>
          <w:tcPr>
            <w:tcW w:w="4428" w:type="dxa"/>
            <w:tcBorders>
              <w:top w:val="single" w:sz="6" w:space="0" w:color="DDDDDD"/>
              <w:left w:val="single" w:sz="6" w:space="0" w:color="DDDDDD"/>
              <w:bottom w:val="single" w:sz="6" w:space="0" w:color="DDDDDD"/>
              <w:right w:val="single" w:sz="6" w:space="0" w:color="DDDDDD"/>
            </w:tcBorders>
            <w:shd w:val="clear" w:color="auto" w:fill="FFFFFF"/>
            <w:tcMar>
              <w:top w:w="0" w:type="dxa"/>
              <w:left w:w="108" w:type="dxa"/>
              <w:bottom w:w="0" w:type="dxa"/>
              <w:right w:w="108" w:type="dxa"/>
            </w:tcMar>
            <w:vAlign w:val="bottom"/>
            <w:hideMark/>
          </w:tcPr>
          <w:p w:rsidR="0007733E" w:rsidRPr="0007733E" w:rsidRDefault="0007733E" w:rsidP="0007733E">
            <w:pPr>
              <w:spacing w:after="0" w:line="375" w:lineRule="atLeast"/>
              <w:jc w:val="both"/>
              <w:textAlignment w:val="baseline"/>
              <w:rPr>
                <w:rFonts w:ascii="inherit" w:eastAsia="Times New Roman" w:hAnsi="inherit" w:cs="Arial"/>
                <w:color w:val="000000"/>
                <w:sz w:val="24"/>
                <w:szCs w:val="24"/>
              </w:rPr>
            </w:pPr>
            <w:r w:rsidRPr="0007733E">
              <w:rPr>
                <w:rFonts w:ascii="inherit" w:eastAsia="Times New Roman" w:hAnsi="inherit" w:cs="Arial"/>
                <w:b/>
                <w:bCs/>
                <w:i/>
                <w:iCs/>
                <w:color w:val="000000"/>
                <w:sz w:val="24"/>
                <w:szCs w:val="24"/>
                <w:bdr w:val="none" w:sz="0" w:space="0" w:color="auto" w:frame="1"/>
              </w:rPr>
              <w:t>Nơi nhận:</w:t>
            </w:r>
            <w:r w:rsidRPr="0007733E">
              <w:rPr>
                <w:rFonts w:ascii="inherit" w:eastAsia="Times New Roman" w:hAnsi="inherit" w:cs="Arial"/>
                <w:color w:val="000000"/>
                <w:sz w:val="16"/>
                <w:szCs w:val="16"/>
                <w:bdr w:val="none" w:sz="0" w:space="0" w:color="auto" w:frame="1"/>
              </w:rPr>
              <w:br/>
              <w:t>- Như trên;</w:t>
            </w:r>
            <w:r w:rsidRPr="0007733E">
              <w:rPr>
                <w:rFonts w:ascii="inherit" w:eastAsia="Times New Roman" w:hAnsi="inherit" w:cs="Arial"/>
                <w:color w:val="000000"/>
                <w:sz w:val="16"/>
                <w:szCs w:val="16"/>
                <w:bdr w:val="none" w:sz="0" w:space="0" w:color="auto" w:frame="1"/>
              </w:rPr>
              <w:br/>
              <w:t>- Công ty CP Quốc tế Bắc Sài Gòn;</w:t>
            </w:r>
            <w:r w:rsidRPr="0007733E">
              <w:rPr>
                <w:rFonts w:ascii="inherit" w:eastAsia="Times New Roman" w:hAnsi="inherit" w:cs="Arial"/>
                <w:color w:val="000000"/>
                <w:sz w:val="16"/>
                <w:szCs w:val="16"/>
                <w:bdr w:val="none" w:sz="0" w:space="0" w:color="auto" w:frame="1"/>
              </w:rPr>
              <w:br/>
              <w:t>- Lãnh đạo Bộ (để báo cáo);</w:t>
            </w:r>
            <w:r w:rsidRPr="0007733E">
              <w:rPr>
                <w:rFonts w:ascii="inherit" w:eastAsia="Times New Roman" w:hAnsi="inherit" w:cs="Arial"/>
                <w:color w:val="000000"/>
                <w:sz w:val="16"/>
                <w:szCs w:val="16"/>
                <w:bdr w:val="none" w:sz="0" w:space="0" w:color="auto" w:frame="1"/>
              </w:rPr>
              <w:br/>
              <w:t>- Vụ CST; Vụ PC; Vụ CĐ KT&amp;KT;</w:t>
            </w:r>
            <w:r w:rsidRPr="0007733E">
              <w:rPr>
                <w:rFonts w:ascii="inherit" w:eastAsia="Times New Roman" w:hAnsi="inherit" w:cs="Arial"/>
                <w:color w:val="000000"/>
                <w:sz w:val="16"/>
                <w:szCs w:val="16"/>
                <w:bdr w:val="none" w:sz="0" w:space="0" w:color="auto" w:frame="1"/>
              </w:rPr>
              <w:br/>
              <w:t>- Vụ PC-TCT;</w:t>
            </w:r>
            <w:r w:rsidRPr="0007733E">
              <w:rPr>
                <w:rFonts w:ascii="inherit" w:eastAsia="Times New Roman" w:hAnsi="inherit" w:cs="Arial"/>
                <w:color w:val="000000"/>
                <w:sz w:val="16"/>
                <w:szCs w:val="16"/>
                <w:bdr w:val="none" w:sz="0" w:space="0" w:color="auto" w:frame="1"/>
              </w:rPr>
              <w:br/>
              <w:t>- Lưu: VT, CS (4b)</w:t>
            </w:r>
          </w:p>
        </w:tc>
        <w:tc>
          <w:tcPr>
            <w:tcW w:w="4428" w:type="dxa"/>
            <w:tcBorders>
              <w:top w:val="single" w:sz="6" w:space="0" w:color="DDDDDD"/>
              <w:left w:val="single" w:sz="6" w:space="0" w:color="DDDDDD"/>
              <w:bottom w:val="single" w:sz="6" w:space="0" w:color="DDDDDD"/>
              <w:right w:val="single" w:sz="6" w:space="0" w:color="DDDDDD"/>
            </w:tcBorders>
            <w:shd w:val="clear" w:color="auto" w:fill="FFFFFF"/>
            <w:tcMar>
              <w:top w:w="0" w:type="dxa"/>
              <w:left w:w="108" w:type="dxa"/>
              <w:bottom w:w="0" w:type="dxa"/>
              <w:right w:w="108" w:type="dxa"/>
            </w:tcMar>
            <w:vAlign w:val="bottom"/>
            <w:hideMark/>
          </w:tcPr>
          <w:p w:rsidR="0007733E" w:rsidRPr="0007733E" w:rsidRDefault="0007733E" w:rsidP="0007733E">
            <w:pPr>
              <w:spacing w:after="0" w:line="375" w:lineRule="atLeast"/>
              <w:jc w:val="center"/>
              <w:textAlignment w:val="baseline"/>
              <w:rPr>
                <w:rFonts w:ascii="inherit" w:eastAsia="Times New Roman" w:hAnsi="inherit" w:cs="Arial"/>
                <w:color w:val="000000"/>
                <w:sz w:val="24"/>
                <w:szCs w:val="24"/>
              </w:rPr>
            </w:pPr>
            <w:r w:rsidRPr="0007733E">
              <w:rPr>
                <w:rFonts w:ascii="inherit" w:eastAsia="Times New Roman" w:hAnsi="inherit" w:cs="Arial"/>
                <w:b/>
                <w:bCs/>
                <w:color w:val="000000"/>
                <w:sz w:val="24"/>
                <w:szCs w:val="24"/>
                <w:bdr w:val="none" w:sz="0" w:space="0" w:color="auto" w:frame="1"/>
              </w:rPr>
              <w:t>KT. TỔNG CỤC TRƯỞNG</w:t>
            </w:r>
            <w:r w:rsidRPr="0007733E">
              <w:rPr>
                <w:rFonts w:ascii="inherit" w:eastAsia="Times New Roman" w:hAnsi="inherit" w:cs="Arial"/>
                <w:b/>
                <w:bCs/>
                <w:color w:val="000000"/>
                <w:sz w:val="24"/>
                <w:szCs w:val="24"/>
                <w:bdr w:val="none" w:sz="0" w:space="0" w:color="auto" w:frame="1"/>
              </w:rPr>
              <w:br/>
              <w:t>PHÓ TỔNG CỤC TRƯỞNG</w:t>
            </w:r>
            <w:r w:rsidRPr="0007733E">
              <w:rPr>
                <w:rFonts w:ascii="inherit" w:eastAsia="Times New Roman" w:hAnsi="inherit" w:cs="Arial"/>
                <w:b/>
                <w:bCs/>
                <w:color w:val="000000"/>
                <w:sz w:val="24"/>
                <w:szCs w:val="24"/>
                <w:bdr w:val="none" w:sz="0" w:space="0" w:color="auto" w:frame="1"/>
              </w:rPr>
              <w:br/>
            </w:r>
            <w:r w:rsidRPr="0007733E">
              <w:rPr>
                <w:rFonts w:ascii="inherit" w:eastAsia="Times New Roman" w:hAnsi="inherit" w:cs="Arial"/>
                <w:b/>
                <w:bCs/>
                <w:color w:val="000000"/>
                <w:sz w:val="24"/>
                <w:szCs w:val="24"/>
                <w:bdr w:val="none" w:sz="0" w:space="0" w:color="auto" w:frame="1"/>
              </w:rPr>
              <w:br/>
            </w:r>
            <w:r w:rsidRPr="0007733E">
              <w:rPr>
                <w:rFonts w:ascii="inherit" w:eastAsia="Times New Roman" w:hAnsi="inherit" w:cs="Arial"/>
                <w:b/>
                <w:bCs/>
                <w:color w:val="000000"/>
                <w:sz w:val="24"/>
                <w:szCs w:val="24"/>
                <w:bdr w:val="none" w:sz="0" w:space="0" w:color="auto" w:frame="1"/>
              </w:rPr>
              <w:br/>
            </w:r>
            <w:r w:rsidRPr="0007733E">
              <w:rPr>
                <w:rFonts w:ascii="inherit" w:eastAsia="Times New Roman" w:hAnsi="inherit" w:cs="Arial"/>
                <w:b/>
                <w:bCs/>
                <w:color w:val="000000"/>
                <w:sz w:val="24"/>
                <w:szCs w:val="24"/>
                <w:bdr w:val="none" w:sz="0" w:space="0" w:color="auto" w:frame="1"/>
              </w:rPr>
              <w:br/>
            </w:r>
            <w:r w:rsidRPr="0007733E">
              <w:rPr>
                <w:rFonts w:ascii="inherit" w:eastAsia="Times New Roman" w:hAnsi="inherit" w:cs="Arial"/>
                <w:b/>
                <w:bCs/>
                <w:color w:val="000000"/>
                <w:sz w:val="24"/>
                <w:szCs w:val="24"/>
                <w:bdr w:val="none" w:sz="0" w:space="0" w:color="auto" w:frame="1"/>
              </w:rPr>
              <w:br/>
              <w:t>Phạm Duy Khương</w:t>
            </w:r>
          </w:p>
        </w:tc>
      </w:tr>
    </w:tbl>
    <w:p w:rsidR="003914E6" w:rsidRDefault="003914E6"/>
    <w:sectPr w:rsidR="00391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3E"/>
    <w:rsid w:val="0007733E"/>
    <w:rsid w:val="0039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FABB2-6348-4D5A-9D3A-83193EFA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3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773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946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minhkhue.vn/thong-tu-197-2009-tt-btc.aspx"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luatminhkhue.vn/thong-tu-so-130-2008-tt-btc-cua-bo-tai-chinh---huong-dan-thi-hanh-mot-so-dieu-cua-luat-thue-thu-nhap-doanh-nghiep-so-14-2008-qh12-va-huong-dan-thi-hanh-nghi-dinh-so-124-2008-nd-cp-ngay-11-thang-12-nam.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thong-tu-so-134-2007-tt-btc-cua-bo-tai-chinh---huong-dan-thi-hanh-nghi-dinh-so-24-2007-nd-cp-ngay-14-thang-2-nam-2007-cua-chinh-phu-quy-dinh-chi-tiet-thi-hanh-luat-thue-thu-nhap-doanh-nghiep.aspx" TargetMode="External"/><Relationship Id="rId11" Type="http://schemas.openxmlformats.org/officeDocument/2006/relationships/fontTable" Target="fontTable.xml"/><Relationship Id="rId5" Type="http://schemas.openxmlformats.org/officeDocument/2006/relationships/hyperlink" Target="https://luatminhkhue.vn/thong-tu-so-134-2007-tt-btc-cua-bo-tai-chinh---huong-dan-thi-hanh-nghi-dinh-so-24-2007-nd-cp-ngay-14-thang-2-nam-2007-cua-chinh-phu-quy-dinh-chi-tiet-thi-hanh-luat-thue-thu-nhap-doanh-nghiep.aspx" TargetMode="External"/><Relationship Id="rId15" Type="http://schemas.openxmlformats.org/officeDocument/2006/relationships/customXml" Target="../customXml/item3.xml"/><Relationship Id="rId10" Type="http://schemas.openxmlformats.org/officeDocument/2006/relationships/hyperlink" Target="https://luatminhkhue.vn/thong-tu-05-2005-tt-btc.aspx" TargetMode="External"/><Relationship Id="rId4" Type="http://schemas.openxmlformats.org/officeDocument/2006/relationships/hyperlink" Target="https://luatminhkhue.vn/search?q=9031/CT-TTra1&amp;type=doc" TargetMode="External"/><Relationship Id="rId9" Type="http://schemas.openxmlformats.org/officeDocument/2006/relationships/hyperlink" Target="https://luatminhkhue.vn/thong-tu-05-2005-tt-btc.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D9AFC58F-1620-4206-A2DD-9B425ED61B81}"/>
</file>

<file path=customXml/itemProps2.xml><?xml version="1.0" encoding="utf-8"?>
<ds:datastoreItem xmlns:ds="http://schemas.openxmlformats.org/officeDocument/2006/customXml" ds:itemID="{765D99E6-CF67-4184-9FF7-0E81659F299F}"/>
</file>

<file path=customXml/itemProps3.xml><?xml version="1.0" encoding="utf-8"?>
<ds:datastoreItem xmlns:ds="http://schemas.openxmlformats.org/officeDocument/2006/customXml" ds:itemID="{3C7E2FF7-A135-4B8F-B724-1227A506DD9A}"/>
</file>

<file path=docProps/app.xml><?xml version="1.0" encoding="utf-8"?>
<Properties xmlns="http://schemas.openxmlformats.org/officeDocument/2006/extended-properties" xmlns:vt="http://schemas.openxmlformats.org/officeDocument/2006/docPropsVTypes">
  <Template>Normal.dotm</Template>
  <TotalTime>0</TotalTime>
  <Pages>4</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2020-02-25T21:51:00Z</dcterms:created>
  <dcterms:modified xsi:type="dcterms:W3CDTF">2020-02-25T21:51:00Z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