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48" w:type="dxa"/>
        <w:tblBorders>
          <w:top w:val="outset" w:sz="6" w:space="0" w:color="auto"/>
          <w:left w:val="outset" w:sz="6" w:space="0" w:color="auto"/>
          <w:bottom w:val="outset" w:sz="6" w:space="0" w:color="auto"/>
          <w:right w:val="outset" w:sz="6" w:space="0" w:color="auto"/>
          <w:insideH w:val="nil"/>
          <w:insideV w:val="nil"/>
        </w:tblBorders>
        <w:tblCellMar>
          <w:left w:w="0" w:type="dxa"/>
          <w:right w:w="0" w:type="dxa"/>
        </w:tblCellMar>
        <w:tblLook w:val="04A0" w:firstRow="1" w:lastRow="0" w:firstColumn="1" w:lastColumn="0" w:noHBand="0" w:noVBand="1"/>
      </w:tblPr>
      <w:tblGrid>
        <w:gridCol w:w="3168"/>
        <w:gridCol w:w="5580"/>
      </w:tblGrid>
      <w:tr w:rsidR="003B230F" w:rsidRPr="003B230F" w14:paraId="49BD17CF" w14:textId="77777777" w:rsidTr="003B230F">
        <w:trPr>
          <w:trHeight w:val="1271"/>
        </w:trPr>
        <w:tc>
          <w:tcPr>
            <w:tcW w:w="3168"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4CD19E42" w14:textId="77777777" w:rsidR="003B230F" w:rsidRPr="003B230F" w:rsidRDefault="003B230F" w:rsidP="003B230F">
            <w:pPr>
              <w:spacing w:before="120" w:after="100" w:afterAutospacing="1" w:line="240" w:lineRule="auto"/>
              <w:jc w:val="center"/>
              <w:rPr>
                <w:rFonts w:ascii="Tahoma" w:eastAsia="Times New Roman" w:hAnsi="Tahoma" w:cs="Tahoma"/>
                <w:color w:val="000000"/>
                <w:sz w:val="14"/>
                <w:szCs w:val="18"/>
              </w:rPr>
            </w:pPr>
            <w:r w:rsidRPr="003B230F">
              <w:rPr>
                <w:rFonts w:ascii="Times New Roman" w:eastAsia="Times New Roman" w:hAnsi="Times New Roman" w:cs="Times New Roman"/>
                <w:color w:val="000000"/>
                <w:sz w:val="23"/>
                <w:szCs w:val="27"/>
              </w:rPr>
              <w:t>BỘ TÀI CHÍNH</w:t>
            </w:r>
            <w:r w:rsidRPr="003B230F">
              <w:rPr>
                <w:rFonts w:ascii="Times New Roman" w:eastAsia="Times New Roman" w:hAnsi="Times New Roman" w:cs="Times New Roman"/>
                <w:b/>
                <w:bCs/>
                <w:color w:val="000000"/>
                <w:sz w:val="23"/>
                <w:szCs w:val="27"/>
              </w:rPr>
              <w:br/>
              <w:t>TỔNG CỤC THUẾ</w:t>
            </w:r>
            <w:r w:rsidRPr="003B230F">
              <w:rPr>
                <w:rFonts w:ascii="Times New Roman" w:eastAsia="Times New Roman" w:hAnsi="Times New Roman" w:cs="Times New Roman"/>
                <w:b/>
                <w:bCs/>
                <w:color w:val="000000"/>
                <w:sz w:val="23"/>
                <w:szCs w:val="27"/>
              </w:rPr>
              <w:br/>
              <w:t>-------</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20B137F9" w14:textId="77777777" w:rsidR="003B230F" w:rsidRPr="003B230F" w:rsidRDefault="003B230F" w:rsidP="003B230F">
            <w:pPr>
              <w:spacing w:before="120" w:after="100" w:afterAutospacing="1" w:line="240" w:lineRule="auto"/>
              <w:jc w:val="center"/>
              <w:rPr>
                <w:rFonts w:ascii="Tahoma" w:eastAsia="Times New Roman" w:hAnsi="Tahoma" w:cs="Tahoma"/>
                <w:color w:val="000000"/>
                <w:sz w:val="14"/>
                <w:szCs w:val="18"/>
              </w:rPr>
            </w:pPr>
            <w:r w:rsidRPr="003B230F">
              <w:rPr>
                <w:rFonts w:ascii="Times New Roman" w:eastAsia="Times New Roman" w:hAnsi="Times New Roman" w:cs="Times New Roman"/>
                <w:b/>
                <w:bCs/>
                <w:color w:val="000000"/>
                <w:sz w:val="23"/>
                <w:szCs w:val="27"/>
              </w:rPr>
              <w:t>CỘNG HÒA XÃ HỘI CHỦ NGHĨA VIỆT NAM</w:t>
            </w:r>
            <w:r w:rsidRPr="003B230F">
              <w:rPr>
                <w:rFonts w:ascii="Times New Roman" w:eastAsia="Times New Roman" w:hAnsi="Times New Roman" w:cs="Times New Roman"/>
                <w:b/>
                <w:bCs/>
                <w:color w:val="000000"/>
                <w:sz w:val="23"/>
                <w:szCs w:val="27"/>
              </w:rPr>
              <w:br/>
              <w:t>Độc lập - Tự do - Hạnh phúc</w:t>
            </w:r>
            <w:r w:rsidRPr="003B230F">
              <w:rPr>
                <w:rFonts w:ascii="Times New Roman" w:eastAsia="Times New Roman" w:hAnsi="Times New Roman" w:cs="Times New Roman"/>
                <w:b/>
                <w:bCs/>
                <w:color w:val="000000"/>
                <w:sz w:val="23"/>
                <w:szCs w:val="27"/>
              </w:rPr>
              <w:br/>
              <w:t>------------------</w:t>
            </w:r>
          </w:p>
        </w:tc>
      </w:tr>
      <w:tr w:rsidR="003B230F" w:rsidRPr="003B230F" w14:paraId="07FDF1AA" w14:textId="77777777" w:rsidTr="003B230F">
        <w:trPr>
          <w:trHeight w:val="900"/>
        </w:trPr>
        <w:tc>
          <w:tcPr>
            <w:tcW w:w="3168"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76473D8F" w14:textId="77777777" w:rsidR="003B230F" w:rsidRPr="003B230F" w:rsidRDefault="003B230F" w:rsidP="003B230F">
            <w:pPr>
              <w:spacing w:before="120" w:after="100" w:afterAutospacing="1" w:line="240" w:lineRule="auto"/>
              <w:rPr>
                <w:rFonts w:ascii="Tahoma" w:eastAsia="Times New Roman" w:hAnsi="Tahoma" w:cs="Tahoma"/>
                <w:color w:val="000000"/>
                <w:sz w:val="14"/>
                <w:szCs w:val="18"/>
              </w:rPr>
            </w:pPr>
            <w:r w:rsidRPr="003B230F">
              <w:rPr>
                <w:rFonts w:ascii="Times New Roman" w:eastAsia="Times New Roman" w:hAnsi="Times New Roman" w:cs="Times New Roman"/>
                <w:color w:val="000000"/>
                <w:sz w:val="23"/>
                <w:szCs w:val="27"/>
              </w:rPr>
              <w:t>Số: 2734/TCT-CS</w:t>
            </w:r>
            <w:r w:rsidRPr="003B230F">
              <w:rPr>
                <w:rFonts w:ascii="Times New Roman" w:eastAsia="Times New Roman" w:hAnsi="Times New Roman" w:cs="Times New Roman"/>
                <w:color w:val="000000"/>
                <w:sz w:val="23"/>
                <w:szCs w:val="27"/>
              </w:rPr>
              <w:br/>
              <w:t>V/v chính sách thuế TNDN</w:t>
            </w:r>
          </w:p>
        </w:tc>
        <w:tc>
          <w:tcPr>
            <w:tcW w:w="5580" w:type="dxa"/>
            <w:tcBorders>
              <w:top w:val="outset" w:sz="6" w:space="0" w:color="auto"/>
              <w:left w:val="outset" w:sz="6" w:space="0" w:color="auto"/>
              <w:bottom w:val="outset" w:sz="6" w:space="0" w:color="auto"/>
              <w:right w:val="outset" w:sz="6" w:space="0" w:color="auto"/>
            </w:tcBorders>
            <w:tcMar>
              <w:top w:w="0" w:type="dxa"/>
              <w:left w:w="108" w:type="dxa"/>
              <w:bottom w:w="0" w:type="dxa"/>
              <w:right w:w="108" w:type="dxa"/>
            </w:tcMar>
            <w:hideMark/>
          </w:tcPr>
          <w:p w14:paraId="26117D3A" w14:textId="77777777" w:rsidR="003B230F" w:rsidRPr="003B230F" w:rsidRDefault="003B230F" w:rsidP="003B230F">
            <w:pPr>
              <w:spacing w:before="120" w:after="100" w:afterAutospacing="1" w:line="240" w:lineRule="auto"/>
              <w:jc w:val="right"/>
              <w:rPr>
                <w:rFonts w:ascii="Tahoma" w:eastAsia="Times New Roman" w:hAnsi="Tahoma" w:cs="Tahoma"/>
                <w:color w:val="000000"/>
                <w:sz w:val="14"/>
                <w:szCs w:val="18"/>
              </w:rPr>
            </w:pPr>
            <w:r w:rsidRPr="003B230F">
              <w:rPr>
                <w:rFonts w:ascii="Times New Roman" w:eastAsia="Times New Roman" w:hAnsi="Times New Roman" w:cs="Times New Roman"/>
                <w:i/>
                <w:iCs/>
                <w:color w:val="000000"/>
                <w:sz w:val="23"/>
                <w:szCs w:val="27"/>
              </w:rPr>
              <w:t>Hà Nội, ngày  20  tháng 06 năm 2016</w:t>
            </w:r>
          </w:p>
        </w:tc>
      </w:tr>
    </w:tbl>
    <w:p w14:paraId="342CC732" w14:textId="77777777" w:rsidR="003B230F" w:rsidRPr="003B230F" w:rsidRDefault="003B230F" w:rsidP="003B230F">
      <w:pPr>
        <w:shd w:val="clear" w:color="auto" w:fill="FFFFFF"/>
        <w:adjustRightInd w:val="0"/>
        <w:spacing w:before="100" w:beforeAutospacing="1" w:after="0" w:line="312" w:lineRule="auto"/>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 </w:t>
      </w:r>
    </w:p>
    <w:p w14:paraId="34E2AB19" w14:textId="77777777" w:rsidR="003B230F" w:rsidRPr="003B230F" w:rsidRDefault="003B230F" w:rsidP="003B230F">
      <w:pPr>
        <w:shd w:val="clear" w:color="auto" w:fill="FFFFFF"/>
        <w:adjustRightInd w:val="0"/>
        <w:spacing w:before="100" w:beforeAutospacing="1" w:after="0" w:line="312" w:lineRule="auto"/>
        <w:jc w:val="center"/>
        <w:rPr>
          <w:rFonts w:ascii="Tahoma" w:eastAsia="Times New Roman" w:hAnsi="Tahoma" w:cs="Tahoma"/>
          <w:color w:val="343332"/>
          <w:sz w:val="14"/>
          <w:szCs w:val="18"/>
        </w:rPr>
      </w:pPr>
      <w:r w:rsidRPr="003B230F">
        <w:rPr>
          <w:rFonts w:ascii="Times New Roman" w:eastAsia="Times New Roman" w:hAnsi="Times New Roman" w:cs="Times New Roman"/>
          <w:b/>
          <w:bCs/>
          <w:color w:val="343332"/>
          <w:sz w:val="23"/>
          <w:szCs w:val="27"/>
        </w:rPr>
        <w:t>Kính gửi</w:t>
      </w:r>
      <w:r w:rsidRPr="003B230F">
        <w:rPr>
          <w:rFonts w:ascii="Times New Roman" w:eastAsia="Times New Roman" w:hAnsi="Times New Roman" w:cs="Times New Roman"/>
          <w:color w:val="343332"/>
          <w:sz w:val="23"/>
          <w:szCs w:val="27"/>
        </w:rPr>
        <w:t>: Cục Thuế thành phố Hà Nội</w:t>
      </w:r>
    </w:p>
    <w:p w14:paraId="76CAA111" w14:textId="77777777" w:rsidR="003B230F" w:rsidRPr="003B230F" w:rsidRDefault="003B230F" w:rsidP="003B230F">
      <w:pPr>
        <w:shd w:val="clear" w:color="auto" w:fill="FFFFFF"/>
        <w:adjustRightInd w:val="0"/>
        <w:spacing w:before="100" w:beforeAutospacing="1" w:after="0" w:line="312" w:lineRule="auto"/>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 </w:t>
      </w:r>
    </w:p>
    <w:p w14:paraId="5691F1D9"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Tổng cục Thuế nhận được công vă</w:t>
      </w:r>
      <w:bookmarkStart w:id="0" w:name="_GoBack"/>
      <w:bookmarkEnd w:id="0"/>
      <w:r w:rsidRPr="003B230F">
        <w:rPr>
          <w:rFonts w:ascii="Times New Roman" w:eastAsia="Times New Roman" w:hAnsi="Times New Roman" w:cs="Times New Roman"/>
          <w:color w:val="343332"/>
          <w:sz w:val="23"/>
          <w:szCs w:val="27"/>
        </w:rPr>
        <w:t>n số l4749/CT-HTr 31/03/2016 của Cục Thuế thành phố Hà Nội về chính sách thuế thu nhập doanh nghiệp với doanh thu chưa thực hiện. Về vấn đề này, sau khi xin ý kiến các đơn vị và báo cáo lãnh đạo Bộ Tài chính, Tổng cục Thuế có ý kiến như sau :</w:t>
      </w:r>
    </w:p>
    <w:p w14:paraId="37F80898"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Điểm p Khoản 3 Điều 5 Thông tư số 78/2014/TT-BTC ngày 18/06/2014 của Bộ Tài chính hướng dẫn thi hành Nghị định số 218/2013/NĐ-CP ngày 26/12/2013  của Chính phủ quy định về doanh thu tính thuế TNDN như sau:</w:t>
      </w:r>
    </w:p>
    <w:p w14:paraId="416E853D"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“p) Đối với hoạt động kinh doanh chứng khoán là các khoản thu từ dịch vụ môi giới, tự doanh chứng khoán, bảo lãnh phát hành chứng khoán, quản lý danh mục đầu tư, tư vấn tài chính và đầu tư chứng khoán, quản lý quỹ đầu tư, phát hành chứng chỉ quỹ, dịch vụ tổ chức thị trường và các dịch vụ chứng khoán khác theo quy định của pháp luật.”</w:t>
      </w:r>
    </w:p>
    <w:p w14:paraId="47FA3CB7"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Tại Điều 3 Thông tư số 96/2015/TT-BTC ngày 22/06/2015 của Bộ Tài chính quy định về thời điểm xác định doanh thu tính thuế TNDN như sau:</w:t>
      </w:r>
    </w:p>
    <w:p w14:paraId="65F8243A"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2. Thời điểm xác định doanh thu để tính thu nhập chịu thuế được xác định</w:t>
      </w:r>
    </w:p>
    <w:p w14:paraId="7B92A68C" w14:textId="77777777" w:rsidR="003B230F" w:rsidRPr="003B230F" w:rsidRDefault="003B230F" w:rsidP="003B230F">
      <w:pPr>
        <w:shd w:val="clear" w:color="auto" w:fill="FFFFFF"/>
        <w:adjustRightInd w:val="0"/>
        <w:spacing w:before="100" w:beforeAutospacing="1" w:after="0" w:line="312" w:lineRule="auto"/>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như sau:</w:t>
      </w:r>
    </w:p>
    <w:p w14:paraId="440C5520"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 xml:space="preserve">a) Đối với hoạt động bán hàng hóa là thời điểm chuyển giao quyền </w:t>
      </w:r>
      <w:r w:rsidRPr="003B230F">
        <w:rPr>
          <w:rFonts w:ascii="Times New Roman" w:eastAsia="Times New Roman" w:hAnsi="Times New Roman" w:cs="Times New Roman"/>
          <w:color w:val="343332"/>
          <w:sz w:val="23"/>
          <w:szCs w:val="27"/>
        </w:rPr>
        <w:t xml:space="preserve">sở </w:t>
      </w:r>
      <w:r w:rsidRPr="003B230F">
        <w:rPr>
          <w:rFonts w:ascii="Times New Roman" w:eastAsia="Times New Roman" w:hAnsi="Times New Roman" w:cs="Times New Roman"/>
          <w:i/>
          <w:iCs/>
          <w:color w:val="343332"/>
          <w:sz w:val="23"/>
          <w:szCs w:val="27"/>
        </w:rPr>
        <w:t xml:space="preserve">hữu, quyền sử dụng hàng hóa cho người mua. </w:t>
      </w:r>
      <w:r w:rsidRPr="003B230F">
        <w:rPr>
          <w:rFonts w:ascii="Times New Roman" w:eastAsia="Times New Roman" w:hAnsi="Times New Roman" w:cs="Times New Roman"/>
          <w:color w:val="343332"/>
          <w:sz w:val="23"/>
          <w:szCs w:val="27"/>
        </w:rPr>
        <w:t>"</w:t>
      </w:r>
    </w:p>
    <w:p w14:paraId="282A87AA"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Điều 10 Thông tư số 146/20 14/TT-BTC ngày 06/10/2014 của Bộ Tài chính hướng dẫn chế độ tài chính đối với công ty chứng khoán, công ty quản lý quỹ quy định:</w:t>
      </w:r>
    </w:p>
    <w:p w14:paraId="02A352D6"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lastRenderedPageBreak/>
        <w:t>“Điều 10. Nguyên tắc xác định doanh thu</w:t>
      </w:r>
    </w:p>
    <w:p w14:paraId="4EAD998F"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Công ty chứng khoán, công ty quản lý quỹ thực hiện ghi nhận doanh thu và thu nhập khác phù hợp với các chuẩn mực kế toán về doanh thu và thu nhập khác, cụ thể như sau:</w:t>
      </w:r>
    </w:p>
    <w:p w14:paraId="74E8D72B"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1. Doanh thu là tổng giá trị các lợi ích kinh tế của công ty chứng khoán, công ty quản lý quỹ trong kỳ kế toán.</w:t>
      </w:r>
    </w:p>
    <w:p w14:paraId="239383C2"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2. Các khoản doanh thu phát sinh trong kỳ phải có hóa đơn, chứng từ hợp lệ và phải được hạch toán đầy đủ.</w:t>
      </w:r>
    </w:p>
    <w:p w14:paraId="6D327C1F"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3. Đối với các khoản thu về chênh lệch tỷ giá do đánh giá lại ngoại tệ và</w:t>
      </w:r>
    </w:p>
    <w:p w14:paraId="44D09883" w14:textId="77777777" w:rsidR="003B230F" w:rsidRPr="003B230F" w:rsidRDefault="003B230F" w:rsidP="003B230F">
      <w:pPr>
        <w:shd w:val="clear" w:color="auto" w:fill="FFFFFF"/>
        <w:adjustRightInd w:val="0"/>
        <w:spacing w:before="100" w:beforeAutospacing="1" w:after="0" w:line="312" w:lineRule="auto"/>
        <w:jc w:val="both"/>
        <w:rPr>
          <w:rFonts w:ascii="Tahoma" w:eastAsia="Times New Roman" w:hAnsi="Tahoma" w:cs="Tahoma"/>
          <w:color w:val="343332"/>
          <w:sz w:val="14"/>
          <w:szCs w:val="18"/>
        </w:rPr>
      </w:pPr>
      <w:r w:rsidRPr="003B230F">
        <w:rPr>
          <w:rFonts w:ascii="Times New Roman" w:eastAsia="Times New Roman" w:hAnsi="Times New Roman" w:cs="Times New Roman"/>
          <w:i/>
          <w:iCs/>
          <w:color w:val="343332"/>
          <w:sz w:val="23"/>
          <w:szCs w:val="27"/>
        </w:rPr>
        <w:t>vàng, thực hiện ghi nhận theo quy định tại chuẩn mực kế toán và các quy định pháp luật hiện hành.”</w:t>
      </w:r>
    </w:p>
    <w:p w14:paraId="1177BF1F" w14:textId="77777777" w:rsidR="003B230F" w:rsidRPr="003B230F" w:rsidRDefault="003B230F" w:rsidP="003B230F">
      <w:pPr>
        <w:shd w:val="clear" w:color="auto" w:fill="FFFFFF"/>
        <w:adjustRightInd w:val="0"/>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Như vậy, tại các Thông tư của Bộ Tài chính hướng dẫn về thuế thu nhập</w:t>
      </w:r>
      <w:r>
        <w:rPr>
          <w:rFonts w:ascii="Times New Roman" w:eastAsia="Times New Roman" w:hAnsi="Times New Roman" w:cs="Times New Roman"/>
          <w:color w:val="343332"/>
          <w:sz w:val="23"/>
          <w:szCs w:val="27"/>
        </w:rPr>
        <w:t xml:space="preserve"> </w:t>
      </w:r>
      <w:r w:rsidRPr="003B230F">
        <w:rPr>
          <w:rFonts w:ascii="Times New Roman" w:eastAsia="Times New Roman" w:hAnsi="Times New Roman" w:cs="Times New Roman"/>
          <w:color w:val="343332"/>
          <w:sz w:val="23"/>
          <w:szCs w:val="27"/>
        </w:rPr>
        <w:t>doanh nghiệp và chế độ tài chính đối với công ty chứng khoán hiện hành nêu trên chưa có hướng dẫn khoản chênh lệch tăng về đánh giá lại các tài sản tài chính ghi nhận thông qua lãi/1ỗ của công ty chứng khoán là doanh thu tính thuế thu nhập doanh nghiệp.</w:t>
      </w:r>
    </w:p>
    <w:p w14:paraId="39EBC075" w14:textId="77777777" w:rsidR="003B230F" w:rsidRPr="003B230F" w:rsidRDefault="003B230F" w:rsidP="003B230F">
      <w:pPr>
        <w:shd w:val="clear" w:color="auto" w:fill="FFFFFF"/>
        <w:spacing w:before="100" w:beforeAutospacing="1" w:after="0" w:line="312" w:lineRule="auto"/>
        <w:ind w:firstLine="720"/>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Tổng cục Thuế trả lời để Cục Thuế thành phố Hà Nội được biết./</w:t>
      </w:r>
    </w:p>
    <w:p w14:paraId="24432B30" w14:textId="77777777" w:rsidR="003B230F" w:rsidRPr="003B230F" w:rsidRDefault="003B230F" w:rsidP="003B230F">
      <w:pPr>
        <w:shd w:val="clear" w:color="auto" w:fill="FFFFFF"/>
        <w:spacing w:before="100" w:beforeAutospacing="1" w:after="150" w:line="312" w:lineRule="auto"/>
        <w:jc w:val="both"/>
        <w:rPr>
          <w:rFonts w:ascii="Tahoma" w:eastAsia="Times New Roman" w:hAnsi="Tahoma" w:cs="Tahoma"/>
          <w:color w:val="343332"/>
          <w:sz w:val="14"/>
          <w:szCs w:val="18"/>
        </w:rPr>
      </w:pPr>
      <w:r w:rsidRPr="003B230F">
        <w:rPr>
          <w:rFonts w:ascii="Times New Roman" w:eastAsia="Times New Roman" w:hAnsi="Times New Roman" w:cs="Times New Roman"/>
          <w:color w:val="343332"/>
          <w:sz w:val="23"/>
          <w:szCs w:val="27"/>
        </w:rPr>
        <w:t> </w:t>
      </w:r>
    </w:p>
    <w:tbl>
      <w:tblPr>
        <w:tblW w:w="8937" w:type="dxa"/>
        <w:tblCellMar>
          <w:left w:w="0" w:type="dxa"/>
          <w:right w:w="0" w:type="dxa"/>
        </w:tblCellMar>
        <w:tblLook w:val="00A0" w:firstRow="1" w:lastRow="0" w:firstColumn="1" w:lastColumn="0" w:noHBand="0" w:noVBand="0"/>
      </w:tblPr>
      <w:tblGrid>
        <w:gridCol w:w="4102"/>
        <w:gridCol w:w="4835"/>
      </w:tblGrid>
      <w:tr w:rsidR="003B230F" w:rsidRPr="003B230F" w14:paraId="03180616" w14:textId="77777777" w:rsidTr="003B230F">
        <w:trPr>
          <w:trHeight w:val="3029"/>
        </w:trPr>
        <w:tc>
          <w:tcPr>
            <w:tcW w:w="4102" w:type="dxa"/>
            <w:tcMar>
              <w:top w:w="0" w:type="dxa"/>
              <w:left w:w="108" w:type="dxa"/>
              <w:bottom w:w="0" w:type="dxa"/>
              <w:right w:w="108" w:type="dxa"/>
            </w:tcMar>
            <w:hideMark/>
          </w:tcPr>
          <w:p w14:paraId="3FDC8C61" w14:textId="77777777" w:rsidR="003B230F" w:rsidRPr="003B230F" w:rsidRDefault="003B230F" w:rsidP="003B230F">
            <w:pPr>
              <w:spacing w:before="120" w:after="100" w:afterAutospacing="1" w:line="240" w:lineRule="auto"/>
              <w:rPr>
                <w:rFonts w:ascii="Tahoma" w:eastAsia="Times New Roman" w:hAnsi="Tahoma" w:cs="Tahoma"/>
                <w:color w:val="000000"/>
                <w:sz w:val="14"/>
                <w:szCs w:val="18"/>
              </w:rPr>
            </w:pPr>
            <w:r w:rsidRPr="003B230F">
              <w:rPr>
                <w:rFonts w:ascii="Times New Roman" w:eastAsia="Times New Roman" w:hAnsi="Times New Roman" w:cs="Times New Roman"/>
                <w:b/>
                <w:bCs/>
                <w:i/>
                <w:iCs/>
                <w:color w:val="000000"/>
                <w:sz w:val="23"/>
                <w:szCs w:val="27"/>
                <w:lang w:val="vi-VN"/>
              </w:rPr>
              <w:t>Nơi nhận:</w:t>
            </w:r>
            <w:r w:rsidRPr="003B230F">
              <w:rPr>
                <w:rFonts w:ascii="Times New Roman" w:eastAsia="Times New Roman" w:hAnsi="Times New Roman" w:cs="Times New Roman"/>
                <w:b/>
                <w:bCs/>
                <w:i/>
                <w:iCs/>
                <w:color w:val="000000"/>
                <w:sz w:val="23"/>
                <w:szCs w:val="27"/>
                <w:lang w:val="vi-VN"/>
              </w:rPr>
              <w:br/>
            </w:r>
            <w:r w:rsidRPr="003B230F">
              <w:rPr>
                <w:rFonts w:ascii="Times New Roman" w:eastAsia="Times New Roman" w:hAnsi="Times New Roman" w:cs="Times New Roman"/>
                <w:color w:val="000000"/>
                <w:sz w:val="23"/>
                <w:szCs w:val="27"/>
                <w:lang w:val="vi-VN"/>
              </w:rPr>
              <w:t>- Như trên;</w:t>
            </w:r>
            <w:r w:rsidRPr="003B230F">
              <w:rPr>
                <w:rFonts w:ascii="Times New Roman" w:eastAsia="Times New Roman" w:hAnsi="Times New Roman" w:cs="Times New Roman"/>
                <w:color w:val="000000"/>
                <w:sz w:val="23"/>
                <w:szCs w:val="27"/>
              </w:rPr>
              <w:br/>
              <w:t>- TTr Đỗ Hoàng Anh Tuấn (để b/c);</w:t>
            </w:r>
            <w:r w:rsidRPr="003B230F">
              <w:rPr>
                <w:rFonts w:ascii="Times New Roman" w:eastAsia="Times New Roman" w:hAnsi="Times New Roman" w:cs="Times New Roman"/>
                <w:color w:val="000000"/>
                <w:sz w:val="23"/>
                <w:szCs w:val="27"/>
              </w:rPr>
              <w:br/>
              <w:t>- Các đv: CST, PC, CĐKT, TCNH; UBCKNN;</w:t>
            </w:r>
            <w:r w:rsidRPr="003B230F">
              <w:rPr>
                <w:rFonts w:ascii="Times New Roman" w:eastAsia="Times New Roman" w:hAnsi="Times New Roman" w:cs="Times New Roman"/>
                <w:color w:val="000000"/>
                <w:sz w:val="23"/>
                <w:szCs w:val="27"/>
                <w:lang w:val="vi-VN"/>
              </w:rPr>
              <w:br/>
              <w:t xml:space="preserve">- </w:t>
            </w:r>
            <w:r w:rsidRPr="003B230F">
              <w:rPr>
                <w:rFonts w:ascii="Times New Roman" w:eastAsia="Times New Roman" w:hAnsi="Times New Roman" w:cs="Times New Roman"/>
                <w:color w:val="000000"/>
                <w:sz w:val="23"/>
                <w:szCs w:val="27"/>
              </w:rPr>
              <w:t>Vụ PC, KK-TCT;</w:t>
            </w:r>
            <w:r w:rsidRPr="003B230F">
              <w:rPr>
                <w:rFonts w:ascii="Times New Roman" w:eastAsia="Times New Roman" w:hAnsi="Times New Roman" w:cs="Times New Roman"/>
                <w:color w:val="000000"/>
                <w:sz w:val="23"/>
                <w:szCs w:val="27"/>
                <w:lang w:val="vi-VN"/>
              </w:rPr>
              <w:br/>
              <w:t xml:space="preserve">- Lưu: VT, </w:t>
            </w:r>
            <w:r w:rsidRPr="003B230F">
              <w:rPr>
                <w:rFonts w:ascii="Times New Roman" w:eastAsia="Times New Roman" w:hAnsi="Times New Roman" w:cs="Times New Roman"/>
                <w:color w:val="000000"/>
                <w:sz w:val="23"/>
                <w:szCs w:val="27"/>
              </w:rPr>
              <w:t>CS (3b)</w:t>
            </w:r>
            <w:r w:rsidRPr="003B230F">
              <w:rPr>
                <w:rFonts w:ascii="Times New Roman" w:eastAsia="Times New Roman" w:hAnsi="Times New Roman" w:cs="Times New Roman"/>
                <w:color w:val="000000"/>
                <w:sz w:val="23"/>
                <w:szCs w:val="27"/>
                <w:lang w:val="vi-VN"/>
              </w:rPr>
              <w:t>.</w:t>
            </w:r>
          </w:p>
        </w:tc>
        <w:tc>
          <w:tcPr>
            <w:tcW w:w="4835" w:type="dxa"/>
            <w:tcMar>
              <w:top w:w="0" w:type="dxa"/>
              <w:left w:w="108" w:type="dxa"/>
              <w:bottom w:w="0" w:type="dxa"/>
              <w:right w:w="108" w:type="dxa"/>
            </w:tcMar>
            <w:hideMark/>
          </w:tcPr>
          <w:p w14:paraId="0B024B12" w14:textId="77777777" w:rsidR="003B230F" w:rsidRPr="003B230F" w:rsidRDefault="003B230F" w:rsidP="003B230F">
            <w:pPr>
              <w:spacing w:before="120" w:after="100" w:afterAutospacing="1" w:line="240" w:lineRule="auto"/>
              <w:jc w:val="center"/>
              <w:rPr>
                <w:rFonts w:ascii="Tahoma" w:eastAsia="Times New Roman" w:hAnsi="Tahoma" w:cs="Tahoma"/>
                <w:color w:val="000000"/>
                <w:sz w:val="14"/>
                <w:szCs w:val="18"/>
              </w:rPr>
            </w:pPr>
            <w:r w:rsidRPr="003B230F">
              <w:rPr>
                <w:rFonts w:ascii="Times New Roman" w:eastAsia="Times New Roman" w:hAnsi="Times New Roman" w:cs="Times New Roman"/>
                <w:b/>
                <w:bCs/>
                <w:color w:val="000000"/>
                <w:sz w:val="23"/>
                <w:szCs w:val="27"/>
                <w:lang w:val="vi-VN"/>
              </w:rPr>
              <w:t>KT. TỔNG CỤC TRƯỞNG</w:t>
            </w:r>
            <w:r w:rsidRPr="003B230F">
              <w:rPr>
                <w:rFonts w:ascii="Times New Roman" w:eastAsia="Times New Roman" w:hAnsi="Times New Roman" w:cs="Times New Roman"/>
                <w:b/>
                <w:bCs/>
                <w:color w:val="000000"/>
                <w:sz w:val="23"/>
                <w:szCs w:val="27"/>
                <w:lang w:val="vi-VN"/>
              </w:rPr>
              <w:br/>
              <w:t>PHÓ TỔNG CỤC TRƯỞNG</w:t>
            </w:r>
            <w:r w:rsidRPr="003B230F">
              <w:rPr>
                <w:rFonts w:ascii="Times New Roman" w:eastAsia="Times New Roman" w:hAnsi="Times New Roman" w:cs="Times New Roman"/>
                <w:b/>
                <w:bCs/>
                <w:color w:val="000000"/>
                <w:sz w:val="23"/>
                <w:szCs w:val="27"/>
                <w:lang w:val="vi-VN"/>
              </w:rPr>
              <w:br/>
            </w:r>
            <w:r w:rsidRPr="003B230F">
              <w:rPr>
                <w:rFonts w:ascii="Times New Roman" w:eastAsia="Times New Roman" w:hAnsi="Times New Roman" w:cs="Times New Roman"/>
                <w:b/>
                <w:bCs/>
                <w:color w:val="000000"/>
                <w:sz w:val="23"/>
                <w:szCs w:val="27"/>
                <w:lang w:val="vi-VN"/>
              </w:rPr>
              <w:br/>
            </w:r>
            <w:r w:rsidRPr="003B230F">
              <w:rPr>
                <w:rFonts w:ascii="Times New Roman" w:eastAsia="Times New Roman" w:hAnsi="Times New Roman" w:cs="Times New Roman"/>
                <w:b/>
                <w:bCs/>
                <w:color w:val="000000"/>
                <w:sz w:val="23"/>
                <w:szCs w:val="27"/>
                <w:lang w:val="vi-VN"/>
              </w:rPr>
              <w:br/>
            </w:r>
          </w:p>
          <w:p w14:paraId="72069F3E" w14:textId="77777777" w:rsidR="003B230F" w:rsidRPr="003B230F" w:rsidRDefault="003B230F" w:rsidP="003B230F">
            <w:pPr>
              <w:spacing w:before="120" w:after="100" w:afterAutospacing="1" w:line="240" w:lineRule="auto"/>
              <w:jc w:val="center"/>
              <w:rPr>
                <w:rFonts w:ascii="Tahoma" w:eastAsia="Times New Roman" w:hAnsi="Tahoma" w:cs="Tahoma"/>
                <w:color w:val="000000"/>
                <w:sz w:val="14"/>
                <w:szCs w:val="18"/>
              </w:rPr>
            </w:pPr>
            <w:r w:rsidRPr="003B230F">
              <w:rPr>
                <w:rFonts w:ascii="Times New Roman" w:eastAsia="Times New Roman" w:hAnsi="Times New Roman" w:cs="Times New Roman"/>
                <w:b/>
                <w:bCs/>
                <w:color w:val="000000"/>
                <w:sz w:val="23"/>
                <w:szCs w:val="27"/>
                <w:lang w:val="vi-VN"/>
              </w:rPr>
              <w:br/>
            </w:r>
            <w:r w:rsidRPr="003B230F">
              <w:rPr>
                <w:rFonts w:ascii="Times New Roman" w:eastAsia="Times New Roman" w:hAnsi="Times New Roman" w:cs="Times New Roman"/>
                <w:b/>
                <w:bCs/>
                <w:color w:val="000000"/>
                <w:sz w:val="23"/>
                <w:szCs w:val="27"/>
                <w:lang w:val="vi-VN"/>
              </w:rPr>
              <w:br/>
            </w:r>
            <w:r w:rsidRPr="003B230F">
              <w:rPr>
                <w:rFonts w:ascii="Times New Roman" w:eastAsia="Times New Roman" w:hAnsi="Times New Roman" w:cs="Times New Roman"/>
                <w:b/>
                <w:bCs/>
                <w:color w:val="000000"/>
                <w:sz w:val="23"/>
                <w:szCs w:val="27"/>
              </w:rPr>
              <w:t>Cao Anh Tuấn</w:t>
            </w:r>
          </w:p>
        </w:tc>
      </w:tr>
    </w:tbl>
    <w:p w14:paraId="4BAE3782" w14:textId="77777777" w:rsidR="00E7514C" w:rsidRPr="003B230F" w:rsidRDefault="0093568A">
      <w:pPr>
        <w:rPr>
          <w:sz w:val="18"/>
        </w:rPr>
      </w:pPr>
    </w:p>
    <w:sectPr w:rsidR="00E7514C" w:rsidRPr="003B2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0F"/>
    <w:rsid w:val="003B230F"/>
    <w:rsid w:val="00647DAD"/>
    <w:rsid w:val="0093568A"/>
    <w:rsid w:val="009960F6"/>
    <w:rsid w:val="00AC324E"/>
    <w:rsid w:val="00EF7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3CB25"/>
  <w15:chartTrackingRefBased/>
  <w15:docId w15:val="{52F54023-1FBD-401A-A87F-857D8D9D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5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56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5252016">
      <w:bodyDiv w:val="1"/>
      <w:marLeft w:val="0"/>
      <w:marRight w:val="0"/>
      <w:marTop w:val="0"/>
      <w:marBottom w:val="0"/>
      <w:divBdr>
        <w:top w:val="none" w:sz="0" w:space="0" w:color="auto"/>
        <w:left w:val="none" w:sz="0" w:space="0" w:color="auto"/>
        <w:bottom w:val="none" w:sz="0" w:space="0" w:color="auto"/>
        <w:right w:val="none" w:sz="0" w:space="0" w:color="auto"/>
      </w:divBdr>
      <w:divsChild>
        <w:div w:id="393743210">
          <w:marLeft w:val="0"/>
          <w:marRight w:val="0"/>
          <w:marTop w:val="0"/>
          <w:marBottom w:val="0"/>
          <w:divBdr>
            <w:top w:val="none" w:sz="0" w:space="0" w:color="auto"/>
            <w:left w:val="none" w:sz="0" w:space="0" w:color="auto"/>
            <w:bottom w:val="none" w:sz="0" w:space="0" w:color="auto"/>
            <w:right w:val="none" w:sz="0" w:space="0" w:color="auto"/>
          </w:divBdr>
          <w:divsChild>
            <w:div w:id="2009091848">
              <w:marLeft w:val="0"/>
              <w:marRight w:val="0"/>
              <w:marTop w:val="0"/>
              <w:marBottom w:val="0"/>
              <w:divBdr>
                <w:top w:val="none" w:sz="0" w:space="0" w:color="auto"/>
                <w:left w:val="none" w:sz="0" w:space="0" w:color="auto"/>
                <w:bottom w:val="none" w:sz="0" w:space="0" w:color="auto"/>
                <w:right w:val="none" w:sz="0" w:space="0" w:color="auto"/>
              </w:divBdr>
              <w:divsChild>
                <w:div w:id="548611441">
                  <w:marLeft w:val="0"/>
                  <w:marRight w:val="0"/>
                  <w:marTop w:val="0"/>
                  <w:marBottom w:val="0"/>
                  <w:divBdr>
                    <w:top w:val="none" w:sz="0" w:space="0" w:color="auto"/>
                    <w:left w:val="none" w:sz="0" w:space="0" w:color="auto"/>
                    <w:bottom w:val="none" w:sz="0" w:space="0" w:color="auto"/>
                    <w:right w:val="none" w:sz="0" w:space="0" w:color="auto"/>
                  </w:divBdr>
                  <w:divsChild>
                    <w:div w:id="645667172">
                      <w:marLeft w:val="75"/>
                      <w:marRight w:val="0"/>
                      <w:marTop w:val="0"/>
                      <w:marBottom w:val="0"/>
                      <w:divBdr>
                        <w:top w:val="none" w:sz="0" w:space="0" w:color="auto"/>
                        <w:left w:val="none" w:sz="0" w:space="0" w:color="auto"/>
                        <w:bottom w:val="none" w:sz="0" w:space="0" w:color="auto"/>
                        <w:right w:val="none" w:sz="0" w:space="0" w:color="auto"/>
                      </w:divBdr>
                      <w:divsChild>
                        <w:div w:id="1074816315">
                          <w:marLeft w:val="0"/>
                          <w:marRight w:val="0"/>
                          <w:marTop w:val="0"/>
                          <w:marBottom w:val="0"/>
                          <w:divBdr>
                            <w:top w:val="none" w:sz="0" w:space="0" w:color="auto"/>
                            <w:left w:val="none" w:sz="0" w:space="0" w:color="auto"/>
                            <w:bottom w:val="none" w:sz="0" w:space="0" w:color="auto"/>
                            <w:right w:val="none" w:sz="0" w:space="0" w:color="auto"/>
                          </w:divBdr>
                          <w:divsChild>
                            <w:div w:id="774129804">
                              <w:marLeft w:val="75"/>
                              <w:marRight w:val="0"/>
                              <w:marTop w:val="0"/>
                              <w:marBottom w:val="0"/>
                              <w:divBdr>
                                <w:top w:val="none" w:sz="0" w:space="0" w:color="auto"/>
                                <w:left w:val="none" w:sz="0" w:space="0" w:color="auto"/>
                                <w:bottom w:val="none" w:sz="0" w:space="0" w:color="auto"/>
                                <w:right w:val="none" w:sz="0" w:space="0" w:color="auto"/>
                              </w:divBdr>
                              <w:divsChild>
                                <w:div w:id="1654681425">
                                  <w:marLeft w:val="0"/>
                                  <w:marRight w:val="0"/>
                                  <w:marTop w:val="0"/>
                                  <w:marBottom w:val="0"/>
                                  <w:divBdr>
                                    <w:top w:val="none" w:sz="0" w:space="0" w:color="auto"/>
                                    <w:left w:val="none" w:sz="0" w:space="0" w:color="auto"/>
                                    <w:bottom w:val="none" w:sz="0" w:space="0" w:color="auto"/>
                                    <w:right w:val="none" w:sz="0" w:space="0" w:color="auto"/>
                                  </w:divBdr>
                                  <w:divsChild>
                                    <w:div w:id="1857646569">
                                      <w:marLeft w:val="0"/>
                                      <w:marRight w:val="0"/>
                                      <w:marTop w:val="0"/>
                                      <w:marBottom w:val="150"/>
                                      <w:divBdr>
                                        <w:top w:val="none" w:sz="0" w:space="0" w:color="auto"/>
                                        <w:left w:val="none" w:sz="0" w:space="0" w:color="auto"/>
                                        <w:bottom w:val="none" w:sz="0" w:space="0" w:color="auto"/>
                                        <w:right w:val="none" w:sz="0" w:space="0" w:color="auto"/>
                                      </w:divBdr>
                                      <w:divsChild>
                                        <w:div w:id="213020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1137F-9A86-44B9-8FAF-F39AD85B5577}"/>
</file>

<file path=customXml/itemProps2.xml><?xml version="1.0" encoding="utf-8"?>
<ds:datastoreItem xmlns:ds="http://schemas.openxmlformats.org/officeDocument/2006/customXml" ds:itemID="{17A1B944-2163-46C2-80F6-C81F0DF0A692}"/>
</file>

<file path=customXml/itemProps3.xml><?xml version="1.0" encoding="utf-8"?>
<ds:datastoreItem xmlns:ds="http://schemas.openxmlformats.org/officeDocument/2006/customXml" ds:itemID="{6AAE54E3-E7DA-4574-B799-62642D5CE8F4}"/>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Dinh, Thi Vien</cp:lastModifiedBy>
  <cp:revision>2</cp:revision>
  <dcterms:created xsi:type="dcterms:W3CDTF">2021-02-22T12:01:00Z</dcterms:created>
  <dcterms:modified xsi:type="dcterms:W3CDTF">2021-02-22T12:01:00Z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