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8"/>
        <w:gridCol w:w="5328"/>
      </w:tblGrid>
      <w:tr w:rsidR="003B627E" w:rsidRPr="003B627E" w:rsidTr="003B627E">
        <w:tc>
          <w:tcPr>
            <w:tcW w:w="3528"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rsidR="003B627E" w:rsidRPr="003B627E" w:rsidRDefault="003B627E" w:rsidP="003B627E">
            <w:pPr>
              <w:spacing w:after="120" w:line="240" w:lineRule="auto"/>
              <w:jc w:val="center"/>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BỘ TÀI CHÍNH </w:t>
            </w:r>
            <w:r w:rsidRPr="003B627E">
              <w:rPr>
                <w:rFonts w:ascii="Times New Roman" w:eastAsia="Times New Roman" w:hAnsi="Times New Roman" w:cs="Times New Roman"/>
                <w:color w:val="404040"/>
                <w:sz w:val="20"/>
                <w:szCs w:val="20"/>
              </w:rPr>
              <w:br/>
            </w:r>
            <w:r w:rsidRPr="003B627E">
              <w:rPr>
                <w:rFonts w:ascii="Times New Roman" w:eastAsia="Times New Roman" w:hAnsi="Times New Roman" w:cs="Times New Roman"/>
                <w:b/>
                <w:bCs/>
                <w:color w:val="404040"/>
                <w:sz w:val="20"/>
                <w:szCs w:val="20"/>
              </w:rPr>
              <w:t>TỔNG CỤC THUẾ</w:t>
            </w:r>
            <w:r w:rsidRPr="003B627E">
              <w:rPr>
                <w:rFonts w:ascii="Times New Roman" w:eastAsia="Times New Roman" w:hAnsi="Times New Roman" w:cs="Times New Roman"/>
                <w:b/>
                <w:bCs/>
                <w:color w:val="404040"/>
                <w:sz w:val="20"/>
                <w:szCs w:val="20"/>
              </w:rPr>
              <w:br/>
              <w:t>-------</w:t>
            </w:r>
          </w:p>
        </w:tc>
        <w:tc>
          <w:tcPr>
            <w:tcW w:w="5328"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rsidR="003B627E" w:rsidRPr="003B627E" w:rsidRDefault="003B627E" w:rsidP="003B627E">
            <w:pPr>
              <w:spacing w:after="120" w:line="240" w:lineRule="auto"/>
              <w:jc w:val="center"/>
              <w:rPr>
                <w:rFonts w:ascii="Times New Roman" w:eastAsia="Times New Roman" w:hAnsi="Times New Roman" w:cs="Times New Roman"/>
                <w:color w:val="404040"/>
                <w:sz w:val="24"/>
                <w:szCs w:val="24"/>
              </w:rPr>
            </w:pPr>
            <w:r w:rsidRPr="003B627E">
              <w:rPr>
                <w:rFonts w:ascii="Times New Roman" w:eastAsia="Times New Roman" w:hAnsi="Times New Roman" w:cs="Times New Roman"/>
                <w:b/>
                <w:bCs/>
                <w:color w:val="404040"/>
                <w:sz w:val="20"/>
                <w:szCs w:val="20"/>
              </w:rPr>
              <w:t>CỘNG HOÀ XÃ HỘI CHỦ NGHĨA VIỆT NAM</w:t>
            </w:r>
            <w:r w:rsidRPr="003B627E">
              <w:rPr>
                <w:rFonts w:ascii="Times New Roman" w:eastAsia="Times New Roman" w:hAnsi="Times New Roman" w:cs="Times New Roman"/>
                <w:b/>
                <w:bCs/>
                <w:color w:val="404040"/>
                <w:sz w:val="20"/>
                <w:szCs w:val="20"/>
              </w:rPr>
              <w:br/>
              <w:t>Độc lập - Tự do - Hạnh phúc</w:t>
            </w:r>
            <w:r w:rsidRPr="003B627E">
              <w:rPr>
                <w:rFonts w:ascii="Times New Roman" w:eastAsia="Times New Roman" w:hAnsi="Times New Roman" w:cs="Times New Roman"/>
                <w:b/>
                <w:bCs/>
                <w:color w:val="404040"/>
                <w:sz w:val="20"/>
                <w:szCs w:val="20"/>
              </w:rPr>
              <w:br/>
              <w:t>---------</w:t>
            </w:r>
          </w:p>
        </w:tc>
      </w:tr>
      <w:tr w:rsidR="003B627E" w:rsidRPr="003B627E" w:rsidTr="003B627E">
        <w:tc>
          <w:tcPr>
            <w:tcW w:w="3528"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Số: </w:t>
            </w:r>
            <w:hyperlink r:id="rId4" w:tgtFrame="_blank" w:history="1">
              <w:r w:rsidRPr="003B627E">
                <w:rPr>
                  <w:rFonts w:ascii="Times New Roman" w:eastAsia="Times New Roman" w:hAnsi="Times New Roman" w:cs="Times New Roman"/>
                  <w:color w:val="0088CC"/>
                  <w:sz w:val="20"/>
                  <w:szCs w:val="20"/>
                </w:rPr>
                <w:t>3373/TCT-HTQT</w:t>
              </w:r>
            </w:hyperlink>
            <w:r w:rsidRPr="003B627E">
              <w:rPr>
                <w:rFonts w:ascii="Times New Roman" w:eastAsia="Times New Roman" w:hAnsi="Times New Roman" w:cs="Times New Roman"/>
                <w:color w:val="404040"/>
                <w:sz w:val="20"/>
                <w:szCs w:val="20"/>
              </w:rPr>
              <w:br/>
            </w:r>
            <w:r w:rsidRPr="003B627E">
              <w:rPr>
                <w:rFonts w:ascii="Times New Roman" w:eastAsia="Times New Roman" w:hAnsi="Times New Roman" w:cs="Times New Roman"/>
                <w:i/>
                <w:iCs/>
                <w:color w:val="404040"/>
                <w:sz w:val="16"/>
                <w:szCs w:val="16"/>
              </w:rPr>
              <w:t>V/v giải quyết hoàn thuế theo Hiệp định tránh đánh thuế hai lần.</w:t>
            </w:r>
          </w:p>
        </w:tc>
        <w:tc>
          <w:tcPr>
            <w:tcW w:w="5328"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rsidR="003B627E" w:rsidRPr="003B627E" w:rsidRDefault="003B627E" w:rsidP="003B627E">
            <w:pPr>
              <w:spacing w:after="120" w:line="240" w:lineRule="auto"/>
              <w:jc w:val="right"/>
              <w:rPr>
                <w:rFonts w:ascii="Times New Roman" w:eastAsia="Times New Roman" w:hAnsi="Times New Roman" w:cs="Times New Roman"/>
                <w:color w:val="404040"/>
                <w:sz w:val="24"/>
                <w:szCs w:val="24"/>
              </w:rPr>
            </w:pPr>
            <w:r w:rsidRPr="003B627E">
              <w:rPr>
                <w:rFonts w:ascii="Times New Roman" w:eastAsia="Times New Roman" w:hAnsi="Times New Roman" w:cs="Times New Roman"/>
                <w:i/>
                <w:iCs/>
                <w:color w:val="404040"/>
                <w:sz w:val="20"/>
                <w:szCs w:val="20"/>
              </w:rPr>
              <w:t>Hà Nội, ngày 18 tháng 8 năm 2009</w:t>
            </w:r>
          </w:p>
        </w:tc>
      </w:tr>
    </w:tbl>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w:t>
      </w:r>
    </w:p>
    <w:p w:rsidR="003B627E" w:rsidRPr="003B627E" w:rsidRDefault="003B627E" w:rsidP="003B627E">
      <w:pPr>
        <w:spacing w:after="120" w:line="240" w:lineRule="auto"/>
        <w:jc w:val="center"/>
        <w:rPr>
          <w:rFonts w:ascii="Times New Roman" w:eastAsia="Times New Roman" w:hAnsi="Times New Roman" w:cs="Times New Roman"/>
          <w:color w:val="404040"/>
          <w:sz w:val="24"/>
          <w:szCs w:val="24"/>
        </w:rPr>
      </w:pPr>
      <w:r w:rsidRPr="003B627E">
        <w:rPr>
          <w:rFonts w:ascii="Times New Roman" w:eastAsia="Times New Roman" w:hAnsi="Times New Roman" w:cs="Times New Roman"/>
          <w:b/>
          <w:bCs/>
          <w:color w:val="404040"/>
          <w:sz w:val="20"/>
          <w:szCs w:val="20"/>
        </w:rPr>
        <w:t>Kính gửi:</w:t>
      </w:r>
      <w:r w:rsidRPr="003B627E">
        <w:rPr>
          <w:rFonts w:ascii="Times New Roman" w:eastAsia="Times New Roman" w:hAnsi="Times New Roman" w:cs="Times New Roman"/>
          <w:color w:val="404040"/>
          <w:sz w:val="20"/>
          <w:szCs w:val="20"/>
        </w:rPr>
        <w:t xml:space="preserve"> Cục Thuế Thành phố Hồ Chí Minh.</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Trả lời công văn số </w:t>
      </w:r>
      <w:hyperlink r:id="rId5" w:tgtFrame="_blank" w:history="1">
        <w:r w:rsidRPr="003B627E">
          <w:rPr>
            <w:rFonts w:ascii="Times New Roman" w:eastAsia="Times New Roman" w:hAnsi="Times New Roman" w:cs="Times New Roman"/>
            <w:color w:val="0088CC"/>
            <w:sz w:val="20"/>
            <w:szCs w:val="20"/>
          </w:rPr>
          <w:t>4542/CT-KTT2</w:t>
        </w:r>
      </w:hyperlink>
      <w:r w:rsidRPr="003B627E">
        <w:rPr>
          <w:rFonts w:ascii="Times New Roman" w:eastAsia="Times New Roman" w:hAnsi="Times New Roman" w:cs="Times New Roman"/>
          <w:color w:val="404040"/>
          <w:sz w:val="20"/>
          <w:szCs w:val="20"/>
        </w:rPr>
        <w:t xml:space="preserve"> ngày 11/6/2009 của CụcThuế Th</w:t>
      </w:r>
      <w:bookmarkStart w:id="0" w:name="_GoBack"/>
      <w:bookmarkEnd w:id="0"/>
      <w:r w:rsidRPr="003B627E">
        <w:rPr>
          <w:rFonts w:ascii="Times New Roman" w:eastAsia="Times New Roman" w:hAnsi="Times New Roman" w:cs="Times New Roman"/>
          <w:color w:val="404040"/>
          <w:sz w:val="20"/>
          <w:szCs w:val="20"/>
        </w:rPr>
        <w:t>ành phố Hồ Chí Minh liên quan đến giải quyết hồ sơ hoàn thuế theo Hiệpđịnh tránh đánh thuế hai lần (Hiệp định), Tổng cục Thuế có ý kiến như sau:</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b/>
          <w:bCs/>
          <w:color w:val="404040"/>
          <w:sz w:val="20"/>
          <w:szCs w:val="20"/>
        </w:rPr>
        <w:t> 1. Về địa vị pháp lý các chi nhánh ngân hàng nước ngoài khiáp dụng Hiệp định: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Khoản 4, Điều 7, Nghị định số </w:t>
      </w:r>
      <w:hyperlink r:id="rId6" w:tgtFrame="_blank" w:history="1">
        <w:r w:rsidRPr="003B627E">
          <w:rPr>
            <w:rFonts w:ascii="Times New Roman" w:eastAsia="Times New Roman" w:hAnsi="Times New Roman" w:cs="Times New Roman"/>
            <w:color w:val="0088CC"/>
            <w:sz w:val="20"/>
            <w:szCs w:val="20"/>
          </w:rPr>
          <w:t>22/2006/NĐ-CP</w:t>
        </w:r>
      </w:hyperlink>
      <w:r w:rsidRPr="003B627E">
        <w:rPr>
          <w:rFonts w:ascii="Times New Roman" w:eastAsia="Times New Roman" w:hAnsi="Times New Roman" w:cs="Times New Roman"/>
          <w:color w:val="404040"/>
          <w:sz w:val="20"/>
          <w:szCs w:val="20"/>
        </w:rPr>
        <w:t xml:space="preserve"> ngày 28/2/2006của Chính phủ về tổ chức và hoạt động của chi nhánh ngân hàng nước ngoài, ngânhàng liên doanh, ngân hàng 100% vốn nước ngoài, văn phòng đại diện tổ chức tíndụng nước ngoài tại Việt Nam qui định: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“Chi nhánh ngân hàng nước ngoài là đơn vị phụ thuộc ngânhàng mẹ, không có tư cách pháp nhân theo pháp luật Việt Nam, được ngân hàng mẹđảm bảo bằng văn bản về việc chịu trách nhiệm đối với mọi nghĩa vụ và cam kếtcủa chi nhánh tại Việt Nam.”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Tại Điểm 2.1.1.2 (a), Mục II, Phần B, Thông tư số</w:t>
      </w:r>
      <w:hyperlink r:id="rId7" w:tgtFrame="_blank" w:history="1">
        <w:r w:rsidRPr="003B627E">
          <w:rPr>
            <w:rFonts w:ascii="Times New Roman" w:eastAsia="Times New Roman" w:hAnsi="Times New Roman" w:cs="Times New Roman"/>
            <w:color w:val="0088CC"/>
            <w:sz w:val="20"/>
            <w:szCs w:val="20"/>
          </w:rPr>
          <w:t>133/2004/TT-BTC</w:t>
        </w:r>
      </w:hyperlink>
      <w:r w:rsidRPr="003B627E">
        <w:rPr>
          <w:rFonts w:ascii="Times New Roman" w:eastAsia="Times New Roman" w:hAnsi="Times New Roman" w:cs="Times New Roman"/>
          <w:color w:val="404040"/>
          <w:sz w:val="20"/>
          <w:szCs w:val="20"/>
        </w:rPr>
        <w:t xml:space="preserve"> ngày 31/12/2004 của Bộ Tài chính hướng dẫn thực hiện các Hiệpđịnh tránh đánh thuế hai lần đối với các loại thuế đánh vào thu nhập và tài sảngiữa Việt Nam với các nước có hiệu lực thi hành tại Việt Nam hướng dẫn: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“Một doanh nghiệp của một Nước ký kết sẽ được coi là tiếnhành hoạt động kinh doanh thông qua một cơ sở thường trú tại Việt Nam trong cáctrường hợp chủ yếu sau đây:</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 a) Doanh nghiệp đó có tại Việt Nam: trụ sở điều hành, chinhánh (như chi nhánh công ty luật, chi nhánh văn phòng nước ngoài, chi nhánhcác công ty thuốc lá, chi nhánh ngân hàng,...”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 Theo các hướng dẫn trên, chi nhánh ngân hàng nước ngoài tạiViệt Nam của các ngân hàng nước ngoài được coi là cơ sở thường trú của ngânhàng nước ngoài tại Việt Nam, trừ trường hợp Hiệp định giữa Việt Nam với Nướccư trú của các ngân hàng nước ngoài có quy định khác.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Khoản 1 và Khoản 2, Điều 5 - Cơ sở thường trú, Hiệp địnhViệt Nam - Pháp quy định:</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“1. Theo nghĩa trong Hiệp định này, thuật ngữ “cơ sở thườngtrú” có nghĩa là một cơ sở kinh doanh cố định qua đó xí nghiệp thực hiện toànbộ hoặc một phần hoạt động kinh doanh của mình.</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2. Thuật ngữ “cơ sở thường trú” chủ yếu bao gồm:</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a) trụ sở điều hành;</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b) chi nhánh;...”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Căn cứ vào các hướng dẫn và quy định nêu trên, chi nhánhngân hàng tại Việt Nam (Chi nhánh tại Việt Nam) của các ngân hàng là đối tượngcư trú của Pháp (Ngân hàng mẹ) nói chung, các Chi nhánh tại Thành phố Hồ ChíMinh của Ngân hàng BNP Paribas SA và Ngân hàng Natexis nói riêng, được coi làcơ sở thường trú của các Ngân hàng mẹ tại Việt Nam.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b/>
          <w:bCs/>
          <w:color w:val="404040"/>
          <w:sz w:val="20"/>
          <w:szCs w:val="20"/>
        </w:rPr>
        <w:t> 2. Về việc áp dụng Hiệp định Việt Nam - Pháp đối với thunhập lãi tiền vay từ các khoản vay giữa Ngân hàng mẹ là đối tượng cư trú củaPháp và các Chi nhánh tại Việt Nam: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Tại Hiệp định Việt Nam - Pháp không có một điều khoản riêngvề thu nhập lãi tiền vay, nên khoản thu nhập này được coi là loại thu nhập khácvà thuộc phạm vi điều chỉnh của Điều 20 - Thu nhập khác.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Điều 20 - Thu nhập khác Hiệp định Việt Nam - Pháp quy định:</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 “1. Những khoản thu nhập của một đối tượng cư trú của mộtNước ký kết, bất kể phát sinh ở đâu, không được đề cập đến tại các điều khoảntrên của Hiệp định này sẽ chỉ bị đánh thuế ở Nước này.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lastRenderedPageBreak/>
        <w:t xml:space="preserve"> 2. Các quy định của khoản 1 sẽ không áp dụng đối với nhữngthu nhập khác với những thu nhập từ bất động sản đã được quy định tại khoản 2của điều 6, nếu đối tượng hưởng các thu nhập loại này là đối tượng cư trú củamột Nước ký kết tiến hành một hoạt động công nghiệp hay thương mại tại Nước kýkết kia thông qua một cơ sở thường trú đóng tại đó, hoặc tiến hành tại Nước kýkết kia các hoạt động dịch vụ cá nhân độc lập thông qua một cơ sở cố định đóngtại đó, và nếu quyền hoặc tài sản làm phát sinh các khoản thu nhập này có quanhệ thực tế với cơ sở thường trú hoặc cơ sở cố định này. Trong trường hợp này,các quy định tại điều 7 hoặc điều 13, tuỳ từng trường hợp, sẽ được áp dụng”.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Căn cứ quy định tại khoản 1 nêu trên, khoản lãi tiền vay(với tư cách là thu nhập khác) của Ngân hàng mẹ (với tư cách là đối tượng cưtrú của Pháp) sẽ chỉ bị đánh thuế tại Pháp. Nghĩa là được miễn thuế tại ViệtNam.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Tuy nhiên, căn cứ vào quy định tại khoản 2 nêu trên, quyđịnh của khoản 1 sẽ không được áp dụng nếu khoản lãi tiền vay Ngân hàng mẹ (vớitư cách là đối tượng thực hưởng khoản lãi tiền vay và là đối tượng cư trú củaPháp) tiến hành hoạt động công nghiệp hay thương mại tại Việt Nam thông qua mộtcơ sở thường trú tại Việt Nam và nếu quyền hoặc tài sản làm phát sinh các khoảnthu nhập này có quan hệ thực tế với cơ sở thường trú này. Trong trường hợp này,các quy định tại Điều 7 - Lợi tức doanh nghiệp sẽ được áp dụng.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 Căn cứ vào các nội dung trên, nếu trong quá trình đàm phán,ký kết, thực hiện hợp đồng vay giữa Ngân hàng mẹ với Chi nhánh không tạo thànhcơ sở thường trú hoặc không thông qua một cơ sở thường trú của Ngân hàng mẹ tạiViệt Nam thì lãi tiền vay thu được từ hoạt động cho vay tại Việt Nam sẽ đượcmiễn thuế thu nhập doanh nghiệp tại Việt Nam. Trong trường hợp cụ thể này làNgân hàng BNP Parisbas với Ngân hàng BNP Paribas - chi nhánh tại Thành phố HồChí Minh, Ngân hàng Natexis với Ngân hàng Natexis - chi nhánh tại Thành phố HồChí Minh.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 Trường hợp trong quá trình đàm phán, ký kết, thực hiện hợpđồng vay giữa Ngân hàng mẹ và Chi nhánh có tạo thành cơ sở thường trú hoặcthông qua một cơ sở thường trú của Ngân hàng mẹ tại Việt Nam và nếu quyền hoặctài sản làm phát sinh các khoản thu nhập này có quan hệ thực tế với cơ sởthường trú này thì Ngân hàng mẹ phải nộp thuế thu nhập doanh nghiệp đối với thunhập thu được từ hoạt động cho vay tại Việt Nam theo quy định tại Khoản 1, Điều7 - Lợi tức doanh nghiệp của Hiệp định Việt Nam – Pháp.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Khoản 1, Điều 7 - Lợi tức doanh nghiệp Hiệp định Việt Nam –Pháp quy định: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“Lợi tức của một xí nghiệp của một Nước ký kết chỉ chịuthuế tại Nước đó, trừ trường hợp xí nghiệp có tiến hành hoạt động kinh doanhtại Nước ký kết kia thông qua một cơ sở thường trú tại Nước kia. Nếu xí nghiệpcó hoạt động kinh doanh theo cách trên, thì các khoản lợi tức của xí nghiệp cóthể bị đánh thuế tại Nước kia, nhưng chỉ trên phần lợi tức phân bổ cho cơ sởthường trú đó.”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Để áp dụng Hiệp định theo tinh thần trên, cần lưu ý một sốđiểm dưới đây: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Thứ nhất, mặc dù các Chi nhánh là các cơ sở thường trú tạiViệt Nam của các Ngân hàng mẹ, nhưng trên phương diện quan hệ hợp đồng, quan hệgiữa Ngân hàng mẹ và Chi nhánh là quan hệ của hai đối tác trong hợp đồng nênkhi thực hiện hợp đồng này thì Ngân hàng mẹ tiến hành giao dịch cho vay với Chinhánh, không phải tiến hành giao dịch cho vay thông qua Chi nhánh. Do đó, nếuquá trình đàm phán ký kết và thực hiện hợp đồng vay giữa Ngân hàng mẹ và Chi nhánhđược tiến hành trực tiếp giữa Ngân hàng mẹ tại Pháp và Chi nhánh tại Việt Namkhông thông qua một đối tượng thứ ba nào tại Việt Nam (đối tượng thứ ba có thểlà một đơn vị phụ thuộc của Ngân hàng mẹ tại Việt Nam hoặc một đối tượng khôngphải một đại lý độc lập tại Việt Nam - các đối tượng này được minh hoạ trongcác thí dụ dưới đây) thì khoản lãi tiền vay sẽ không bị chịu thuế tại Việt Nam.</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 Thứ hai, khoản lãi tiền vay phát sinh từ các hợp đồng vaylà thu nhập của Ngân hàng mẹ và là chi phí của Chi nhánh, không phải là thunhập của Chi nhánh nên khoản lãi tiền vay này không thể phân bổ với tư cách làthu nhập của Chi nhánh, trái lại phải được phân bổ như chi phí của Chi nhánhtheo quy định của Khoản 3, Điều 7 - Lợi tức doanh nghiệp của Hiệp định Việt Nam– Pháp.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Khoản 3, Điều 7 - Lợi tức doanh nghiệp Hiệp định Việt Nam –Pháp quy định: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 “Để xác định lợi tức của một cơ sở thường trú, cơ sở này sẽđược phép trừ các khoản chi phí phát sinh phục vụ cho các hoạt động kinh doanhcủa cơ sở thường trú đó, bao gồm chi phí điều hành và chi phí quản lý chungphát sinh tại Nước mà cơ sở thường trú này đóng hoặc bất cứ nơi nào khác.”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Thứ ba, các giao dịch cho vay giữa Ngân hàng mẹ và Chinhánh sẽ được coi là tạo ra cơ sở thường trú hoặc được thực hiện thông qua mộtcơ sở thường trú để từ đó khoản thu nhập lãi tiền vay sẽ được phân bổ cho cơ sởthường trú đó và chịu thuế tại Việt Nam theo quy định của Khoản 1, Điều 7 - Lợitức doanh nghiệp của Hiệp định Việt Nam – Pháp được minh hoạ qua các ví dụ dướiđây: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lastRenderedPageBreak/>
        <w:t xml:space="preserve"> Ví dụ 1: Ngân hàng P là đối tượng cư trú của Pháp và lậpChi nhánh PC tại Thành phố Hồ Chí Minh. Nếu Ngân hàng P thuê một luật sư cư trútại Thành phố Hồ Chí Minh để đàm phán và ký kết hợp đồng vay với Chi nhánh PCdưới tên của Ngân hàng P. Luật sư này dành toàn bộ thời gian làm việc của mìnhđể làm việc cho Ngân hàng P. Trong trường hợp này, theo quy định của Khoản 5,Điều 5 - Cơ sở thường trú của Hiệp định Việt Nam – Pháp, Ngân hàng P đã đượccoi là tạo ra một cơ sở thường trú tại Việt Nam trong quá trình đàm phán hợpđồng vay với Chi nhánh PC. Do đó, theo quy định tại Khoản 1, Điều 7 - Lợi tứcdoanh nghiệp của Hiệp định Việt Nam – Pháp khoản lãi tiền vay phát sinh từ hợpđồng vay giữa Ngân hàng P và Chi nhánh PC sẽ chịu thuế tại Việt Nam trên phầnlợi tức phân bổ cho cơ sở thường trú tại Việt Nam mà Ngân hàng P được coi là đãtạo ra do tiến hành đàm phán và ký kết hợp đồng vay theo cách thức trên. Cơ sởthường trú được coi là tạo ra này không phải là Chi nhánh PC.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Ví dụ 2: Ngân hàng P là đối tượng cư trú của Pháp và lậpChi nhánh PC tại Thành phố Hồ Chí Minh, đồng thời mở một Văn phòng đại diện PVtại Hà Nội. Trong quá trình triển khai hợp đồng vay ký kết giữa Ngân hàng P vàChi nhánh PC, Ngân hàng P đã giao cho Văn phòng đại diện PV kiểm soát toàn bộquá trình thực hiện hợp đồng vay (giải ngân, thanh toán nợ và lãi tiền vay,...). Trong trường hợp này, theo quy định của Khoản 1, Điều 5 - Cơ sở thườngtrú của Hiệp định Việt Nam – Pháp Ngân hàng P đã được coi là tiến hành thựchiện hợp đồng vay qua một cơ sở thường trú tại Việt Nam (Văn phòng đại diệnPV). Do đó, theo quy định tại Khoản 1, Điều 7 - Lợi tức doanh nghiệp của Hiệpđịnh Việt Nam – Pháp khoản lãi tiền vay phát sinh từ hợp đồng vay giữa Ngânhàng P và Chi nhánh PC sẽ chịu thuế tại Việt Nam trên phần lợi tức phân bổ chocơ sở thường trú của Ngân hàng P (Văn phòng đại diện PV) có tại Việt Nam.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b/>
          <w:bCs/>
          <w:color w:val="404040"/>
          <w:sz w:val="20"/>
          <w:szCs w:val="20"/>
        </w:rPr>
        <w:t> 3. Về mẫu đề nghị hoàn thuế: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Theo hướng dẫn tại điểm 7, mục I, phần G, Thông tư số</w:t>
      </w:r>
      <w:hyperlink r:id="rId8" w:tgtFrame="_blank" w:history="1">
        <w:r w:rsidRPr="003B627E">
          <w:rPr>
            <w:rFonts w:ascii="Times New Roman" w:eastAsia="Times New Roman" w:hAnsi="Times New Roman" w:cs="Times New Roman"/>
            <w:color w:val="0088CC"/>
            <w:sz w:val="20"/>
            <w:szCs w:val="20"/>
          </w:rPr>
          <w:t>60/2007/TT-BTC</w:t>
        </w:r>
      </w:hyperlink>
      <w:r w:rsidRPr="003B627E">
        <w:rPr>
          <w:rFonts w:ascii="Times New Roman" w:eastAsia="Times New Roman" w:hAnsi="Times New Roman" w:cs="Times New Roman"/>
          <w:color w:val="404040"/>
          <w:sz w:val="20"/>
          <w:szCs w:val="20"/>
        </w:rPr>
        <w:t xml:space="preserve"> ngày 14/6/2007 của Bộ Tài chính hướng dẫn thi hành một số điềucủa Luật quản lý thuế và hướng dẫn thi hành Nghị định số </w:t>
      </w:r>
      <w:hyperlink r:id="rId9" w:tgtFrame="_blank" w:history="1">
        <w:r w:rsidRPr="003B627E">
          <w:rPr>
            <w:rFonts w:ascii="Times New Roman" w:eastAsia="Times New Roman" w:hAnsi="Times New Roman" w:cs="Times New Roman"/>
            <w:color w:val="0088CC"/>
            <w:sz w:val="20"/>
            <w:szCs w:val="20"/>
          </w:rPr>
          <w:t>85/NĐ-CP</w:t>
        </w:r>
      </w:hyperlink>
      <w:r w:rsidRPr="003B627E">
        <w:rPr>
          <w:rFonts w:ascii="Times New Roman" w:eastAsia="Times New Roman" w:hAnsi="Times New Roman" w:cs="Times New Roman"/>
          <w:color w:val="404040"/>
          <w:sz w:val="20"/>
          <w:szCs w:val="20"/>
        </w:rPr>
        <w:t xml:space="preserve"> ngày25/5/2007 của Chính phủ quy định chi tiết thi hành một số điều của Luật quản lýthuế (Thông tư số 60/2007/TT-BTC) thì: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“Hồ sơ hoàn thuế theo Hiệp định gồm:</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Văn bản đề nghị hoàn thuế theo Hiệp định theo Mẫu số</w:t>
      </w:r>
      <w:hyperlink r:id="rId10" w:tgtFrame="_blank" w:history="1">
        <w:r w:rsidRPr="003B627E">
          <w:rPr>
            <w:rFonts w:ascii="Times New Roman" w:eastAsia="Times New Roman" w:hAnsi="Times New Roman" w:cs="Times New Roman"/>
            <w:color w:val="0088CC"/>
            <w:sz w:val="20"/>
            <w:szCs w:val="20"/>
          </w:rPr>
          <w:t>02/HTBT</w:t>
        </w:r>
      </w:hyperlink>
      <w:r w:rsidRPr="003B627E">
        <w:rPr>
          <w:rFonts w:ascii="Times New Roman" w:eastAsia="Times New Roman" w:hAnsi="Times New Roman" w:cs="Times New Roman"/>
          <w:color w:val="404040"/>
          <w:sz w:val="20"/>
          <w:szCs w:val="20"/>
        </w:rPr>
        <w:t xml:space="preserve"> ban hành kèm theo Thông tư này đối với tổ chức, cá nhân là đối tượng cưtrú của nước ngoài hoặc theo Mẫu số </w:t>
      </w:r>
      <w:hyperlink r:id="rId11" w:tgtFrame="_blank" w:history="1">
        <w:r w:rsidRPr="003B627E">
          <w:rPr>
            <w:rFonts w:ascii="Times New Roman" w:eastAsia="Times New Roman" w:hAnsi="Times New Roman" w:cs="Times New Roman"/>
            <w:color w:val="0088CC"/>
            <w:sz w:val="20"/>
            <w:szCs w:val="20"/>
          </w:rPr>
          <w:t>03/HTBT</w:t>
        </w:r>
      </w:hyperlink>
      <w:r w:rsidRPr="003B627E">
        <w:rPr>
          <w:rFonts w:ascii="Times New Roman" w:eastAsia="Times New Roman" w:hAnsi="Times New Roman" w:cs="Times New Roman"/>
          <w:color w:val="404040"/>
          <w:sz w:val="20"/>
          <w:szCs w:val="20"/>
        </w:rPr>
        <w:t xml:space="preserve"> ban hành kèm theo Thông tư này đốivới tổ chức, cá nhân là đối tượng cư trú của Việt Nam.”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Theo hướng dẫn tại Phần C, Thông tư số </w:t>
      </w:r>
      <w:hyperlink r:id="rId12" w:tgtFrame="_blank" w:history="1">
        <w:r w:rsidRPr="003B627E">
          <w:rPr>
            <w:rFonts w:ascii="Times New Roman" w:eastAsia="Times New Roman" w:hAnsi="Times New Roman" w:cs="Times New Roman"/>
            <w:color w:val="0088CC"/>
            <w:sz w:val="20"/>
            <w:szCs w:val="20"/>
          </w:rPr>
          <w:t>128/2008/TT-BTC</w:t>
        </w:r>
      </w:hyperlink>
      <w:r w:rsidRPr="003B627E">
        <w:rPr>
          <w:rFonts w:ascii="Times New Roman" w:eastAsia="Times New Roman" w:hAnsi="Times New Roman" w:cs="Times New Roman"/>
          <w:color w:val="404040"/>
          <w:sz w:val="20"/>
          <w:szCs w:val="20"/>
        </w:rPr>
        <w:t xml:space="preserve"> ngày24/12/2008 của Bộ Tài chính hướng dẫn thu và quản lý các khoản thu ngân sáchnhà nước qua Kho bạc nhà nước (Thông tư số 128/2008/TT-BTC) thì: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xml:space="preserve">“thay thế mẫu giấy đề nghị hoàn thuế, phí (mẫu số </w:t>
      </w:r>
      <w:hyperlink r:id="rId13" w:tgtFrame="_blank" w:history="1">
        <w:r w:rsidRPr="003B627E">
          <w:rPr>
            <w:rFonts w:ascii="Times New Roman" w:eastAsia="Times New Roman" w:hAnsi="Times New Roman" w:cs="Times New Roman"/>
            <w:color w:val="0088CC"/>
            <w:sz w:val="20"/>
            <w:szCs w:val="20"/>
          </w:rPr>
          <w:t>01/HTBT</w:t>
        </w:r>
      </w:hyperlink>
      <w:r w:rsidRPr="003B627E">
        <w:rPr>
          <w:rFonts w:ascii="Times New Roman" w:eastAsia="Times New Roman" w:hAnsi="Times New Roman" w:cs="Times New Roman"/>
          <w:color w:val="404040"/>
          <w:sz w:val="20"/>
          <w:szCs w:val="20"/>
        </w:rPr>
        <w:t xml:space="preserve">),Quyết định hoàn thuế (mẫu số </w:t>
      </w:r>
      <w:hyperlink r:id="rId14" w:tgtFrame="_blank" w:history="1">
        <w:r w:rsidRPr="003B627E">
          <w:rPr>
            <w:rFonts w:ascii="Times New Roman" w:eastAsia="Times New Roman" w:hAnsi="Times New Roman" w:cs="Times New Roman"/>
            <w:color w:val="0088CC"/>
            <w:sz w:val="20"/>
            <w:szCs w:val="20"/>
          </w:rPr>
          <w:t>04/HTBT</w:t>
        </w:r>
      </w:hyperlink>
      <w:r w:rsidRPr="003B627E">
        <w:rPr>
          <w:rFonts w:ascii="Times New Roman" w:eastAsia="Times New Roman" w:hAnsi="Times New Roman" w:cs="Times New Roman"/>
          <w:color w:val="404040"/>
          <w:sz w:val="20"/>
          <w:szCs w:val="20"/>
        </w:rPr>
        <w:t xml:space="preserve">) ban hành theo Thông tư số </w:t>
      </w:r>
      <w:hyperlink r:id="rId15" w:tgtFrame="_blank" w:history="1">
        <w:r w:rsidRPr="003B627E">
          <w:rPr>
            <w:rFonts w:ascii="Times New Roman" w:eastAsia="Times New Roman" w:hAnsi="Times New Roman" w:cs="Times New Roman"/>
            <w:color w:val="0088CC"/>
            <w:sz w:val="20"/>
            <w:szCs w:val="20"/>
          </w:rPr>
          <w:t>60/2007/TT-BTCngày</w:t>
        </w:r>
      </w:hyperlink>
      <w:r w:rsidRPr="003B627E">
        <w:rPr>
          <w:rFonts w:ascii="Times New Roman" w:eastAsia="Times New Roman" w:hAnsi="Times New Roman" w:cs="Times New Roman"/>
          <w:color w:val="404040"/>
          <w:sz w:val="20"/>
          <w:szCs w:val="20"/>
        </w:rPr>
        <w:t xml:space="preserve"> 14/6/2007 của Bộ Tài chính.”</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Căn cứ vào quy định nêu trên của Thông tư số128/2008/TT-BTC thì Mẫu số 02/HTBT và Mẫu số 03/HTBT ban hành kèm theo Thông tưsố 60/2007/TT-BTC không bị thay thế.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Do đó, trường hợp người nộp thuế đề nghị hoàn thuế theoHiệp định thì trong hồ sơ hoàn thuế gửi cơ quan thuế vẫn bao gồm văn bản đềnghị hoàn thuế theo Hiệp định theo Mẫu số 02/HTBT hoặc Mẫu số 03/HTBT ban hànhkèm theo Thông tư số 60/2007/TT-BTC.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Tổng cục Thuế thông báo để Cục Thuế Thành phố Hồ Chí Minhbiết và thực hiện. Trong quá trình thực hiện, nếu có phát sinh vướng mắc, đềnghị Cục Thuế liên hệ với Tổng cục Thuế (Ban Hợp tác quốc tế, ĐT: (04)39712287) để được hướng dẫn chi tiết.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20"/>
          <w:szCs w:val="20"/>
        </w:rPr>
        <w:t> </w:t>
      </w:r>
    </w:p>
    <w:tbl>
      <w:tblPr>
        <w:tblW w:w="8865" w:type="dxa"/>
        <w:tblCellMar>
          <w:left w:w="0" w:type="dxa"/>
          <w:right w:w="0" w:type="dxa"/>
        </w:tblCellMar>
        <w:tblLook w:val="04A0" w:firstRow="1" w:lastRow="0" w:firstColumn="1" w:lastColumn="0" w:noHBand="0" w:noVBand="1"/>
      </w:tblPr>
      <w:tblGrid>
        <w:gridCol w:w="4182"/>
        <w:gridCol w:w="4683"/>
      </w:tblGrid>
      <w:tr w:rsidR="003B627E" w:rsidRPr="003B627E" w:rsidTr="003B627E">
        <w:trPr>
          <w:trHeight w:val="1155"/>
        </w:trPr>
        <w:tc>
          <w:tcPr>
            <w:tcW w:w="4140" w:type="dxa"/>
            <w:shd w:val="clear" w:color="auto" w:fill="auto"/>
            <w:tcMar>
              <w:top w:w="15" w:type="dxa"/>
              <w:left w:w="15" w:type="dxa"/>
              <w:bottom w:w="15" w:type="dxa"/>
              <w:right w:w="15" w:type="dxa"/>
            </w:tcMar>
            <w:hideMark/>
          </w:tcPr>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color w:val="404040"/>
                <w:sz w:val="16"/>
                <w:szCs w:val="16"/>
              </w:rPr>
              <w:t> </w:t>
            </w:r>
          </w:p>
          <w:p w:rsidR="003B627E" w:rsidRPr="003B627E" w:rsidRDefault="003B627E" w:rsidP="003B627E">
            <w:pPr>
              <w:spacing w:after="120" w:line="240" w:lineRule="auto"/>
              <w:rPr>
                <w:rFonts w:ascii="Times New Roman" w:eastAsia="Times New Roman" w:hAnsi="Times New Roman" w:cs="Times New Roman"/>
                <w:color w:val="404040"/>
                <w:sz w:val="24"/>
                <w:szCs w:val="24"/>
              </w:rPr>
            </w:pPr>
            <w:r w:rsidRPr="003B627E">
              <w:rPr>
                <w:rFonts w:ascii="Times New Roman" w:eastAsia="Times New Roman" w:hAnsi="Times New Roman" w:cs="Times New Roman"/>
                <w:b/>
                <w:bCs/>
                <w:i/>
                <w:iCs/>
                <w:color w:val="404040"/>
                <w:sz w:val="20"/>
                <w:szCs w:val="20"/>
              </w:rPr>
              <w:t xml:space="preserve">Nơi nhận: </w:t>
            </w:r>
            <w:r w:rsidRPr="003B627E">
              <w:rPr>
                <w:rFonts w:ascii="Times New Roman" w:eastAsia="Times New Roman" w:hAnsi="Times New Roman" w:cs="Times New Roman"/>
                <w:b/>
                <w:bCs/>
                <w:i/>
                <w:iCs/>
                <w:color w:val="404040"/>
                <w:sz w:val="20"/>
                <w:szCs w:val="20"/>
              </w:rPr>
              <w:br/>
            </w:r>
            <w:r w:rsidRPr="003B627E">
              <w:rPr>
                <w:rFonts w:ascii="Times New Roman" w:eastAsia="Times New Roman" w:hAnsi="Times New Roman" w:cs="Times New Roman"/>
                <w:color w:val="404040"/>
                <w:sz w:val="16"/>
                <w:szCs w:val="16"/>
              </w:rPr>
              <w:t>- Như trên;</w:t>
            </w:r>
            <w:r w:rsidRPr="003B627E">
              <w:rPr>
                <w:rFonts w:ascii="Times New Roman" w:eastAsia="Times New Roman" w:hAnsi="Times New Roman" w:cs="Times New Roman"/>
                <w:color w:val="404040"/>
                <w:sz w:val="16"/>
                <w:szCs w:val="16"/>
              </w:rPr>
              <w:br/>
              <w:t>- Các Ban: PC, CS, HT, TTTĐ, KK;</w:t>
            </w:r>
            <w:r w:rsidRPr="003B627E">
              <w:rPr>
                <w:rFonts w:ascii="Times New Roman" w:eastAsia="Times New Roman" w:hAnsi="Times New Roman" w:cs="Times New Roman"/>
                <w:color w:val="404040"/>
                <w:sz w:val="16"/>
                <w:szCs w:val="16"/>
              </w:rPr>
              <w:br/>
              <w:t>- Lưu: VT, HTQT (3b).</w:t>
            </w:r>
          </w:p>
        </w:tc>
        <w:tc>
          <w:tcPr>
            <w:tcW w:w="4635" w:type="dxa"/>
            <w:shd w:val="clear" w:color="auto" w:fill="auto"/>
            <w:tcMar>
              <w:top w:w="15" w:type="dxa"/>
              <w:left w:w="15" w:type="dxa"/>
              <w:bottom w:w="15" w:type="dxa"/>
              <w:right w:w="15" w:type="dxa"/>
            </w:tcMar>
            <w:hideMark/>
          </w:tcPr>
          <w:p w:rsidR="003B627E" w:rsidRPr="003B627E" w:rsidRDefault="003B627E" w:rsidP="003B627E">
            <w:pPr>
              <w:spacing w:after="120" w:line="240" w:lineRule="auto"/>
              <w:jc w:val="center"/>
              <w:rPr>
                <w:rFonts w:ascii="Times New Roman" w:eastAsia="Times New Roman" w:hAnsi="Times New Roman" w:cs="Times New Roman"/>
                <w:color w:val="404040"/>
                <w:sz w:val="24"/>
                <w:szCs w:val="24"/>
              </w:rPr>
            </w:pPr>
            <w:r w:rsidRPr="003B627E">
              <w:rPr>
                <w:rFonts w:ascii="Times New Roman" w:eastAsia="Times New Roman" w:hAnsi="Times New Roman" w:cs="Times New Roman"/>
                <w:b/>
                <w:bCs/>
                <w:color w:val="404040"/>
                <w:sz w:val="20"/>
                <w:szCs w:val="20"/>
              </w:rPr>
              <w:t>KT. TỔNG CỤC TRƯỞNG</w:t>
            </w:r>
            <w:r w:rsidRPr="003B627E">
              <w:rPr>
                <w:rFonts w:ascii="Times New Roman" w:eastAsia="Times New Roman" w:hAnsi="Times New Roman" w:cs="Times New Roman"/>
                <w:b/>
                <w:bCs/>
                <w:color w:val="404040"/>
                <w:sz w:val="20"/>
                <w:szCs w:val="20"/>
              </w:rPr>
              <w:br/>
              <w:t>PHÓ TỔNG CỤC TRƯỞNG </w:t>
            </w:r>
            <w:r w:rsidRPr="003B627E">
              <w:rPr>
                <w:rFonts w:ascii="Times New Roman" w:eastAsia="Times New Roman" w:hAnsi="Times New Roman" w:cs="Times New Roman"/>
                <w:b/>
                <w:bCs/>
                <w:color w:val="404040"/>
                <w:sz w:val="20"/>
                <w:szCs w:val="20"/>
              </w:rPr>
              <w:br/>
            </w:r>
            <w:r w:rsidRPr="003B627E">
              <w:rPr>
                <w:rFonts w:ascii="Times New Roman" w:eastAsia="Times New Roman" w:hAnsi="Times New Roman" w:cs="Times New Roman"/>
                <w:b/>
                <w:bCs/>
                <w:color w:val="404040"/>
                <w:sz w:val="20"/>
                <w:szCs w:val="20"/>
              </w:rPr>
              <w:br/>
            </w:r>
            <w:r w:rsidRPr="003B627E">
              <w:rPr>
                <w:rFonts w:ascii="Times New Roman" w:eastAsia="Times New Roman" w:hAnsi="Times New Roman" w:cs="Times New Roman"/>
                <w:b/>
                <w:bCs/>
                <w:color w:val="404040"/>
                <w:sz w:val="20"/>
                <w:szCs w:val="20"/>
              </w:rPr>
              <w:br/>
            </w:r>
            <w:r w:rsidRPr="003B627E">
              <w:rPr>
                <w:rFonts w:ascii="Times New Roman" w:eastAsia="Times New Roman" w:hAnsi="Times New Roman" w:cs="Times New Roman"/>
                <w:b/>
                <w:bCs/>
                <w:color w:val="404040"/>
                <w:sz w:val="20"/>
                <w:szCs w:val="20"/>
              </w:rPr>
              <w:br/>
            </w:r>
            <w:r w:rsidRPr="003B627E">
              <w:rPr>
                <w:rFonts w:ascii="Times New Roman" w:eastAsia="Times New Roman" w:hAnsi="Times New Roman" w:cs="Times New Roman"/>
                <w:b/>
                <w:bCs/>
                <w:color w:val="404040"/>
                <w:sz w:val="20"/>
                <w:szCs w:val="20"/>
              </w:rPr>
              <w:br/>
              <w:t>Lê Hồng Hải</w:t>
            </w:r>
          </w:p>
        </w:tc>
      </w:tr>
    </w:tbl>
    <w:p w:rsidR="007F776D" w:rsidRDefault="003B627E"/>
    <w:sectPr w:rsidR="007F7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27E"/>
    <w:rsid w:val="003B627E"/>
    <w:rsid w:val="00A25C1A"/>
    <w:rsid w:val="00E91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0F844-1298-499A-99D0-F2EBB17A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B627E"/>
    <w:rPr>
      <w:strike w:val="0"/>
      <w:dstrike w:val="0"/>
      <w:color w:val="0088CC"/>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316387">
      <w:bodyDiv w:val="1"/>
      <w:marLeft w:val="0"/>
      <w:marRight w:val="0"/>
      <w:marTop w:val="0"/>
      <w:marBottom w:val="0"/>
      <w:divBdr>
        <w:top w:val="none" w:sz="0" w:space="0" w:color="auto"/>
        <w:left w:val="none" w:sz="0" w:space="0" w:color="auto"/>
        <w:bottom w:val="none" w:sz="0" w:space="0" w:color="auto"/>
        <w:right w:val="none" w:sz="0" w:space="0" w:color="auto"/>
      </w:divBdr>
      <w:divsChild>
        <w:div w:id="970944969">
          <w:marLeft w:val="0"/>
          <w:marRight w:val="0"/>
          <w:marTop w:val="0"/>
          <w:marBottom w:val="0"/>
          <w:divBdr>
            <w:top w:val="none" w:sz="0" w:space="0" w:color="auto"/>
            <w:left w:val="none" w:sz="0" w:space="0" w:color="auto"/>
            <w:bottom w:val="none" w:sz="0" w:space="0" w:color="auto"/>
            <w:right w:val="none" w:sz="0" w:space="0" w:color="auto"/>
          </w:divBdr>
          <w:divsChild>
            <w:div w:id="192813610">
              <w:marLeft w:val="0"/>
              <w:marRight w:val="0"/>
              <w:marTop w:val="0"/>
              <w:marBottom w:val="0"/>
              <w:divBdr>
                <w:top w:val="none" w:sz="0" w:space="0" w:color="auto"/>
                <w:left w:val="none" w:sz="0" w:space="0" w:color="auto"/>
                <w:bottom w:val="none" w:sz="0" w:space="0" w:color="auto"/>
                <w:right w:val="none" w:sz="0" w:space="0" w:color="auto"/>
              </w:divBdr>
              <w:divsChild>
                <w:div w:id="1314144234">
                  <w:marLeft w:val="0"/>
                  <w:marRight w:val="0"/>
                  <w:marTop w:val="0"/>
                  <w:marBottom w:val="0"/>
                  <w:divBdr>
                    <w:top w:val="none" w:sz="0" w:space="0" w:color="auto"/>
                    <w:left w:val="none" w:sz="0" w:space="0" w:color="auto"/>
                    <w:bottom w:val="none" w:sz="0" w:space="0" w:color="auto"/>
                    <w:right w:val="none" w:sz="0" w:space="0" w:color="auto"/>
                  </w:divBdr>
                  <w:divsChild>
                    <w:div w:id="1503859145">
                      <w:marLeft w:val="0"/>
                      <w:marRight w:val="0"/>
                      <w:marTop w:val="0"/>
                      <w:marBottom w:val="0"/>
                      <w:divBdr>
                        <w:top w:val="none" w:sz="0" w:space="0" w:color="auto"/>
                        <w:left w:val="none" w:sz="0" w:space="0" w:color="auto"/>
                        <w:bottom w:val="none" w:sz="0" w:space="0" w:color="auto"/>
                        <w:right w:val="none" w:sz="0" w:space="0" w:color="auto"/>
                      </w:divBdr>
                      <w:divsChild>
                        <w:div w:id="120535280">
                          <w:marLeft w:val="0"/>
                          <w:marRight w:val="0"/>
                          <w:marTop w:val="0"/>
                          <w:marBottom w:val="0"/>
                          <w:divBdr>
                            <w:top w:val="single" w:sz="6" w:space="8" w:color="D4D3D3"/>
                            <w:left w:val="single" w:sz="6" w:space="8" w:color="D4D3D3"/>
                            <w:bottom w:val="single" w:sz="6" w:space="8" w:color="D4D3D3"/>
                            <w:right w:val="single" w:sz="6" w:space="8" w:color="D4D3D3"/>
                          </w:divBdr>
                          <w:divsChild>
                            <w:div w:id="1329556448">
                              <w:marLeft w:val="0"/>
                              <w:marRight w:val="0"/>
                              <w:marTop w:val="0"/>
                              <w:marBottom w:val="0"/>
                              <w:divBdr>
                                <w:top w:val="none" w:sz="0" w:space="0" w:color="auto"/>
                                <w:left w:val="none" w:sz="0" w:space="0" w:color="auto"/>
                                <w:bottom w:val="none" w:sz="0" w:space="0" w:color="auto"/>
                                <w:right w:val="none" w:sz="0" w:space="0" w:color="auto"/>
                              </w:divBdr>
                              <w:divsChild>
                                <w:div w:id="215361150">
                                  <w:marLeft w:val="0"/>
                                  <w:marRight w:val="0"/>
                                  <w:marTop w:val="0"/>
                                  <w:marBottom w:val="0"/>
                                  <w:divBdr>
                                    <w:top w:val="none" w:sz="0" w:space="0" w:color="auto"/>
                                    <w:left w:val="none" w:sz="0" w:space="0" w:color="auto"/>
                                    <w:bottom w:val="none" w:sz="0" w:space="0" w:color="auto"/>
                                    <w:right w:val="none" w:sz="0" w:space="0" w:color="auto"/>
                                  </w:divBdr>
                                  <w:divsChild>
                                    <w:div w:id="1052342868">
                                      <w:marLeft w:val="0"/>
                                      <w:marRight w:val="0"/>
                                      <w:marTop w:val="0"/>
                                      <w:marBottom w:val="0"/>
                                      <w:divBdr>
                                        <w:top w:val="none" w:sz="0" w:space="0" w:color="auto"/>
                                        <w:left w:val="none" w:sz="0" w:space="0" w:color="auto"/>
                                        <w:bottom w:val="none" w:sz="0" w:space="0" w:color="auto"/>
                                        <w:right w:val="none" w:sz="0" w:space="0" w:color="auto"/>
                                      </w:divBdr>
                                      <w:divsChild>
                                        <w:div w:id="11342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luatminhkhue.vn/searchindoc?q=60/2007/TT-BTC" TargetMode="External"/><Relationship Id="rId13" Type="http://schemas.openxmlformats.org/officeDocument/2006/relationships/hyperlink" Target="https://vanban.luatminhkhue.vn/searchindoc?q=01/HTBT"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vanban.luatminhkhue.vn/searchindoc?q=133/2004/TT-BTC" TargetMode="External"/><Relationship Id="rId12" Type="http://schemas.openxmlformats.org/officeDocument/2006/relationships/hyperlink" Target="https://vanban.luatminhkhue.vn/searchindoc?q=128/2008/TT-BTC"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vanban.luatminhkhue.vn/searchindoc?q=22/2006/N&#272;-CP" TargetMode="External"/><Relationship Id="rId11" Type="http://schemas.openxmlformats.org/officeDocument/2006/relationships/hyperlink" Target="https://vanban.luatminhkhue.vn/searchindoc?q=03/HTBT" TargetMode="External"/><Relationship Id="rId5" Type="http://schemas.openxmlformats.org/officeDocument/2006/relationships/hyperlink" Target="https://vanban.luatminhkhue.vn/searchindoc?q=4542/CT-KTT2" TargetMode="External"/><Relationship Id="rId15" Type="http://schemas.openxmlformats.org/officeDocument/2006/relationships/hyperlink" Target="https://vanban.luatminhkhue.vn/searchindoc?q=60/2007/TT-BTCng&#224;y" TargetMode="External"/><Relationship Id="rId10" Type="http://schemas.openxmlformats.org/officeDocument/2006/relationships/hyperlink" Target="https://vanban.luatminhkhue.vn/searchindoc?q=02/HTBT" TargetMode="External"/><Relationship Id="rId19" Type="http://schemas.openxmlformats.org/officeDocument/2006/relationships/customXml" Target="../customXml/item2.xml"/><Relationship Id="rId4" Type="http://schemas.openxmlformats.org/officeDocument/2006/relationships/hyperlink" Target="https://vanban.luatminhkhue.vn/searchindoc?q=3373/TCT-HTQT" TargetMode="External"/><Relationship Id="rId9" Type="http://schemas.openxmlformats.org/officeDocument/2006/relationships/hyperlink" Target="https://vanban.luatminhkhue.vn/searchindoc?q=85/N&#272;-CP" TargetMode="External"/><Relationship Id="rId14" Type="http://schemas.openxmlformats.org/officeDocument/2006/relationships/hyperlink" Target="https://vanban.luatminhkhue.vn/searchindoc?q=04/HT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84228f72b123a8a0b48405f413d2e46d">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6d8f30bcaa81149fdeca0581bcbf6bd0"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AA0CBCAA-ECEA-497A-A239-AEC2E01EA89B}"/>
</file>

<file path=customXml/itemProps2.xml><?xml version="1.0" encoding="utf-8"?>
<ds:datastoreItem xmlns:ds="http://schemas.openxmlformats.org/officeDocument/2006/customXml" ds:itemID="{66A496C3-3224-415A-891E-F8B119CA192C}"/>
</file>

<file path=customXml/itemProps3.xml><?xml version="1.0" encoding="utf-8"?>
<ds:datastoreItem xmlns:ds="http://schemas.openxmlformats.org/officeDocument/2006/customXml" ds:itemID="{C2F529C4-27AE-4CAD-B830-7D79596C2788}"/>
</file>

<file path=docProps/app.xml><?xml version="1.0" encoding="utf-8"?>
<Properties xmlns="http://schemas.openxmlformats.org/officeDocument/2006/extended-properties" xmlns:vt="http://schemas.openxmlformats.org/officeDocument/2006/docPropsVTypes">
  <Template>Normal.dotm</Template>
  <TotalTime>0</TotalTime>
  <Pages>3</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12885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2018-12-01T18:10:00Z</dcterms:created>
  <dcterms:modified xsi:type="dcterms:W3CDTF">2018-12-01T18:10:00Z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