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39F" w:rsidRDefault="00A8139F" w:rsidP="00A8139F">
      <w:p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Dear…..</w:t>
      </w:r>
    </w:p>
    <w:p w:rsidR="00A8139F" w:rsidRDefault="00A8139F" w:rsidP="00A8139F">
      <w:p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We are pleased to share with you the recent changes on compulsory Social Insurance (“SI”), Health Insurance (“HI”) and Unemployment Insurance (“UI”) contribution policies for your information and further action.</w:t>
      </w:r>
    </w:p>
    <w:p w:rsidR="00A8139F" w:rsidRDefault="00A8139F" w:rsidP="00A8139F">
      <w:pPr>
        <w:pStyle w:val="ListParagraph"/>
        <w:numPr>
          <w:ilvl w:val="0"/>
          <w:numId w:val="1"/>
        </w:numPr>
        <w:spacing w:before="120" w:after="120"/>
        <w:rPr>
          <w:rFonts w:ascii="Arial" w:hAnsi="Arial" w:cs="Arial"/>
          <w:b/>
          <w:i/>
          <w:color w:val="002060"/>
          <w:sz w:val="20"/>
          <w:szCs w:val="20"/>
        </w:rPr>
      </w:pPr>
      <w:r>
        <w:rPr>
          <w:rFonts w:ascii="Arial" w:hAnsi="Arial" w:cs="Arial"/>
          <w:b/>
          <w:i/>
          <w:color w:val="002060"/>
          <w:sz w:val="20"/>
          <w:szCs w:val="20"/>
        </w:rPr>
        <w:t xml:space="preserve">Regulatory changes </w:t>
      </w:r>
    </w:p>
    <w:p w:rsidR="00A8139F" w:rsidRDefault="00A8139F" w:rsidP="00A8139F">
      <w:pPr>
        <w:spacing w:before="120" w:after="120"/>
        <w:ind w:left="36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Recently, the below two new laws and its guidance have been issued, taking effective from 01 January 2015: </w:t>
      </w:r>
    </w:p>
    <w:p w:rsidR="00A8139F" w:rsidRDefault="00A8139F" w:rsidP="00A8139F">
      <w:pPr>
        <w:pStyle w:val="ListParagraph"/>
        <w:numPr>
          <w:ilvl w:val="0"/>
          <w:numId w:val="2"/>
        </w:numPr>
        <w:spacing w:before="120" w:after="120"/>
        <w:ind w:left="90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Law amending the Law on Health Insurance No. 46/2014/QH13 dated 13 June 2014 and Decree 105/2014/ND-CP dated 15 November 2014 guiding on the implementation of certain article or the Law on Health Insurance; and</w:t>
      </w:r>
    </w:p>
    <w:p w:rsidR="00A8139F" w:rsidRDefault="00A8139F" w:rsidP="00A8139F">
      <w:pPr>
        <w:pStyle w:val="ListParagraph"/>
        <w:numPr>
          <w:ilvl w:val="0"/>
          <w:numId w:val="2"/>
        </w:numPr>
        <w:spacing w:before="120" w:after="120"/>
        <w:ind w:left="90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Law on Employment No. 38/2013/QH13 dated 16 November 2013 (“Law No. 38”).</w:t>
      </w:r>
    </w:p>
    <w:p w:rsidR="00A8139F" w:rsidRDefault="00A8139F" w:rsidP="00A8139F">
      <w:pPr>
        <w:spacing w:before="120" w:after="120"/>
        <w:ind w:left="36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The Law on Social Insurance No. 71/2006/QH11 dated 29 June 2006 and its guiding regulations are still effective until 01 January 2016. </w:t>
      </w:r>
    </w:p>
    <w:p w:rsidR="00A8139F" w:rsidRDefault="00A8139F" w:rsidP="00A8139F">
      <w:pPr>
        <w:pStyle w:val="ListParagraph"/>
        <w:numPr>
          <w:ilvl w:val="0"/>
          <w:numId w:val="1"/>
        </w:numPr>
        <w:spacing w:before="120" w:after="120"/>
        <w:rPr>
          <w:rFonts w:ascii="Arial" w:hAnsi="Arial" w:cs="Arial"/>
          <w:b/>
          <w:i/>
          <w:color w:val="002060"/>
          <w:sz w:val="20"/>
          <w:szCs w:val="20"/>
        </w:rPr>
      </w:pPr>
      <w:r>
        <w:rPr>
          <w:rFonts w:ascii="Arial" w:hAnsi="Arial" w:cs="Arial"/>
          <w:b/>
          <w:i/>
          <w:color w:val="002060"/>
          <w:sz w:val="20"/>
          <w:szCs w:val="20"/>
        </w:rPr>
        <w:t xml:space="preserve">Notable points </w:t>
      </w:r>
    </w:p>
    <w:p w:rsidR="00A8139F" w:rsidRDefault="00A8139F" w:rsidP="00A8139F">
      <w:pPr>
        <w:spacing w:before="120" w:after="120"/>
        <w:ind w:left="36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In the meantime of waiting for </w:t>
      </w:r>
      <w:r>
        <w:rPr>
          <w:rFonts w:ascii="Arial" w:hAnsi="Arial" w:cs="Arial"/>
          <w:color w:val="002060"/>
          <w:sz w:val="20"/>
          <w:szCs w:val="20"/>
        </w:rPr>
        <w:t xml:space="preserve">guidance </w:t>
      </w:r>
      <w:r>
        <w:rPr>
          <w:rFonts w:ascii="Arial" w:hAnsi="Arial" w:cs="Arial"/>
          <w:color w:val="002060"/>
          <w:sz w:val="20"/>
          <w:szCs w:val="20"/>
        </w:rPr>
        <w:t xml:space="preserve">on the implementation of the Law No. 38, </w:t>
      </w:r>
      <w:r>
        <w:rPr>
          <w:rFonts w:ascii="Arial" w:hAnsi="Arial" w:cs="Arial"/>
          <w:color w:val="002060"/>
          <w:sz w:val="20"/>
          <w:szCs w:val="20"/>
        </w:rPr>
        <w:t>some</w:t>
      </w:r>
      <w:r>
        <w:rPr>
          <w:rFonts w:ascii="Arial" w:hAnsi="Arial" w:cs="Arial"/>
          <w:color w:val="002060"/>
          <w:sz w:val="20"/>
          <w:szCs w:val="20"/>
        </w:rPr>
        <w:t xml:space="preserve"> provincial Department of Labor, Invalid a</w:t>
      </w:r>
      <w:r>
        <w:rPr>
          <w:rFonts w:ascii="Arial" w:hAnsi="Arial" w:cs="Arial"/>
          <w:color w:val="002060"/>
          <w:sz w:val="20"/>
          <w:szCs w:val="20"/>
        </w:rPr>
        <w:t>nd Social Affairs (“DOLISA”) have</w:t>
      </w:r>
      <w:r>
        <w:rPr>
          <w:rFonts w:ascii="Arial" w:hAnsi="Arial" w:cs="Arial"/>
          <w:color w:val="002060"/>
          <w:sz w:val="20"/>
          <w:szCs w:val="20"/>
        </w:rPr>
        <w:t xml:space="preserve"> released the initial guidance based on the legislation of the Law with notable points as below:</w:t>
      </w:r>
    </w:p>
    <w:p w:rsidR="00A8139F" w:rsidRDefault="00A8139F" w:rsidP="00A8139F">
      <w:pPr>
        <w:pStyle w:val="ListParagraph"/>
        <w:numPr>
          <w:ilvl w:val="0"/>
          <w:numId w:val="3"/>
        </w:numPr>
        <w:spacing w:before="120" w:after="120"/>
        <w:rPr>
          <w:rFonts w:ascii="Arial" w:hAnsi="Arial" w:cs="Arial"/>
          <w:b/>
          <w:i/>
          <w:color w:val="002060"/>
          <w:sz w:val="20"/>
          <w:szCs w:val="20"/>
        </w:rPr>
      </w:pPr>
      <w:r>
        <w:rPr>
          <w:rFonts w:ascii="Arial" w:hAnsi="Arial" w:cs="Arial"/>
          <w:b/>
          <w:i/>
          <w:color w:val="002060"/>
          <w:sz w:val="20"/>
          <w:szCs w:val="20"/>
        </w:rPr>
        <w:t>Broaden the a</w:t>
      </w:r>
      <w:r>
        <w:rPr>
          <w:rFonts w:ascii="Arial" w:hAnsi="Arial" w:cs="Arial"/>
          <w:b/>
          <w:i/>
          <w:color w:val="002060"/>
          <w:sz w:val="20"/>
          <w:szCs w:val="20"/>
        </w:rPr>
        <w:t>pplicable o</w:t>
      </w:r>
      <w:r>
        <w:rPr>
          <w:rFonts w:ascii="Arial" w:hAnsi="Arial" w:cs="Arial"/>
          <w:b/>
          <w:i/>
          <w:color w:val="002060"/>
          <w:sz w:val="20"/>
          <w:szCs w:val="20"/>
        </w:rPr>
        <w:t>bjects of compulsory SI, HI, UI</w:t>
      </w:r>
      <w:r>
        <w:rPr>
          <w:rFonts w:ascii="Arial" w:hAnsi="Arial" w:cs="Arial"/>
          <w:b/>
          <w:i/>
          <w:color w:val="002060"/>
          <w:sz w:val="20"/>
          <w:szCs w:val="20"/>
        </w:rPr>
        <w:t xml:space="preserve"> </w:t>
      </w:r>
    </w:p>
    <w:p w:rsidR="00A8139F" w:rsidRDefault="00A8139F" w:rsidP="00A8139F">
      <w:pPr>
        <w:spacing w:before="120" w:after="120"/>
        <w:ind w:left="7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Including those who work under labor contracts with term for full three (03) months or more, </w:t>
      </w:r>
      <w:r>
        <w:rPr>
          <w:rFonts w:ascii="Arial" w:hAnsi="Arial" w:cs="Arial"/>
          <w:color w:val="002060"/>
          <w:sz w:val="20"/>
          <w:szCs w:val="20"/>
        </w:rPr>
        <w:t xml:space="preserve">disregard of how many </w:t>
      </w:r>
      <w:r>
        <w:rPr>
          <w:rFonts w:ascii="Arial" w:hAnsi="Arial" w:cs="Arial"/>
          <w:color w:val="002060"/>
          <w:sz w:val="20"/>
          <w:szCs w:val="20"/>
        </w:rPr>
        <w:t>total number of employees working for such employers (previously, only organizations having from ten (10) staff or more are subject to UI contribution).</w:t>
      </w:r>
    </w:p>
    <w:p w:rsidR="00A8139F" w:rsidRDefault="00A8139F" w:rsidP="00A8139F">
      <w:pPr>
        <w:pStyle w:val="ListParagraph"/>
        <w:numPr>
          <w:ilvl w:val="0"/>
          <w:numId w:val="3"/>
        </w:numPr>
        <w:spacing w:before="120" w:after="120"/>
        <w:rPr>
          <w:rFonts w:ascii="Arial" w:hAnsi="Arial" w:cs="Arial"/>
          <w:i/>
          <w:color w:val="002060"/>
          <w:sz w:val="20"/>
          <w:szCs w:val="20"/>
        </w:rPr>
      </w:pPr>
      <w:r>
        <w:rPr>
          <w:rFonts w:ascii="Arial" w:hAnsi="Arial" w:cs="Arial"/>
          <w:b/>
          <w:i/>
          <w:color w:val="002060"/>
          <w:sz w:val="20"/>
          <w:szCs w:val="20"/>
        </w:rPr>
        <w:t>Salary b</w:t>
      </w:r>
      <w:r>
        <w:rPr>
          <w:rFonts w:ascii="Arial" w:hAnsi="Arial" w:cs="Arial"/>
          <w:b/>
          <w:i/>
          <w:color w:val="002060"/>
          <w:sz w:val="20"/>
          <w:szCs w:val="20"/>
        </w:rPr>
        <w:t>ase for SI, HI, UI contribution</w:t>
      </w:r>
    </w:p>
    <w:p w:rsidR="00A8139F" w:rsidRDefault="00A8139F" w:rsidP="00A8139F">
      <w:pPr>
        <w:pStyle w:val="ListParagraph"/>
        <w:numPr>
          <w:ilvl w:val="1"/>
          <w:numId w:val="7"/>
        </w:numPr>
        <w:spacing w:before="120" w:after="120"/>
        <w:ind w:left="90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For those who are remunerated based on the salary rate stipulated by the State, the salary calculated </w:t>
      </w:r>
      <w:r>
        <w:rPr>
          <w:rFonts w:ascii="Arial" w:hAnsi="Arial" w:cs="Arial"/>
          <w:color w:val="002060"/>
          <w:sz w:val="20"/>
          <w:szCs w:val="20"/>
        </w:rPr>
        <w:t xml:space="preserve">by </w:t>
      </w:r>
      <w:r>
        <w:rPr>
          <w:rFonts w:ascii="Arial" w:hAnsi="Arial" w:cs="Arial"/>
          <w:color w:val="002060"/>
          <w:sz w:val="20"/>
          <w:szCs w:val="20"/>
        </w:rPr>
        <w:t>the salary rate and the basis salary shall be used, capped at 20 times of the basic salary.</w:t>
      </w:r>
    </w:p>
    <w:p w:rsidR="00A8139F" w:rsidRDefault="00A8139F" w:rsidP="00A8139F">
      <w:pPr>
        <w:pStyle w:val="ListParagraph"/>
        <w:numPr>
          <w:ilvl w:val="1"/>
          <w:numId w:val="7"/>
        </w:numPr>
        <w:spacing w:before="120" w:after="120"/>
        <w:ind w:left="90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For those who are remunerated as per the regulations of the employers, salary base for SI, HI, UI contribution is the contractual salary</w:t>
      </w:r>
      <w:r>
        <w:rPr>
          <w:rFonts w:ascii="Arial" w:hAnsi="Arial" w:cs="Arial"/>
          <w:color w:val="002060"/>
          <w:sz w:val="20"/>
          <w:szCs w:val="20"/>
        </w:rPr>
        <w:t xml:space="preserve"> with </w:t>
      </w:r>
      <w:r>
        <w:rPr>
          <w:rFonts w:ascii="Arial" w:hAnsi="Arial" w:cs="Arial"/>
          <w:color w:val="002060"/>
          <w:sz w:val="20"/>
          <w:szCs w:val="20"/>
        </w:rPr>
        <w:t>minimum and maximum cap</w:t>
      </w:r>
      <w:r>
        <w:rPr>
          <w:rFonts w:ascii="Arial" w:hAnsi="Arial" w:cs="Arial"/>
          <w:color w:val="002060"/>
          <w:sz w:val="20"/>
          <w:szCs w:val="20"/>
        </w:rPr>
        <w:t>s</w:t>
      </w:r>
      <w:r>
        <w:rPr>
          <w:rFonts w:ascii="Arial" w:hAnsi="Arial" w:cs="Arial"/>
          <w:color w:val="002060"/>
          <w:sz w:val="20"/>
          <w:szCs w:val="20"/>
        </w:rPr>
        <w:t xml:space="preserve"> are</w:t>
      </w:r>
      <w:r>
        <w:rPr>
          <w:rFonts w:ascii="Arial" w:hAnsi="Arial" w:cs="Arial"/>
          <w:color w:val="002060"/>
          <w:sz w:val="20"/>
          <w:szCs w:val="20"/>
        </w:rPr>
        <w:t xml:space="preserve"> as below</w:t>
      </w:r>
      <w:r>
        <w:rPr>
          <w:rFonts w:ascii="Arial" w:hAnsi="Arial" w:cs="Arial"/>
          <w:color w:val="002060"/>
          <w:sz w:val="20"/>
          <w:szCs w:val="20"/>
        </w:rPr>
        <w:t>:</w:t>
      </w:r>
    </w:p>
    <w:p w:rsidR="00A8139F" w:rsidRDefault="00A8139F" w:rsidP="00A8139F">
      <w:pPr>
        <w:pStyle w:val="ListParagraph"/>
        <w:numPr>
          <w:ilvl w:val="0"/>
          <w:numId w:val="4"/>
        </w:num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For SI: the minimum is capped at the regional minimum salary and the maximum is capped at 20 times of the basic salary;</w:t>
      </w:r>
    </w:p>
    <w:p w:rsidR="00A8139F" w:rsidRDefault="00A8139F" w:rsidP="00A8139F">
      <w:pPr>
        <w:pStyle w:val="ListParagraph"/>
        <w:numPr>
          <w:ilvl w:val="0"/>
          <w:numId w:val="4"/>
        </w:num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For HI: the maximum is capped at 20 times of the basic salary; </w:t>
      </w:r>
    </w:p>
    <w:p w:rsidR="00A8139F" w:rsidRDefault="00A8139F" w:rsidP="00A8139F">
      <w:pPr>
        <w:pStyle w:val="ListParagraph"/>
        <w:numPr>
          <w:ilvl w:val="0"/>
          <w:numId w:val="4"/>
        </w:num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For UI: the minimum is capped at the regional minimum salary and the maximum is capped at 20 times of the regional minimum salary, meaning that the </w:t>
      </w:r>
      <w:r>
        <w:rPr>
          <w:rFonts w:ascii="Arial" w:hAnsi="Arial" w:cs="Arial"/>
          <w:color w:val="002060"/>
          <w:sz w:val="20"/>
          <w:szCs w:val="20"/>
        </w:rPr>
        <w:t xml:space="preserve">salary base for </w:t>
      </w:r>
      <w:r>
        <w:rPr>
          <w:rFonts w:ascii="Arial" w:hAnsi="Arial" w:cs="Arial"/>
          <w:color w:val="002060"/>
          <w:sz w:val="20"/>
          <w:szCs w:val="20"/>
        </w:rPr>
        <w:t>UI contribution shall vary depending on the area from which the employers are located.</w:t>
      </w:r>
    </w:p>
    <w:p w:rsidR="00A8139F" w:rsidRDefault="00A8139F" w:rsidP="00A8139F">
      <w:pPr>
        <w:spacing w:before="120" w:after="120"/>
        <w:ind w:left="7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 xml:space="preserve">Illustration of the minimum and maximum caps of SI, HI, </w:t>
      </w:r>
      <w:proofErr w:type="gramStart"/>
      <w:r>
        <w:rPr>
          <w:rFonts w:ascii="Arial" w:hAnsi="Arial" w:cs="Arial"/>
          <w:color w:val="002060"/>
          <w:sz w:val="20"/>
          <w:szCs w:val="20"/>
        </w:rPr>
        <w:t>UI</w:t>
      </w:r>
      <w:proofErr w:type="gramEnd"/>
      <w:r>
        <w:rPr>
          <w:rFonts w:ascii="Arial" w:hAnsi="Arial" w:cs="Arial"/>
          <w:color w:val="002060"/>
          <w:sz w:val="20"/>
          <w:szCs w:val="20"/>
        </w:rPr>
        <w:t xml:space="preserve"> contribution are as below: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2070"/>
        <w:gridCol w:w="1800"/>
        <w:gridCol w:w="1710"/>
        <w:gridCol w:w="2065"/>
      </w:tblGrid>
      <w:tr w:rsidR="007B0B70" w:rsidTr="007B0B70">
        <w:tc>
          <w:tcPr>
            <w:tcW w:w="985" w:type="dxa"/>
            <w:vMerge w:val="restart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Region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Regional minimum salary from 01 January 2015</w:t>
            </w:r>
          </w:p>
        </w:tc>
        <w:tc>
          <w:tcPr>
            <w:tcW w:w="180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Maximum cap for UI contribution</w:t>
            </w:r>
          </w:p>
        </w:tc>
        <w:tc>
          <w:tcPr>
            <w:tcW w:w="171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Basic salary</w:t>
            </w:r>
          </w:p>
        </w:tc>
        <w:tc>
          <w:tcPr>
            <w:tcW w:w="206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Maximum cap for SI and HI contribution</w:t>
            </w:r>
          </w:p>
        </w:tc>
      </w:tr>
      <w:tr w:rsidR="007B0B70" w:rsidTr="007B0B70">
        <w:tc>
          <w:tcPr>
            <w:tcW w:w="985" w:type="dxa"/>
            <w:vMerge/>
            <w:vAlign w:val="center"/>
          </w:tcPr>
          <w:p w:rsidR="007B0B70" w:rsidRDefault="007B0B70" w:rsidP="007B0B70">
            <w:pPr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VND</w:t>
            </w:r>
          </w:p>
        </w:tc>
        <w:tc>
          <w:tcPr>
            <w:tcW w:w="180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VND</w:t>
            </w:r>
          </w:p>
        </w:tc>
        <w:tc>
          <w:tcPr>
            <w:tcW w:w="171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VND</w:t>
            </w:r>
          </w:p>
        </w:tc>
        <w:tc>
          <w:tcPr>
            <w:tcW w:w="206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VND</w:t>
            </w:r>
          </w:p>
        </w:tc>
      </w:tr>
      <w:tr w:rsidR="007B0B70" w:rsidTr="007B0B70">
        <w:tc>
          <w:tcPr>
            <w:tcW w:w="98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(1)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(2)</w:t>
            </w:r>
          </w:p>
        </w:tc>
        <w:tc>
          <w:tcPr>
            <w:tcW w:w="180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(3)=(2)*20</w:t>
            </w:r>
          </w:p>
        </w:tc>
        <w:tc>
          <w:tcPr>
            <w:tcW w:w="171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(4)</w:t>
            </w:r>
          </w:p>
        </w:tc>
        <w:tc>
          <w:tcPr>
            <w:tcW w:w="206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i/>
                <w:color w:val="002060"/>
                <w:sz w:val="18"/>
                <w:szCs w:val="18"/>
              </w:rPr>
            </w:pPr>
            <w:r>
              <w:rPr>
                <w:rFonts w:ascii="Arial" w:hAnsi="Arial" w:cs="Arial"/>
                <w:i/>
                <w:color w:val="002060"/>
                <w:sz w:val="18"/>
                <w:szCs w:val="18"/>
              </w:rPr>
              <w:t>(5)=(4)*20</w:t>
            </w:r>
          </w:p>
        </w:tc>
      </w:tr>
      <w:tr w:rsidR="007B0B70" w:rsidTr="007B0B70">
        <w:tc>
          <w:tcPr>
            <w:tcW w:w="98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I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3,100,000</w:t>
            </w:r>
          </w:p>
        </w:tc>
        <w:tc>
          <w:tcPr>
            <w:tcW w:w="1800" w:type="dxa"/>
            <w:vAlign w:val="bottom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62,000,000</w:t>
            </w:r>
          </w:p>
        </w:tc>
        <w:tc>
          <w:tcPr>
            <w:tcW w:w="1710" w:type="dxa"/>
            <w:vMerge w:val="restart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lastRenderedPageBreak/>
              <w:t>1,150,000</w:t>
            </w:r>
          </w:p>
        </w:tc>
        <w:tc>
          <w:tcPr>
            <w:tcW w:w="2065" w:type="dxa"/>
            <w:vMerge w:val="restart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lastRenderedPageBreak/>
              <w:t>23,000,000</w:t>
            </w:r>
          </w:p>
        </w:tc>
      </w:tr>
      <w:tr w:rsidR="007B0B70" w:rsidTr="007B0B70">
        <w:tc>
          <w:tcPr>
            <w:tcW w:w="98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lastRenderedPageBreak/>
              <w:t>II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2,750,000</w:t>
            </w:r>
          </w:p>
        </w:tc>
        <w:tc>
          <w:tcPr>
            <w:tcW w:w="1800" w:type="dxa"/>
            <w:vAlign w:val="bottom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55,000,000</w:t>
            </w:r>
          </w:p>
        </w:tc>
        <w:tc>
          <w:tcPr>
            <w:tcW w:w="1710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065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</w:tr>
      <w:tr w:rsidR="007B0B70" w:rsidTr="007B0B70">
        <w:tc>
          <w:tcPr>
            <w:tcW w:w="98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lastRenderedPageBreak/>
              <w:t>III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2,400,000</w:t>
            </w:r>
          </w:p>
        </w:tc>
        <w:tc>
          <w:tcPr>
            <w:tcW w:w="1800" w:type="dxa"/>
            <w:vAlign w:val="bottom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48,000,000</w:t>
            </w:r>
          </w:p>
        </w:tc>
        <w:tc>
          <w:tcPr>
            <w:tcW w:w="1710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065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</w:tr>
      <w:tr w:rsidR="007B0B70" w:rsidTr="007B0B70">
        <w:tc>
          <w:tcPr>
            <w:tcW w:w="985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IV</w:t>
            </w:r>
          </w:p>
        </w:tc>
        <w:tc>
          <w:tcPr>
            <w:tcW w:w="2070" w:type="dxa"/>
            <w:vAlign w:val="center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2,150,000</w:t>
            </w:r>
          </w:p>
        </w:tc>
        <w:tc>
          <w:tcPr>
            <w:tcW w:w="1800" w:type="dxa"/>
            <w:vAlign w:val="bottom"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  <w:r>
              <w:rPr>
                <w:rFonts w:ascii="Arial" w:hAnsi="Arial" w:cs="Arial"/>
                <w:color w:val="002060"/>
                <w:sz w:val="20"/>
                <w:szCs w:val="20"/>
              </w:rPr>
              <w:t>43,000,000</w:t>
            </w:r>
          </w:p>
        </w:tc>
        <w:tc>
          <w:tcPr>
            <w:tcW w:w="1710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065" w:type="dxa"/>
            <w:vMerge/>
          </w:tcPr>
          <w:p w:rsidR="007B0B70" w:rsidRDefault="007B0B70" w:rsidP="007B0B70">
            <w:pPr>
              <w:spacing w:before="120" w:after="120"/>
              <w:jc w:val="center"/>
              <w:rPr>
                <w:rFonts w:ascii="Arial" w:hAnsi="Arial" w:cs="Arial"/>
                <w:color w:val="002060"/>
                <w:sz w:val="20"/>
                <w:szCs w:val="20"/>
              </w:rPr>
            </w:pPr>
          </w:p>
        </w:tc>
      </w:tr>
    </w:tbl>
    <w:p w:rsidR="007B0B70" w:rsidRDefault="007B0B70" w:rsidP="007B0B70">
      <w:pPr>
        <w:spacing w:after="160" w:line="259" w:lineRule="auto"/>
        <w:jc w:val="center"/>
        <w:rPr>
          <w:rFonts w:ascii="Arial" w:hAnsi="Arial" w:cs="Arial"/>
          <w:color w:val="002060"/>
          <w:sz w:val="20"/>
          <w:szCs w:val="20"/>
        </w:rPr>
      </w:pPr>
    </w:p>
    <w:p w:rsidR="00A8139F" w:rsidRDefault="00A8139F" w:rsidP="007B0B70">
      <w:pPr>
        <w:spacing w:after="160" w:line="259" w:lineRule="auto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We also attached herewith the relevant regulations and the Official Letter No. 4064/BHXH-THU of Ho Chi Minh City DOLISA for your further reference.</w:t>
      </w:r>
    </w:p>
    <w:p w:rsidR="00A8139F" w:rsidRDefault="00A8139F" w:rsidP="00A8139F">
      <w:p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We will keep you be pos</w:t>
      </w:r>
      <w:bookmarkStart w:id="0" w:name="_GoBack"/>
      <w:bookmarkEnd w:id="0"/>
      <w:r>
        <w:rPr>
          <w:rFonts w:ascii="Arial" w:hAnsi="Arial" w:cs="Arial"/>
          <w:color w:val="002060"/>
          <w:sz w:val="20"/>
          <w:szCs w:val="20"/>
        </w:rPr>
        <w:t xml:space="preserve">ted with any update on this issue timely. </w:t>
      </w:r>
    </w:p>
    <w:p w:rsidR="00A8139F" w:rsidRDefault="00A8139F" w:rsidP="00A8139F">
      <w:p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Should you have any question in this regard, feel free to contact us.</w:t>
      </w:r>
    </w:p>
    <w:p w:rsidR="00A8139F" w:rsidRDefault="00A8139F" w:rsidP="00A8139F">
      <w:pPr>
        <w:spacing w:before="120" w:after="120"/>
        <w:rPr>
          <w:rFonts w:ascii="Arial" w:hAnsi="Arial" w:cs="Arial"/>
          <w:color w:val="002060"/>
          <w:sz w:val="20"/>
          <w:szCs w:val="20"/>
        </w:rPr>
      </w:pPr>
      <w:r>
        <w:rPr>
          <w:rFonts w:ascii="Arial" w:hAnsi="Arial" w:cs="Arial"/>
          <w:color w:val="002060"/>
          <w:sz w:val="20"/>
          <w:szCs w:val="20"/>
        </w:rPr>
        <w:t>Kind regards,</w:t>
      </w:r>
    </w:p>
    <w:p w:rsidR="00A8139F" w:rsidRDefault="00A8139F" w:rsidP="00A8139F">
      <w:pPr>
        <w:rPr>
          <w:rFonts w:ascii="Arial" w:hAnsi="Arial" w:cs="Arial"/>
          <w:sz w:val="20"/>
          <w:szCs w:val="20"/>
        </w:rPr>
      </w:pPr>
    </w:p>
    <w:p w:rsidR="002674C9" w:rsidRDefault="002674C9"/>
    <w:sectPr w:rsidR="00267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D5E1E"/>
    <w:multiLevelType w:val="hybridMultilevel"/>
    <w:tmpl w:val="013CCD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E2329B"/>
    <w:multiLevelType w:val="hybridMultilevel"/>
    <w:tmpl w:val="2BC47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7E6B3E"/>
    <w:multiLevelType w:val="hybridMultilevel"/>
    <w:tmpl w:val="FBDCB41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4A8176F6"/>
    <w:multiLevelType w:val="hybridMultilevel"/>
    <w:tmpl w:val="F51241BA"/>
    <w:lvl w:ilvl="0" w:tplc="37D41E44">
      <w:numFmt w:val="bullet"/>
      <w:lvlText w:val="-"/>
      <w:lvlJc w:val="left"/>
      <w:pPr>
        <w:ind w:left="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640F55BF"/>
    <w:multiLevelType w:val="hybridMultilevel"/>
    <w:tmpl w:val="8452C41C"/>
    <w:lvl w:ilvl="0" w:tplc="37D41E44">
      <w:numFmt w:val="bullet"/>
      <w:lvlText w:val="-"/>
      <w:lvlJc w:val="left"/>
      <w:pPr>
        <w:ind w:left="0" w:hanging="360"/>
      </w:pPr>
      <w:rPr>
        <w:rFonts w:ascii="Arial" w:eastAsia="Calibri" w:hAnsi="Arial" w:cs="Arial" w:hint="default"/>
      </w:rPr>
    </w:lvl>
    <w:lvl w:ilvl="1" w:tplc="70C6D9E6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39F"/>
    <w:rsid w:val="0006234B"/>
    <w:rsid w:val="002674C9"/>
    <w:rsid w:val="005E34B7"/>
    <w:rsid w:val="007B0B70"/>
    <w:rsid w:val="00A8139F"/>
    <w:rsid w:val="00B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6E014-581E-412A-A90A-EA3A03AA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39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39F"/>
    <w:pPr>
      <w:ind w:left="720"/>
    </w:pPr>
  </w:style>
  <w:style w:type="table" w:styleId="TableGrid">
    <w:name w:val="Table Grid"/>
    <w:basedOn w:val="TableNormal"/>
    <w:uiPriority w:val="39"/>
    <w:rsid w:val="007B0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30EB83EB-3714-4D37-9702-CFE187EDCA56}"/>
</file>

<file path=customXml/itemProps2.xml><?xml version="1.0" encoding="utf-8"?>
<ds:datastoreItem xmlns:ds="http://schemas.openxmlformats.org/officeDocument/2006/customXml" ds:itemID="{3B6B5C20-9C41-4250-B119-CC251E77E98D}"/>
</file>

<file path=customXml/itemProps3.xml><?xml version="1.0" encoding="utf-8"?>
<ds:datastoreItem xmlns:ds="http://schemas.openxmlformats.org/officeDocument/2006/customXml" ds:itemID="{E77C6BF4-09CF-45D6-BDC5-BE0511239A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2</cp:revision>
  <dcterms:created xsi:type="dcterms:W3CDTF">2014-12-18T13:48:00Z</dcterms:created>
  <dcterms:modified xsi:type="dcterms:W3CDTF">2014-12-18T14:03:00Z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