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CellMar>
          <w:left w:w="0" w:type="dxa"/>
          <w:right w:w="0" w:type="dxa"/>
        </w:tblCellMar>
        <w:tblLook w:val="04A0"/>
      </w:tblPr>
      <w:tblGrid>
        <w:gridCol w:w="3339"/>
        <w:gridCol w:w="5609"/>
      </w:tblGrid>
      <w:tr w:rsidR="00DC3C1A" w:rsidRPr="00DC3C1A" w:rsidTr="00DC3C1A">
        <w:tc>
          <w:tcPr>
            <w:tcW w:w="3339" w:type="dxa"/>
            <w:tcMar>
              <w:top w:w="0" w:type="dxa"/>
              <w:left w:w="108" w:type="dxa"/>
              <w:bottom w:w="0" w:type="dxa"/>
              <w:right w:w="108" w:type="dxa"/>
            </w:tcMar>
            <w:hideMark/>
          </w:tcPr>
          <w:p w:rsidR="00DC3C1A" w:rsidRPr="00DC3C1A" w:rsidRDefault="00DC3C1A" w:rsidP="00DC3C1A">
            <w:pPr>
              <w:spacing w:before="120" w:after="100" w:afterAutospacing="1" w:line="240" w:lineRule="auto"/>
              <w:jc w:val="center"/>
              <w:rPr>
                <w:rFonts w:ascii="Times New Roman" w:eastAsia="Times New Roman" w:hAnsi="Times New Roman" w:cs="Times New Roman"/>
                <w:sz w:val="24"/>
                <w:szCs w:val="24"/>
              </w:rPr>
            </w:pPr>
            <w:r w:rsidRPr="00DC3C1A">
              <w:rPr>
                <w:rFonts w:ascii="Times New Roman" w:eastAsia="Times New Roman" w:hAnsi="Times New Roman" w:cs="Times New Roman"/>
                <w:sz w:val="20"/>
                <w:szCs w:val="20"/>
              </w:rPr>
              <w:t>BỘ TÀI CHÍNH</w:t>
            </w:r>
            <w:r w:rsidRPr="00DC3C1A">
              <w:rPr>
                <w:rFonts w:ascii="Times New Roman" w:eastAsia="Times New Roman" w:hAnsi="Times New Roman" w:cs="Times New Roman"/>
                <w:b/>
                <w:bCs/>
                <w:sz w:val="20"/>
                <w:szCs w:val="20"/>
              </w:rPr>
              <w:br/>
              <w:t>TỔNG CỤC THUẾ</w:t>
            </w:r>
            <w:r w:rsidRPr="00DC3C1A">
              <w:rPr>
                <w:rFonts w:ascii="Times New Roman" w:eastAsia="Times New Roman" w:hAnsi="Times New Roman" w:cs="Times New Roman"/>
                <w:b/>
                <w:bCs/>
                <w:sz w:val="20"/>
                <w:szCs w:val="20"/>
              </w:rPr>
              <w:br/>
              <w:t>--------</w:t>
            </w:r>
          </w:p>
        </w:tc>
        <w:tc>
          <w:tcPr>
            <w:tcW w:w="5609" w:type="dxa"/>
            <w:tcMar>
              <w:top w:w="0" w:type="dxa"/>
              <w:left w:w="108" w:type="dxa"/>
              <w:bottom w:w="0" w:type="dxa"/>
              <w:right w:w="108" w:type="dxa"/>
            </w:tcMar>
            <w:hideMark/>
          </w:tcPr>
          <w:p w:rsidR="00DC3C1A" w:rsidRPr="00DC3C1A" w:rsidRDefault="00DC3C1A" w:rsidP="00DC3C1A">
            <w:pPr>
              <w:spacing w:before="120" w:after="100" w:afterAutospacing="1" w:line="240" w:lineRule="auto"/>
              <w:jc w:val="center"/>
              <w:rPr>
                <w:rFonts w:ascii="Times New Roman" w:eastAsia="Times New Roman" w:hAnsi="Times New Roman" w:cs="Times New Roman"/>
                <w:sz w:val="24"/>
                <w:szCs w:val="24"/>
              </w:rPr>
            </w:pPr>
            <w:r w:rsidRPr="00DC3C1A">
              <w:rPr>
                <w:rFonts w:ascii="Times New Roman" w:eastAsia="Times New Roman" w:hAnsi="Times New Roman" w:cs="Times New Roman"/>
                <w:b/>
                <w:bCs/>
                <w:sz w:val="20"/>
                <w:szCs w:val="20"/>
              </w:rPr>
              <w:t>CỘNG HÒA XÃ HỘI CHỦ NGHĨA VIỆT NAM</w:t>
            </w:r>
            <w:r w:rsidRPr="00DC3C1A">
              <w:rPr>
                <w:rFonts w:ascii="Times New Roman" w:eastAsia="Times New Roman" w:hAnsi="Times New Roman" w:cs="Times New Roman"/>
                <w:b/>
                <w:bCs/>
                <w:sz w:val="20"/>
                <w:szCs w:val="20"/>
              </w:rPr>
              <w:br/>
              <w:t>Độc lập - Tự do - Hạnh phúc</w:t>
            </w:r>
            <w:r w:rsidRPr="00DC3C1A">
              <w:rPr>
                <w:rFonts w:ascii="Times New Roman" w:eastAsia="Times New Roman" w:hAnsi="Times New Roman" w:cs="Times New Roman"/>
                <w:b/>
                <w:bCs/>
                <w:sz w:val="20"/>
                <w:szCs w:val="20"/>
              </w:rPr>
              <w:br/>
              <w:t>----------------</w:t>
            </w:r>
          </w:p>
        </w:tc>
      </w:tr>
      <w:tr w:rsidR="00DC3C1A" w:rsidRPr="00DC3C1A" w:rsidTr="00DC3C1A">
        <w:tc>
          <w:tcPr>
            <w:tcW w:w="3339" w:type="dxa"/>
            <w:tcMar>
              <w:top w:w="0" w:type="dxa"/>
              <w:left w:w="108" w:type="dxa"/>
              <w:bottom w:w="0" w:type="dxa"/>
              <w:right w:w="108" w:type="dxa"/>
            </w:tcMar>
            <w:hideMark/>
          </w:tcPr>
          <w:p w:rsidR="00DC3C1A" w:rsidRPr="00DC3C1A" w:rsidRDefault="00DC3C1A" w:rsidP="00DC3C1A">
            <w:pPr>
              <w:spacing w:before="120" w:after="100" w:afterAutospacing="1" w:line="240" w:lineRule="auto"/>
              <w:rPr>
                <w:rFonts w:ascii="Times New Roman" w:eastAsia="Times New Roman" w:hAnsi="Times New Roman" w:cs="Times New Roman"/>
                <w:sz w:val="24"/>
                <w:szCs w:val="24"/>
              </w:rPr>
            </w:pPr>
            <w:r w:rsidRPr="00DC3C1A">
              <w:rPr>
                <w:rFonts w:ascii="Times New Roman" w:eastAsia="Times New Roman" w:hAnsi="Times New Roman" w:cs="Times New Roman"/>
                <w:sz w:val="20"/>
                <w:szCs w:val="20"/>
              </w:rPr>
              <w:t>Số: 3370/TCT-TNCN</w:t>
            </w:r>
            <w:r w:rsidRPr="00DC3C1A">
              <w:rPr>
                <w:rFonts w:ascii="Times New Roman" w:eastAsia="Times New Roman" w:hAnsi="Times New Roman" w:cs="Times New Roman"/>
                <w:sz w:val="20"/>
                <w:szCs w:val="20"/>
              </w:rPr>
              <w:br/>
            </w:r>
            <w:r w:rsidRPr="00DC3C1A">
              <w:rPr>
                <w:rFonts w:ascii="Times New Roman" w:eastAsia="Times New Roman" w:hAnsi="Times New Roman" w:cs="Times New Roman"/>
                <w:i/>
                <w:iCs/>
                <w:sz w:val="16"/>
                <w:szCs w:val="16"/>
              </w:rPr>
              <w:t>V/v trách nhiệm kê khai nộp thuế TNCN đối với người nước ngoài.</w:t>
            </w:r>
          </w:p>
        </w:tc>
        <w:tc>
          <w:tcPr>
            <w:tcW w:w="5609" w:type="dxa"/>
            <w:tcMar>
              <w:top w:w="0" w:type="dxa"/>
              <w:left w:w="108" w:type="dxa"/>
              <w:bottom w:w="0" w:type="dxa"/>
              <w:right w:w="108" w:type="dxa"/>
            </w:tcMar>
            <w:hideMark/>
          </w:tcPr>
          <w:p w:rsidR="00DC3C1A" w:rsidRPr="00DC3C1A" w:rsidRDefault="00DC3C1A" w:rsidP="00DC3C1A">
            <w:pPr>
              <w:spacing w:before="120" w:after="100" w:afterAutospacing="1" w:line="240" w:lineRule="auto"/>
              <w:jc w:val="right"/>
              <w:rPr>
                <w:rFonts w:ascii="Times New Roman" w:eastAsia="Times New Roman" w:hAnsi="Times New Roman" w:cs="Times New Roman"/>
                <w:sz w:val="24"/>
                <w:szCs w:val="24"/>
              </w:rPr>
            </w:pPr>
            <w:r w:rsidRPr="00DC3C1A">
              <w:rPr>
                <w:rFonts w:ascii="Times New Roman" w:eastAsia="Times New Roman" w:hAnsi="Times New Roman" w:cs="Times New Roman"/>
                <w:i/>
                <w:iCs/>
                <w:sz w:val="20"/>
                <w:szCs w:val="20"/>
              </w:rPr>
              <w:t>Hà Nội, ngày 19 tháng 08 năm 2014</w:t>
            </w:r>
          </w:p>
        </w:tc>
      </w:tr>
    </w:tbl>
    <w:p w:rsidR="00DC3C1A" w:rsidRPr="00DC3C1A" w:rsidRDefault="00DC3C1A" w:rsidP="00DC3C1A">
      <w:pPr>
        <w:spacing w:before="120" w:after="100" w:afterAutospacing="1" w:line="240" w:lineRule="auto"/>
        <w:rPr>
          <w:rFonts w:ascii="Times New Roman" w:eastAsia="Times New Roman" w:hAnsi="Times New Roman" w:cs="Times New Roman"/>
          <w:sz w:val="24"/>
          <w:szCs w:val="24"/>
        </w:rPr>
      </w:pPr>
      <w:r w:rsidRPr="00DC3C1A">
        <w:rPr>
          <w:rFonts w:ascii="Times New Roman" w:eastAsia="Times New Roman" w:hAnsi="Times New Roman" w:cs="Times New Roman"/>
          <w:sz w:val="20"/>
          <w:szCs w:val="20"/>
        </w:rPr>
        <w:t> </w:t>
      </w:r>
    </w:p>
    <w:p w:rsidR="00DC3C1A" w:rsidRPr="00DC3C1A" w:rsidRDefault="00DC3C1A" w:rsidP="00DC3C1A">
      <w:pPr>
        <w:spacing w:before="120" w:after="100" w:afterAutospacing="1" w:line="240" w:lineRule="auto"/>
        <w:jc w:val="center"/>
        <w:rPr>
          <w:rFonts w:ascii="Times New Roman" w:eastAsia="Times New Roman" w:hAnsi="Times New Roman" w:cs="Times New Roman"/>
          <w:sz w:val="24"/>
          <w:szCs w:val="24"/>
        </w:rPr>
      </w:pPr>
      <w:r w:rsidRPr="00DC3C1A">
        <w:rPr>
          <w:rFonts w:ascii="Times New Roman" w:eastAsia="Times New Roman" w:hAnsi="Times New Roman" w:cs="Times New Roman"/>
          <w:b/>
          <w:bCs/>
          <w:sz w:val="20"/>
          <w:szCs w:val="20"/>
        </w:rPr>
        <w:t xml:space="preserve">Kính gửi: </w:t>
      </w:r>
      <w:r w:rsidRPr="00DC3C1A">
        <w:rPr>
          <w:rFonts w:ascii="Times New Roman" w:eastAsia="Times New Roman" w:hAnsi="Times New Roman" w:cs="Times New Roman"/>
          <w:sz w:val="20"/>
          <w:szCs w:val="20"/>
        </w:rPr>
        <w:t>Cục Thuế tỉnh Ninh Bình</w:t>
      </w:r>
    </w:p>
    <w:p w:rsidR="00DC3C1A" w:rsidRPr="00DC3C1A" w:rsidRDefault="00DC3C1A" w:rsidP="00DC3C1A">
      <w:pPr>
        <w:spacing w:before="120" w:after="100" w:afterAutospacing="1" w:line="240" w:lineRule="auto"/>
        <w:rPr>
          <w:rFonts w:ascii="Times New Roman" w:eastAsia="Times New Roman" w:hAnsi="Times New Roman" w:cs="Times New Roman"/>
          <w:sz w:val="24"/>
          <w:szCs w:val="24"/>
        </w:rPr>
      </w:pPr>
      <w:r w:rsidRPr="00DC3C1A">
        <w:rPr>
          <w:rFonts w:ascii="Times New Roman" w:eastAsia="Times New Roman" w:hAnsi="Times New Roman" w:cs="Times New Roman"/>
          <w:sz w:val="20"/>
          <w:szCs w:val="20"/>
        </w:rPr>
        <w:t xml:space="preserve">Trả lời công văn số 115/CT-KTR1 ngày 20/1/2014 của Cục Thuế tỉnh Ninh Bình </w:t>
      </w:r>
      <w:r w:rsidRPr="00DC3C1A">
        <w:rPr>
          <w:rFonts w:ascii="Times New Roman" w:eastAsia="Times New Roman" w:hAnsi="Times New Roman" w:cs="Times New Roman"/>
          <w:sz w:val="20"/>
          <w:szCs w:val="20"/>
          <w:shd w:val="clear" w:color="auto" w:fill="FFFFFF"/>
        </w:rPr>
        <w:t>về</w:t>
      </w:r>
      <w:r w:rsidRPr="00DC3C1A">
        <w:rPr>
          <w:rFonts w:ascii="Times New Roman" w:eastAsia="Times New Roman" w:hAnsi="Times New Roman" w:cs="Times New Roman"/>
          <w:sz w:val="20"/>
          <w:szCs w:val="20"/>
        </w:rPr>
        <w:t xml:space="preserve"> trách nhiệm kê khai nộp thuế thu nhập cá nhân (TNCN) đối với người nước ngoài, Tổng cục Thuế có ý kiến như sau:</w:t>
      </w:r>
    </w:p>
    <w:p w:rsidR="00DC3C1A" w:rsidRPr="00DC3C1A" w:rsidRDefault="00DC3C1A" w:rsidP="00DC3C1A">
      <w:pPr>
        <w:spacing w:before="120" w:after="100" w:afterAutospacing="1" w:line="240" w:lineRule="auto"/>
        <w:rPr>
          <w:rFonts w:ascii="Times New Roman" w:eastAsia="Times New Roman" w:hAnsi="Times New Roman" w:cs="Times New Roman"/>
          <w:sz w:val="24"/>
          <w:szCs w:val="24"/>
        </w:rPr>
      </w:pPr>
      <w:bookmarkStart w:id="0" w:name="bookmark0"/>
      <w:r w:rsidRPr="00DC3C1A">
        <w:rPr>
          <w:rFonts w:ascii="Times New Roman" w:eastAsia="Times New Roman" w:hAnsi="Times New Roman" w:cs="Times New Roman"/>
          <w:b/>
          <w:bCs/>
          <w:sz w:val="20"/>
          <w:szCs w:val="20"/>
        </w:rPr>
        <w:t>1. Về trách nhiệm khai thuế:</w:t>
      </w:r>
      <w:bookmarkEnd w:id="0"/>
    </w:p>
    <w:p w:rsidR="00DC3C1A" w:rsidRPr="00DC3C1A" w:rsidRDefault="00DC3C1A" w:rsidP="00DC3C1A">
      <w:pPr>
        <w:spacing w:before="120" w:after="100" w:afterAutospacing="1" w:line="240" w:lineRule="auto"/>
        <w:rPr>
          <w:rFonts w:ascii="Times New Roman" w:eastAsia="Times New Roman" w:hAnsi="Times New Roman" w:cs="Times New Roman"/>
          <w:sz w:val="24"/>
          <w:szCs w:val="24"/>
        </w:rPr>
      </w:pPr>
      <w:r w:rsidRPr="00DC3C1A">
        <w:rPr>
          <w:rFonts w:ascii="Times New Roman" w:eastAsia="Times New Roman" w:hAnsi="Times New Roman" w:cs="Times New Roman"/>
          <w:sz w:val="20"/>
          <w:szCs w:val="20"/>
        </w:rPr>
        <w:t>- Tại Điều 412, Bộ Luật dân sự năm 2005 quy định:</w:t>
      </w:r>
    </w:p>
    <w:p w:rsidR="00DC3C1A" w:rsidRPr="00DC3C1A" w:rsidRDefault="00DC3C1A" w:rsidP="00DC3C1A">
      <w:pPr>
        <w:spacing w:before="120" w:after="100" w:afterAutospacing="1" w:line="240" w:lineRule="auto"/>
        <w:rPr>
          <w:rFonts w:ascii="Times New Roman" w:eastAsia="Times New Roman" w:hAnsi="Times New Roman" w:cs="Times New Roman"/>
          <w:sz w:val="24"/>
          <w:szCs w:val="24"/>
        </w:rPr>
      </w:pPr>
      <w:r w:rsidRPr="00DC3C1A">
        <w:rPr>
          <w:rFonts w:ascii="Times New Roman" w:eastAsia="Times New Roman" w:hAnsi="Times New Roman" w:cs="Times New Roman"/>
          <w:i/>
          <w:iCs/>
          <w:sz w:val="20"/>
          <w:szCs w:val="20"/>
        </w:rPr>
        <w:t>“Điều 412. Nguyên tắc thực hiện hợp đồng dân sự</w:t>
      </w:r>
    </w:p>
    <w:p w:rsidR="00DC3C1A" w:rsidRPr="00DC3C1A" w:rsidRDefault="00DC3C1A" w:rsidP="00DC3C1A">
      <w:pPr>
        <w:spacing w:before="120" w:after="100" w:afterAutospacing="1" w:line="240" w:lineRule="auto"/>
        <w:rPr>
          <w:rFonts w:ascii="Times New Roman" w:eastAsia="Times New Roman" w:hAnsi="Times New Roman" w:cs="Times New Roman"/>
          <w:sz w:val="24"/>
          <w:szCs w:val="24"/>
        </w:rPr>
      </w:pPr>
      <w:r w:rsidRPr="00DC3C1A">
        <w:rPr>
          <w:rFonts w:ascii="Times New Roman" w:eastAsia="Times New Roman" w:hAnsi="Times New Roman" w:cs="Times New Roman"/>
          <w:i/>
          <w:iCs/>
          <w:sz w:val="20"/>
          <w:szCs w:val="20"/>
        </w:rPr>
        <w:t>Việc thực hiện hợp đồng phải tuân theo các nguyên tắc sau đây:</w:t>
      </w:r>
    </w:p>
    <w:p w:rsidR="00DC3C1A" w:rsidRPr="00DC3C1A" w:rsidRDefault="00DC3C1A" w:rsidP="00DC3C1A">
      <w:pPr>
        <w:spacing w:before="120" w:after="100" w:afterAutospacing="1" w:line="240" w:lineRule="auto"/>
        <w:rPr>
          <w:rFonts w:ascii="Times New Roman" w:eastAsia="Times New Roman" w:hAnsi="Times New Roman" w:cs="Times New Roman"/>
          <w:sz w:val="24"/>
          <w:szCs w:val="24"/>
        </w:rPr>
      </w:pPr>
      <w:r w:rsidRPr="00DC3C1A">
        <w:rPr>
          <w:rFonts w:ascii="Times New Roman" w:eastAsia="Times New Roman" w:hAnsi="Times New Roman" w:cs="Times New Roman"/>
          <w:i/>
          <w:iCs/>
          <w:sz w:val="20"/>
          <w:szCs w:val="20"/>
        </w:rPr>
        <w:t xml:space="preserve">1. Thực hiện đúng hợp đồng, đúng đối tượng, chất lượng, số lượng, chủng loại, thời hạn, phương thức và các </w:t>
      </w:r>
      <w:r w:rsidRPr="00DC3C1A">
        <w:rPr>
          <w:rFonts w:ascii="Times New Roman" w:eastAsia="Times New Roman" w:hAnsi="Times New Roman" w:cs="Times New Roman"/>
          <w:i/>
          <w:iCs/>
          <w:sz w:val="20"/>
          <w:szCs w:val="20"/>
          <w:shd w:val="clear" w:color="auto" w:fill="FFFFFF"/>
        </w:rPr>
        <w:t>thỏa thuận</w:t>
      </w:r>
      <w:r w:rsidRPr="00DC3C1A">
        <w:rPr>
          <w:rFonts w:ascii="Times New Roman" w:eastAsia="Times New Roman" w:hAnsi="Times New Roman" w:cs="Times New Roman"/>
          <w:i/>
          <w:iCs/>
          <w:sz w:val="20"/>
          <w:szCs w:val="20"/>
        </w:rPr>
        <w:t xml:space="preserve"> khác;”</w:t>
      </w:r>
    </w:p>
    <w:p w:rsidR="00DC3C1A" w:rsidRPr="00DC3C1A" w:rsidRDefault="00DC3C1A" w:rsidP="00DC3C1A">
      <w:pPr>
        <w:spacing w:before="120" w:after="100" w:afterAutospacing="1" w:line="240" w:lineRule="auto"/>
        <w:rPr>
          <w:rFonts w:ascii="Times New Roman" w:eastAsia="Times New Roman" w:hAnsi="Times New Roman" w:cs="Times New Roman"/>
          <w:sz w:val="24"/>
          <w:szCs w:val="24"/>
        </w:rPr>
      </w:pPr>
      <w:r w:rsidRPr="00DC3C1A">
        <w:rPr>
          <w:rFonts w:ascii="Times New Roman" w:eastAsia="Times New Roman" w:hAnsi="Times New Roman" w:cs="Times New Roman"/>
          <w:sz w:val="20"/>
          <w:szCs w:val="20"/>
        </w:rPr>
        <w:t>- Tại Điểm 10 của các hợp đồng ký ngày 29/7/2012 và 23/3/2013 giữa Công ty TNHH MTV Đạm Ninh Bình (ĐNB) với Tập đoàn thầu k</w:t>
      </w:r>
      <w:r w:rsidRPr="00DC3C1A">
        <w:rPr>
          <w:rFonts w:ascii="Times New Roman" w:eastAsia="Times New Roman" w:hAnsi="Times New Roman" w:cs="Times New Roman"/>
          <w:sz w:val="20"/>
          <w:szCs w:val="20"/>
          <w:shd w:val="clear" w:color="auto" w:fill="FFFFFF"/>
        </w:rPr>
        <w:t>hoán</w:t>
      </w:r>
      <w:r w:rsidRPr="00DC3C1A">
        <w:rPr>
          <w:rFonts w:ascii="Times New Roman" w:eastAsia="Times New Roman" w:hAnsi="Times New Roman" w:cs="Times New Roman"/>
          <w:sz w:val="20"/>
          <w:szCs w:val="20"/>
        </w:rPr>
        <w:t xml:space="preserve"> và kỹ thuật Hoàn cầu Trung Quốc (HQC) có nêu:</w:t>
      </w:r>
    </w:p>
    <w:p w:rsidR="00DC3C1A" w:rsidRPr="00DC3C1A" w:rsidRDefault="00DC3C1A" w:rsidP="00DC3C1A">
      <w:pPr>
        <w:spacing w:before="120" w:after="100" w:afterAutospacing="1" w:line="240" w:lineRule="auto"/>
        <w:rPr>
          <w:rFonts w:ascii="Times New Roman" w:eastAsia="Times New Roman" w:hAnsi="Times New Roman" w:cs="Times New Roman"/>
          <w:sz w:val="24"/>
          <w:szCs w:val="24"/>
        </w:rPr>
      </w:pPr>
      <w:r w:rsidRPr="00DC3C1A">
        <w:rPr>
          <w:rFonts w:ascii="Times New Roman" w:eastAsia="Times New Roman" w:hAnsi="Times New Roman" w:cs="Times New Roman"/>
          <w:i/>
          <w:iCs/>
          <w:sz w:val="20"/>
          <w:szCs w:val="20"/>
        </w:rPr>
        <w:t>“10. Thuế</w:t>
      </w:r>
    </w:p>
    <w:p w:rsidR="00DC3C1A" w:rsidRPr="00DC3C1A" w:rsidRDefault="00DC3C1A" w:rsidP="00DC3C1A">
      <w:pPr>
        <w:spacing w:before="120" w:after="100" w:afterAutospacing="1" w:line="240" w:lineRule="auto"/>
        <w:rPr>
          <w:rFonts w:ascii="Times New Roman" w:eastAsia="Times New Roman" w:hAnsi="Times New Roman" w:cs="Times New Roman"/>
          <w:sz w:val="24"/>
          <w:szCs w:val="24"/>
        </w:rPr>
      </w:pPr>
      <w:r w:rsidRPr="00DC3C1A">
        <w:rPr>
          <w:rFonts w:ascii="Times New Roman" w:eastAsia="Times New Roman" w:hAnsi="Times New Roman" w:cs="Times New Roman"/>
          <w:i/>
          <w:iCs/>
          <w:sz w:val="20"/>
          <w:szCs w:val="20"/>
        </w:rPr>
        <w:t xml:space="preserve">10.2. Tất cả các loại thuế quan, hải quan và các loại thuế khác phát sinh ở Việt Nam liên quan đến hoặc nằm trong phạm vi hợp đồng này phải do ĐNB chi trả; và ĐNB có nghĩa vụ thực hiện các thủ tục thuế phát sinh từ cơ quan có </w:t>
      </w:r>
      <w:r w:rsidRPr="00DC3C1A">
        <w:rPr>
          <w:rFonts w:ascii="Times New Roman" w:eastAsia="Times New Roman" w:hAnsi="Times New Roman" w:cs="Times New Roman"/>
          <w:i/>
          <w:iCs/>
          <w:sz w:val="20"/>
          <w:szCs w:val="20"/>
          <w:shd w:val="clear" w:color="auto" w:fill="FFFFFF"/>
        </w:rPr>
        <w:t>thẩm quyền</w:t>
      </w:r>
      <w:r w:rsidRPr="00DC3C1A">
        <w:rPr>
          <w:rFonts w:ascii="Times New Roman" w:eastAsia="Times New Roman" w:hAnsi="Times New Roman" w:cs="Times New Roman"/>
          <w:i/>
          <w:iCs/>
          <w:sz w:val="20"/>
          <w:szCs w:val="20"/>
        </w:rPr>
        <w:t xml:space="preserve"> của Việt Nam bằng chi phí của ĐNB. HQC chịu trách nhiệm đối với mọi loại thuế áp dụng ở Trung Quốc”</w:t>
      </w:r>
    </w:p>
    <w:p w:rsidR="00DC3C1A" w:rsidRPr="00DC3C1A" w:rsidRDefault="00DC3C1A" w:rsidP="00DC3C1A">
      <w:pPr>
        <w:spacing w:before="120" w:after="100" w:afterAutospacing="1" w:line="240" w:lineRule="auto"/>
        <w:rPr>
          <w:rFonts w:ascii="Times New Roman" w:eastAsia="Times New Roman" w:hAnsi="Times New Roman" w:cs="Times New Roman"/>
          <w:sz w:val="24"/>
          <w:szCs w:val="24"/>
        </w:rPr>
      </w:pPr>
      <w:r w:rsidRPr="00DC3C1A">
        <w:rPr>
          <w:rFonts w:ascii="Times New Roman" w:eastAsia="Times New Roman" w:hAnsi="Times New Roman" w:cs="Times New Roman"/>
          <w:sz w:val="20"/>
          <w:szCs w:val="20"/>
        </w:rPr>
        <w:t>Căn cứ quy định và Hợp đồng nêu trên thì ĐNB có trách nhiệm khai thuế và nộp thuế TNCN cho các cá nhân được HQC cử sang làm việc tại ĐNB (nếu phát sinh).</w:t>
      </w:r>
    </w:p>
    <w:p w:rsidR="00DC3C1A" w:rsidRPr="00DC3C1A" w:rsidRDefault="00DC3C1A" w:rsidP="00DC3C1A">
      <w:pPr>
        <w:spacing w:before="120" w:after="100" w:afterAutospacing="1" w:line="240" w:lineRule="auto"/>
        <w:rPr>
          <w:rFonts w:ascii="Times New Roman" w:eastAsia="Times New Roman" w:hAnsi="Times New Roman" w:cs="Times New Roman"/>
          <w:sz w:val="24"/>
          <w:szCs w:val="24"/>
        </w:rPr>
      </w:pPr>
      <w:r w:rsidRPr="00DC3C1A">
        <w:rPr>
          <w:rFonts w:ascii="Times New Roman" w:eastAsia="Times New Roman" w:hAnsi="Times New Roman" w:cs="Times New Roman"/>
          <w:sz w:val="20"/>
          <w:szCs w:val="20"/>
        </w:rPr>
        <w:t xml:space="preserve">Tuy nhiên, do trong những năm qua Nhà thầu HQC đã khai thuế đối với cá nhân làm việc tại Đạm Ninh Bình thì Công ty Đạm Ninh Bình không phải khai thuế và nộp thuế thay cho cá nhân nữa. Vì đối </w:t>
      </w:r>
      <w:r w:rsidRPr="00DC3C1A">
        <w:rPr>
          <w:rFonts w:ascii="Times New Roman" w:eastAsia="Times New Roman" w:hAnsi="Times New Roman" w:cs="Times New Roman"/>
          <w:sz w:val="20"/>
          <w:szCs w:val="20"/>
          <w:shd w:val="clear" w:color="auto" w:fill="FFFFFF"/>
        </w:rPr>
        <w:t>với</w:t>
      </w:r>
      <w:r w:rsidRPr="00DC3C1A">
        <w:rPr>
          <w:rFonts w:ascii="Times New Roman" w:eastAsia="Times New Roman" w:hAnsi="Times New Roman" w:cs="Times New Roman"/>
          <w:sz w:val="20"/>
          <w:szCs w:val="20"/>
        </w:rPr>
        <w:t xml:space="preserve"> một nghĩa vụ thuế thì chỉ một đối tượng kê khai, không khai trùng. Nếu Nhà thầu HQC không thực hiện khai thuế cho cá nhân thì Công ty Đạm Ninh Bình phải có trách nhiệm khai thuế theo đúng </w:t>
      </w:r>
      <w:r w:rsidRPr="00DC3C1A">
        <w:rPr>
          <w:rFonts w:ascii="Times New Roman" w:eastAsia="Times New Roman" w:hAnsi="Times New Roman" w:cs="Times New Roman"/>
          <w:sz w:val="20"/>
          <w:szCs w:val="20"/>
          <w:shd w:val="clear" w:color="auto" w:fill="FFFFFF"/>
        </w:rPr>
        <w:t>thỏa thuận</w:t>
      </w:r>
      <w:r w:rsidRPr="00DC3C1A">
        <w:rPr>
          <w:rFonts w:ascii="Times New Roman" w:eastAsia="Times New Roman" w:hAnsi="Times New Roman" w:cs="Times New Roman"/>
          <w:sz w:val="20"/>
          <w:szCs w:val="20"/>
        </w:rPr>
        <w:t xml:space="preserve"> trong </w:t>
      </w:r>
      <w:r w:rsidRPr="00DC3C1A">
        <w:rPr>
          <w:rFonts w:ascii="Times New Roman" w:eastAsia="Times New Roman" w:hAnsi="Times New Roman" w:cs="Times New Roman"/>
          <w:sz w:val="20"/>
          <w:szCs w:val="20"/>
          <w:shd w:val="clear" w:color="auto" w:fill="FFFFFF"/>
        </w:rPr>
        <w:t>hợp đồng</w:t>
      </w:r>
      <w:r w:rsidRPr="00DC3C1A">
        <w:rPr>
          <w:rFonts w:ascii="Times New Roman" w:eastAsia="Times New Roman" w:hAnsi="Times New Roman" w:cs="Times New Roman"/>
          <w:sz w:val="20"/>
          <w:szCs w:val="20"/>
        </w:rPr>
        <w:t>.</w:t>
      </w:r>
    </w:p>
    <w:p w:rsidR="00DC3C1A" w:rsidRPr="00DC3C1A" w:rsidRDefault="00DC3C1A" w:rsidP="00DC3C1A">
      <w:pPr>
        <w:spacing w:before="120" w:after="100" w:afterAutospacing="1" w:line="240" w:lineRule="auto"/>
        <w:rPr>
          <w:rFonts w:ascii="Times New Roman" w:eastAsia="Times New Roman" w:hAnsi="Times New Roman" w:cs="Times New Roman"/>
          <w:sz w:val="24"/>
          <w:szCs w:val="24"/>
        </w:rPr>
      </w:pPr>
      <w:r w:rsidRPr="00DC3C1A">
        <w:rPr>
          <w:rFonts w:ascii="Times New Roman" w:eastAsia="Times New Roman" w:hAnsi="Times New Roman" w:cs="Times New Roman"/>
          <w:b/>
          <w:bCs/>
          <w:sz w:val="20"/>
          <w:szCs w:val="20"/>
        </w:rPr>
        <w:t>2. Xác định số thuế TNCN</w:t>
      </w:r>
    </w:p>
    <w:p w:rsidR="00DC3C1A" w:rsidRPr="00DC3C1A" w:rsidRDefault="00DC3C1A" w:rsidP="00DC3C1A">
      <w:pPr>
        <w:spacing w:before="120" w:after="100" w:afterAutospacing="1" w:line="240" w:lineRule="auto"/>
        <w:rPr>
          <w:rFonts w:ascii="Times New Roman" w:eastAsia="Times New Roman" w:hAnsi="Times New Roman" w:cs="Times New Roman"/>
          <w:sz w:val="24"/>
          <w:szCs w:val="24"/>
        </w:rPr>
      </w:pPr>
      <w:r w:rsidRPr="00DC3C1A">
        <w:rPr>
          <w:rFonts w:ascii="Times New Roman" w:eastAsia="Times New Roman" w:hAnsi="Times New Roman" w:cs="Times New Roman"/>
          <w:sz w:val="20"/>
          <w:szCs w:val="20"/>
        </w:rPr>
        <w:t>- Tại Điều 11 và Điều 26 Luật thuế TNCN số 04/2007/QH12 ngày 21/11/2007 của Quốc hội quy định:</w:t>
      </w:r>
    </w:p>
    <w:p w:rsidR="00DC3C1A" w:rsidRPr="00DC3C1A" w:rsidRDefault="00DC3C1A" w:rsidP="00DC3C1A">
      <w:pPr>
        <w:spacing w:before="120" w:after="100" w:afterAutospacing="1" w:line="240" w:lineRule="auto"/>
        <w:rPr>
          <w:rFonts w:ascii="Times New Roman" w:eastAsia="Times New Roman" w:hAnsi="Times New Roman" w:cs="Times New Roman"/>
          <w:sz w:val="24"/>
          <w:szCs w:val="24"/>
        </w:rPr>
      </w:pPr>
      <w:r w:rsidRPr="00DC3C1A">
        <w:rPr>
          <w:rFonts w:ascii="Times New Roman" w:eastAsia="Times New Roman" w:hAnsi="Times New Roman" w:cs="Times New Roman"/>
          <w:i/>
          <w:iCs/>
          <w:sz w:val="20"/>
          <w:szCs w:val="20"/>
        </w:rPr>
        <w:t>“Điều 11. Thu nhập chịu thuế từ tiền lương, tiền công</w:t>
      </w:r>
    </w:p>
    <w:p w:rsidR="00DC3C1A" w:rsidRPr="00DC3C1A" w:rsidRDefault="00DC3C1A" w:rsidP="00DC3C1A">
      <w:pPr>
        <w:spacing w:before="120" w:after="100" w:afterAutospacing="1" w:line="240" w:lineRule="auto"/>
        <w:rPr>
          <w:rFonts w:ascii="Times New Roman" w:eastAsia="Times New Roman" w:hAnsi="Times New Roman" w:cs="Times New Roman"/>
          <w:sz w:val="24"/>
          <w:szCs w:val="24"/>
        </w:rPr>
      </w:pPr>
      <w:r w:rsidRPr="00DC3C1A">
        <w:rPr>
          <w:rFonts w:ascii="Times New Roman" w:eastAsia="Times New Roman" w:hAnsi="Times New Roman" w:cs="Times New Roman"/>
          <w:i/>
          <w:iCs/>
          <w:sz w:val="20"/>
          <w:szCs w:val="20"/>
        </w:rPr>
        <w:t>1. Thu nhập chịu thuế từ tiền lương, tiền công được xác định bằng tổng số thu nhập quy định tại khoản 2 Điều 3 của Luật này mà đối tượng nộp thuế nhận được trong kỳ tính thuế.</w:t>
      </w:r>
    </w:p>
    <w:p w:rsidR="00DC3C1A" w:rsidRPr="00DC3C1A" w:rsidRDefault="00DC3C1A" w:rsidP="00DC3C1A">
      <w:pPr>
        <w:spacing w:before="120" w:after="100" w:afterAutospacing="1" w:line="240" w:lineRule="auto"/>
        <w:rPr>
          <w:rFonts w:ascii="Times New Roman" w:eastAsia="Times New Roman" w:hAnsi="Times New Roman" w:cs="Times New Roman"/>
          <w:sz w:val="24"/>
          <w:szCs w:val="24"/>
        </w:rPr>
      </w:pPr>
      <w:r w:rsidRPr="00DC3C1A">
        <w:rPr>
          <w:rFonts w:ascii="Times New Roman" w:eastAsia="Times New Roman" w:hAnsi="Times New Roman" w:cs="Times New Roman"/>
          <w:i/>
          <w:iCs/>
          <w:sz w:val="20"/>
          <w:szCs w:val="20"/>
        </w:rPr>
        <w:lastRenderedPageBreak/>
        <w:t xml:space="preserve">2. Thời điểm xác định thu nhập chịu thuế từ tiền lương, tiền công là thời điểm tổ chức, cá nhân trả thu nhập cho đối tượng nộp thuế hoặc thời </w:t>
      </w:r>
      <w:r w:rsidRPr="00DC3C1A">
        <w:rPr>
          <w:rFonts w:ascii="Times New Roman" w:eastAsia="Times New Roman" w:hAnsi="Times New Roman" w:cs="Times New Roman"/>
          <w:i/>
          <w:iCs/>
          <w:sz w:val="20"/>
          <w:szCs w:val="20"/>
          <w:shd w:val="clear" w:color="auto" w:fill="FFFFFF"/>
        </w:rPr>
        <w:t>điểm</w:t>
      </w:r>
      <w:r w:rsidRPr="00DC3C1A">
        <w:rPr>
          <w:rFonts w:ascii="Times New Roman" w:eastAsia="Times New Roman" w:hAnsi="Times New Roman" w:cs="Times New Roman"/>
          <w:i/>
          <w:iCs/>
          <w:sz w:val="20"/>
          <w:szCs w:val="20"/>
        </w:rPr>
        <w:t xml:space="preserve"> đối tượng nộp thuế nhận được thu nhập</w:t>
      </w:r>
    </w:p>
    <w:p w:rsidR="00DC3C1A" w:rsidRPr="00DC3C1A" w:rsidRDefault="00DC3C1A" w:rsidP="00DC3C1A">
      <w:pPr>
        <w:spacing w:before="120" w:after="100" w:afterAutospacing="1" w:line="240" w:lineRule="auto"/>
        <w:rPr>
          <w:rFonts w:ascii="Times New Roman" w:eastAsia="Times New Roman" w:hAnsi="Times New Roman" w:cs="Times New Roman"/>
          <w:sz w:val="24"/>
          <w:szCs w:val="24"/>
        </w:rPr>
      </w:pPr>
      <w:r w:rsidRPr="00DC3C1A">
        <w:rPr>
          <w:rFonts w:ascii="Times New Roman" w:eastAsia="Times New Roman" w:hAnsi="Times New Roman" w:cs="Times New Roman"/>
          <w:i/>
          <w:iCs/>
          <w:sz w:val="20"/>
          <w:szCs w:val="20"/>
        </w:rPr>
        <w:t>“Điều 26. Thuế đối với thu nhập từ tiền lương, tiền công</w:t>
      </w:r>
    </w:p>
    <w:p w:rsidR="00DC3C1A" w:rsidRPr="00DC3C1A" w:rsidRDefault="00DC3C1A" w:rsidP="00DC3C1A">
      <w:pPr>
        <w:spacing w:before="120" w:after="100" w:afterAutospacing="1" w:line="240" w:lineRule="auto"/>
        <w:rPr>
          <w:rFonts w:ascii="Times New Roman" w:eastAsia="Times New Roman" w:hAnsi="Times New Roman" w:cs="Times New Roman"/>
          <w:sz w:val="24"/>
          <w:szCs w:val="24"/>
        </w:rPr>
      </w:pPr>
      <w:r w:rsidRPr="00DC3C1A">
        <w:rPr>
          <w:rFonts w:ascii="Times New Roman" w:eastAsia="Times New Roman" w:hAnsi="Times New Roman" w:cs="Times New Roman"/>
          <w:i/>
          <w:iCs/>
          <w:sz w:val="20"/>
          <w:szCs w:val="20"/>
        </w:rPr>
        <w:t>1. Thuế đối với thu nhập từ tiền lương, tiền công của cá nhân không cư trú được xác định bằng thu nhập chịu thuế từ tiền lương, tiền công quy định tại khoản 2 Điều này nhân với thuế suất 20%.</w:t>
      </w:r>
    </w:p>
    <w:p w:rsidR="00DC3C1A" w:rsidRPr="00DC3C1A" w:rsidRDefault="00DC3C1A" w:rsidP="00DC3C1A">
      <w:pPr>
        <w:spacing w:before="120" w:after="100" w:afterAutospacing="1" w:line="240" w:lineRule="auto"/>
        <w:rPr>
          <w:rFonts w:ascii="Times New Roman" w:eastAsia="Times New Roman" w:hAnsi="Times New Roman" w:cs="Times New Roman"/>
          <w:sz w:val="24"/>
          <w:szCs w:val="24"/>
        </w:rPr>
      </w:pPr>
      <w:r w:rsidRPr="00DC3C1A">
        <w:rPr>
          <w:rFonts w:ascii="Times New Roman" w:eastAsia="Times New Roman" w:hAnsi="Times New Roman" w:cs="Times New Roman"/>
          <w:i/>
          <w:iCs/>
          <w:sz w:val="20"/>
          <w:szCs w:val="20"/>
        </w:rPr>
        <w:t>2. Thu nhập chịu thuế từ tiền lương, tiền công là tổng số tiền lương, tiền công mà cá nhân không cư trú nhận được do thực hiện công việc tại Việt Nam, không phân biệt nơi trả thu nhập</w:t>
      </w:r>
    </w:p>
    <w:p w:rsidR="00DC3C1A" w:rsidRPr="00DC3C1A" w:rsidRDefault="00DC3C1A" w:rsidP="00DC3C1A">
      <w:pPr>
        <w:spacing w:before="120" w:after="100" w:afterAutospacing="1" w:line="240" w:lineRule="auto"/>
        <w:rPr>
          <w:rFonts w:ascii="Times New Roman" w:eastAsia="Times New Roman" w:hAnsi="Times New Roman" w:cs="Times New Roman"/>
          <w:sz w:val="24"/>
          <w:szCs w:val="24"/>
        </w:rPr>
      </w:pPr>
      <w:r w:rsidRPr="00DC3C1A">
        <w:rPr>
          <w:rFonts w:ascii="Times New Roman" w:eastAsia="Times New Roman" w:hAnsi="Times New Roman" w:cs="Times New Roman"/>
          <w:sz w:val="20"/>
          <w:szCs w:val="20"/>
        </w:rPr>
        <w:t>- Tại Điều 37 Luật Quản lý thuế số 78/2006/QH11 ngày 29/11/2006 quy định về ấn định thuế đối với người nộp thuế nộp thuế theo phương pháp kê khai trong trường hợp vi phạm pháp luật về thuế:</w:t>
      </w:r>
    </w:p>
    <w:p w:rsidR="00DC3C1A" w:rsidRPr="00DC3C1A" w:rsidRDefault="00DC3C1A" w:rsidP="00DC3C1A">
      <w:pPr>
        <w:spacing w:before="120" w:after="100" w:afterAutospacing="1" w:line="240" w:lineRule="auto"/>
        <w:rPr>
          <w:rFonts w:ascii="Times New Roman" w:eastAsia="Times New Roman" w:hAnsi="Times New Roman" w:cs="Times New Roman"/>
          <w:sz w:val="24"/>
          <w:szCs w:val="24"/>
        </w:rPr>
      </w:pPr>
      <w:r w:rsidRPr="00DC3C1A">
        <w:rPr>
          <w:rFonts w:ascii="Times New Roman" w:eastAsia="Times New Roman" w:hAnsi="Times New Roman" w:cs="Times New Roman"/>
          <w:i/>
          <w:iCs/>
          <w:sz w:val="20"/>
          <w:szCs w:val="20"/>
        </w:rPr>
        <w:t>“d) Không phản ánh hoặc phản ánh không đầy đủ, trung thực, chính xác số liệu trên số kế toán để xác định nghĩa vụ thuế”</w:t>
      </w:r>
    </w:p>
    <w:p w:rsidR="00DC3C1A" w:rsidRPr="00DC3C1A" w:rsidRDefault="00DC3C1A" w:rsidP="00DC3C1A">
      <w:pPr>
        <w:spacing w:before="120" w:after="100" w:afterAutospacing="1" w:line="240" w:lineRule="auto"/>
        <w:rPr>
          <w:rFonts w:ascii="Times New Roman" w:eastAsia="Times New Roman" w:hAnsi="Times New Roman" w:cs="Times New Roman"/>
          <w:sz w:val="24"/>
          <w:szCs w:val="24"/>
        </w:rPr>
      </w:pPr>
      <w:r w:rsidRPr="00DC3C1A">
        <w:rPr>
          <w:rFonts w:ascii="Times New Roman" w:eastAsia="Times New Roman" w:hAnsi="Times New Roman" w:cs="Times New Roman"/>
          <w:sz w:val="20"/>
          <w:szCs w:val="20"/>
        </w:rPr>
        <w:t>Căn cứ quy định và hướng dẫn nêu trên thì thu nhập chịu thuế TNCN được xác định theo số thực nhận - không tính trên tổng chi phí ĐNB phải trả cho HQC. Trường hợp Nhà thầu HQC đã kê khai nhưng Cục thuế xác định là thấp so với thực tế thì có quyền ấn định số thuế phải nộp theo quy định của Luật Quản lý thuế nêu trên.</w:t>
      </w:r>
    </w:p>
    <w:p w:rsidR="00DC3C1A" w:rsidRPr="00DC3C1A" w:rsidRDefault="00DC3C1A" w:rsidP="00DC3C1A">
      <w:pPr>
        <w:spacing w:before="120" w:after="100" w:afterAutospacing="1" w:line="240" w:lineRule="auto"/>
        <w:rPr>
          <w:rFonts w:ascii="Times New Roman" w:eastAsia="Times New Roman" w:hAnsi="Times New Roman" w:cs="Times New Roman"/>
          <w:sz w:val="24"/>
          <w:szCs w:val="24"/>
        </w:rPr>
      </w:pPr>
      <w:r w:rsidRPr="00DC3C1A">
        <w:rPr>
          <w:rFonts w:ascii="Times New Roman" w:eastAsia="Times New Roman" w:hAnsi="Times New Roman" w:cs="Times New Roman"/>
          <w:sz w:val="20"/>
          <w:szCs w:val="20"/>
        </w:rPr>
        <w:t>Đề nghị Cục Thuế tỉnh Ninh Bình liên hệ với Vụ HTQT-Tổng cục Thuế để được trợ giúp trong quá trình xác minh thông tin thực hiện ấn định thuế nếu thấy cần thiết.</w:t>
      </w:r>
    </w:p>
    <w:p w:rsidR="00DC3C1A" w:rsidRPr="00DC3C1A" w:rsidRDefault="00DC3C1A" w:rsidP="00DC3C1A">
      <w:pPr>
        <w:spacing w:before="120" w:after="100" w:afterAutospacing="1" w:line="240" w:lineRule="auto"/>
        <w:rPr>
          <w:rFonts w:ascii="Times New Roman" w:eastAsia="Times New Roman" w:hAnsi="Times New Roman" w:cs="Times New Roman"/>
          <w:sz w:val="24"/>
          <w:szCs w:val="24"/>
        </w:rPr>
      </w:pPr>
      <w:r w:rsidRPr="00DC3C1A">
        <w:rPr>
          <w:rFonts w:ascii="Times New Roman" w:eastAsia="Times New Roman" w:hAnsi="Times New Roman" w:cs="Times New Roman"/>
          <w:sz w:val="20"/>
          <w:szCs w:val="20"/>
        </w:rPr>
        <w:t>Tổng cục Thuế trả lời để Cục Thuế tỉnh Ninh Bình được biết./.</w:t>
      </w:r>
    </w:p>
    <w:p w:rsidR="00DC3C1A" w:rsidRPr="00DC3C1A" w:rsidRDefault="00DC3C1A" w:rsidP="00DC3C1A">
      <w:pPr>
        <w:spacing w:before="120" w:after="100" w:afterAutospacing="1" w:line="240" w:lineRule="auto"/>
        <w:rPr>
          <w:rFonts w:ascii="Times New Roman" w:eastAsia="Times New Roman" w:hAnsi="Times New Roman" w:cs="Times New Roman"/>
          <w:sz w:val="24"/>
          <w:szCs w:val="24"/>
        </w:rPr>
      </w:pPr>
      <w:r w:rsidRPr="00DC3C1A">
        <w:rPr>
          <w:rFonts w:ascii="Times New Roman" w:eastAsia="Times New Roman" w:hAnsi="Times New Roman" w:cs="Times New Roman"/>
          <w:sz w:val="20"/>
          <w:szCs w:val="20"/>
        </w:rPr>
        <w:t> </w:t>
      </w:r>
    </w:p>
    <w:tbl>
      <w:tblPr>
        <w:tblW w:w="0" w:type="auto"/>
        <w:tblCellMar>
          <w:left w:w="0" w:type="dxa"/>
          <w:right w:w="0" w:type="dxa"/>
        </w:tblCellMar>
        <w:tblLook w:val="04A0"/>
      </w:tblPr>
      <w:tblGrid>
        <w:gridCol w:w="3885"/>
        <w:gridCol w:w="5063"/>
      </w:tblGrid>
      <w:tr w:rsidR="00DC3C1A" w:rsidRPr="00DC3C1A" w:rsidTr="00DC3C1A">
        <w:tc>
          <w:tcPr>
            <w:tcW w:w="3885" w:type="dxa"/>
            <w:tcMar>
              <w:top w:w="0" w:type="dxa"/>
              <w:left w:w="108" w:type="dxa"/>
              <w:bottom w:w="0" w:type="dxa"/>
              <w:right w:w="108" w:type="dxa"/>
            </w:tcMar>
            <w:hideMark/>
          </w:tcPr>
          <w:p w:rsidR="00DC3C1A" w:rsidRPr="00DC3C1A" w:rsidRDefault="00DC3C1A" w:rsidP="00DC3C1A">
            <w:pPr>
              <w:spacing w:before="120" w:after="0" w:line="240" w:lineRule="auto"/>
              <w:rPr>
                <w:rFonts w:ascii="Times New Roman" w:eastAsia="Times New Roman" w:hAnsi="Times New Roman" w:cs="Times New Roman"/>
                <w:sz w:val="24"/>
                <w:szCs w:val="24"/>
              </w:rPr>
            </w:pPr>
            <w:r w:rsidRPr="00DC3C1A">
              <w:rPr>
                <w:rFonts w:ascii="Times New Roman" w:eastAsia="Times New Roman" w:hAnsi="Times New Roman" w:cs="Times New Roman"/>
                <w:b/>
                <w:bCs/>
                <w:i/>
                <w:iCs/>
                <w:sz w:val="16"/>
                <w:szCs w:val="16"/>
              </w:rPr>
              <w:t> </w:t>
            </w:r>
          </w:p>
          <w:p w:rsidR="00DC3C1A" w:rsidRPr="00DC3C1A" w:rsidRDefault="00DC3C1A" w:rsidP="00DC3C1A">
            <w:pPr>
              <w:spacing w:before="120" w:after="0" w:line="240" w:lineRule="auto"/>
              <w:rPr>
                <w:rFonts w:ascii="Times New Roman" w:eastAsia="Times New Roman" w:hAnsi="Times New Roman" w:cs="Times New Roman"/>
                <w:sz w:val="24"/>
                <w:szCs w:val="24"/>
              </w:rPr>
            </w:pPr>
            <w:r w:rsidRPr="00DC3C1A">
              <w:rPr>
                <w:rFonts w:ascii="Times New Roman" w:eastAsia="Times New Roman" w:hAnsi="Times New Roman" w:cs="Times New Roman"/>
                <w:b/>
                <w:bCs/>
                <w:i/>
                <w:iCs/>
                <w:sz w:val="20"/>
                <w:szCs w:val="20"/>
              </w:rPr>
              <w:t>Nơi nhận:</w:t>
            </w:r>
            <w:r w:rsidRPr="00DC3C1A">
              <w:rPr>
                <w:rFonts w:ascii="Times New Roman" w:eastAsia="Times New Roman" w:hAnsi="Times New Roman" w:cs="Times New Roman"/>
                <w:b/>
                <w:bCs/>
                <w:i/>
                <w:iCs/>
                <w:sz w:val="20"/>
                <w:szCs w:val="20"/>
              </w:rPr>
              <w:br/>
            </w:r>
            <w:r w:rsidRPr="00DC3C1A">
              <w:rPr>
                <w:rFonts w:ascii="Times New Roman" w:eastAsia="Times New Roman" w:hAnsi="Times New Roman" w:cs="Times New Roman"/>
                <w:sz w:val="16"/>
                <w:szCs w:val="16"/>
              </w:rPr>
              <w:t>- Như trên;</w:t>
            </w:r>
            <w:r w:rsidRPr="00DC3C1A">
              <w:rPr>
                <w:rFonts w:ascii="Times New Roman" w:eastAsia="Times New Roman" w:hAnsi="Times New Roman" w:cs="Times New Roman"/>
                <w:sz w:val="16"/>
                <w:szCs w:val="16"/>
              </w:rPr>
              <w:br/>
              <w:t>- Cty TNHH MTV Đạm Ninh Bình;</w:t>
            </w:r>
            <w:r w:rsidRPr="00DC3C1A">
              <w:rPr>
                <w:rFonts w:ascii="Times New Roman" w:eastAsia="Times New Roman" w:hAnsi="Times New Roman" w:cs="Times New Roman"/>
                <w:sz w:val="16"/>
                <w:szCs w:val="16"/>
              </w:rPr>
              <w:br/>
              <w:t>- Vụ Pháp chế;</w:t>
            </w:r>
            <w:r w:rsidRPr="00DC3C1A">
              <w:rPr>
                <w:rFonts w:ascii="Times New Roman" w:eastAsia="Times New Roman" w:hAnsi="Times New Roman" w:cs="Times New Roman"/>
                <w:sz w:val="16"/>
                <w:szCs w:val="16"/>
              </w:rPr>
              <w:br/>
              <w:t>- Vụ HTQT;</w:t>
            </w:r>
            <w:r w:rsidRPr="00DC3C1A">
              <w:rPr>
                <w:rFonts w:ascii="Times New Roman" w:eastAsia="Times New Roman" w:hAnsi="Times New Roman" w:cs="Times New Roman"/>
                <w:sz w:val="16"/>
                <w:szCs w:val="16"/>
              </w:rPr>
              <w:br/>
              <w:t>- Website Tổng cục Thuế;</w:t>
            </w:r>
            <w:r w:rsidRPr="00DC3C1A">
              <w:rPr>
                <w:rFonts w:ascii="Times New Roman" w:eastAsia="Times New Roman" w:hAnsi="Times New Roman" w:cs="Times New Roman"/>
                <w:sz w:val="16"/>
                <w:szCs w:val="16"/>
              </w:rPr>
              <w:br/>
              <w:t>- Lưu: VT, TNCN.</w:t>
            </w:r>
          </w:p>
        </w:tc>
        <w:tc>
          <w:tcPr>
            <w:tcW w:w="5063" w:type="dxa"/>
            <w:tcMar>
              <w:top w:w="0" w:type="dxa"/>
              <w:left w:w="108" w:type="dxa"/>
              <w:bottom w:w="0" w:type="dxa"/>
              <w:right w:w="108" w:type="dxa"/>
            </w:tcMar>
            <w:hideMark/>
          </w:tcPr>
          <w:p w:rsidR="00DC3C1A" w:rsidRPr="00DC3C1A" w:rsidRDefault="00DC3C1A" w:rsidP="00DC3C1A">
            <w:pPr>
              <w:spacing w:before="120" w:after="0" w:line="240" w:lineRule="auto"/>
              <w:jc w:val="center"/>
              <w:rPr>
                <w:rFonts w:ascii="Times New Roman" w:eastAsia="Times New Roman" w:hAnsi="Times New Roman" w:cs="Times New Roman"/>
                <w:sz w:val="24"/>
                <w:szCs w:val="24"/>
              </w:rPr>
            </w:pPr>
            <w:r w:rsidRPr="00DC3C1A">
              <w:rPr>
                <w:rFonts w:ascii="Times New Roman" w:eastAsia="Times New Roman" w:hAnsi="Times New Roman" w:cs="Times New Roman"/>
                <w:b/>
                <w:bCs/>
                <w:sz w:val="20"/>
                <w:szCs w:val="20"/>
              </w:rPr>
              <w:t>KT. TỔNG CỤC TRƯỞNG</w:t>
            </w:r>
            <w:r w:rsidRPr="00DC3C1A">
              <w:rPr>
                <w:rFonts w:ascii="Times New Roman" w:eastAsia="Times New Roman" w:hAnsi="Times New Roman" w:cs="Times New Roman"/>
                <w:b/>
                <w:bCs/>
                <w:sz w:val="20"/>
                <w:szCs w:val="20"/>
              </w:rPr>
              <w:br/>
              <w:t>PHÓ TỔNG CỤC TRƯỞNG</w:t>
            </w:r>
            <w:r w:rsidRPr="00DC3C1A">
              <w:rPr>
                <w:rFonts w:ascii="Times New Roman" w:eastAsia="Times New Roman" w:hAnsi="Times New Roman" w:cs="Times New Roman"/>
                <w:b/>
                <w:bCs/>
                <w:sz w:val="20"/>
                <w:szCs w:val="20"/>
              </w:rPr>
              <w:br/>
            </w:r>
            <w:r w:rsidRPr="00DC3C1A">
              <w:rPr>
                <w:rFonts w:ascii="Times New Roman" w:eastAsia="Times New Roman" w:hAnsi="Times New Roman" w:cs="Times New Roman"/>
                <w:b/>
                <w:bCs/>
                <w:sz w:val="20"/>
                <w:szCs w:val="20"/>
              </w:rPr>
              <w:br/>
            </w:r>
            <w:r w:rsidRPr="00DC3C1A">
              <w:rPr>
                <w:rFonts w:ascii="Times New Roman" w:eastAsia="Times New Roman" w:hAnsi="Times New Roman" w:cs="Times New Roman"/>
                <w:b/>
                <w:bCs/>
                <w:sz w:val="20"/>
                <w:szCs w:val="20"/>
              </w:rPr>
              <w:br/>
            </w:r>
            <w:r w:rsidRPr="00DC3C1A">
              <w:rPr>
                <w:rFonts w:ascii="Times New Roman" w:eastAsia="Times New Roman" w:hAnsi="Times New Roman" w:cs="Times New Roman"/>
                <w:b/>
                <w:bCs/>
                <w:sz w:val="20"/>
                <w:szCs w:val="20"/>
              </w:rPr>
              <w:br/>
            </w:r>
            <w:r w:rsidRPr="00DC3C1A">
              <w:rPr>
                <w:rFonts w:ascii="Times New Roman" w:eastAsia="Times New Roman" w:hAnsi="Times New Roman" w:cs="Times New Roman"/>
                <w:b/>
                <w:bCs/>
                <w:sz w:val="20"/>
                <w:szCs w:val="20"/>
              </w:rPr>
              <w:br/>
              <w:t>Cao Anh Tuấn</w:t>
            </w:r>
          </w:p>
        </w:tc>
      </w:tr>
    </w:tbl>
    <w:p w:rsidR="009D265E" w:rsidRDefault="009D265E"/>
    <w:sectPr w:rsidR="009D265E" w:rsidSect="009D265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defaultTabStop w:val="720"/>
  <w:characterSpacingControl w:val="doNotCompress"/>
  <w:compat/>
  <w:rsids>
    <w:rsidRoot w:val="00DC3C1A"/>
    <w:rsid w:val="000E4AE5"/>
    <w:rsid w:val="005D052B"/>
    <w:rsid w:val="009D265E"/>
    <w:rsid w:val="00C22B44"/>
    <w:rsid w:val="00DC3C1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D265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C3C1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291789185">
      <w:bodyDiv w:val="1"/>
      <w:marLeft w:val="0"/>
      <w:marRight w:val="0"/>
      <w:marTop w:val="0"/>
      <w:marBottom w:val="0"/>
      <w:divBdr>
        <w:top w:val="none" w:sz="0" w:space="0" w:color="auto"/>
        <w:left w:val="none" w:sz="0" w:space="0" w:color="auto"/>
        <w:bottom w:val="none" w:sz="0" w:space="0" w:color="auto"/>
        <w:right w:val="none" w:sz="0" w:space="0" w:color="auto"/>
      </w:divBdr>
      <w:divsChild>
        <w:div w:id="2134247827">
          <w:marLeft w:val="0"/>
          <w:marRight w:val="0"/>
          <w:marTop w:val="0"/>
          <w:marBottom w:val="0"/>
          <w:divBdr>
            <w:top w:val="none" w:sz="0" w:space="0" w:color="auto"/>
            <w:left w:val="none" w:sz="0" w:space="0" w:color="auto"/>
            <w:bottom w:val="none" w:sz="0" w:space="0" w:color="auto"/>
            <w:right w:val="none" w:sz="0" w:space="0" w:color="auto"/>
          </w:divBdr>
          <w:divsChild>
            <w:div w:id="1443694275">
              <w:marLeft w:val="0"/>
              <w:marRight w:val="0"/>
              <w:marTop w:val="0"/>
              <w:marBottom w:val="0"/>
              <w:divBdr>
                <w:top w:val="none" w:sz="0" w:space="0" w:color="auto"/>
                <w:left w:val="none" w:sz="0" w:space="0" w:color="auto"/>
                <w:bottom w:val="none" w:sz="0" w:space="0" w:color="auto"/>
                <w:right w:val="none" w:sz="0" w:space="0" w:color="auto"/>
              </w:divBdr>
              <w:divsChild>
                <w:div w:id="1865170473">
                  <w:marLeft w:val="0"/>
                  <w:marRight w:val="0"/>
                  <w:marTop w:val="0"/>
                  <w:marBottom w:val="0"/>
                  <w:divBdr>
                    <w:top w:val="none" w:sz="0" w:space="0" w:color="auto"/>
                    <w:left w:val="none" w:sz="0" w:space="0" w:color="auto"/>
                    <w:bottom w:val="none" w:sz="0" w:space="0" w:color="auto"/>
                    <w:right w:val="none" w:sz="0" w:space="0" w:color="auto"/>
                  </w:divBdr>
                  <w:divsChild>
                    <w:div w:id="61656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6070EC7B8CDA46B67D0AB247BB0995" ma:contentTypeVersion="17" ma:contentTypeDescription="Create a new document." ma:contentTypeScope="" ma:versionID="6208f6ef4f99ac4220cc73d428f7a3be">
  <xsd:schema xmlns:xsd="http://www.w3.org/2001/XMLSchema" xmlns:xs="http://www.w3.org/2001/XMLSchema" xmlns:p="http://schemas.microsoft.com/office/2006/metadata/properties" xmlns:ns2="3841c666-fd63-40bc-beef-ced2745222d3" xmlns:ns3="097e1a6a-fc06-45b2-8873-15e0270064ac" xmlns:ns4="4243d5be-521d-4052-81ca-f0f31ea6f2da" targetNamespace="http://schemas.microsoft.com/office/2006/metadata/properties" ma:root="true" ma:fieldsID="811c77fad17e661c7daf78d2eb917f1e" ns2:_="" ns3:_="" ns4:_="">
    <xsd:import namespace="3841c666-fd63-40bc-beef-ced2745222d3"/>
    <xsd:import namespace="097e1a6a-fc06-45b2-8873-15e0270064ac"/>
    <xsd:import namespace="4243d5be-521d-4052-81ca-f0f31ea6f2d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4: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41c666-fd63-40bc-beef-ced2745222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243d5be-521d-4052-81ca-f0f31ea6f2d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a735b32c-89d7-4def-8826-2e55c195f91e}" ma:internalName="TaxCatchAll" ma:showField="CatchAllData" ma:web="097e1a6a-fc06-45b2-8873-15e0270064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841c666-fd63-40bc-beef-ced2745222d3">
      <Terms xmlns="http://schemas.microsoft.com/office/infopath/2007/PartnerControls"/>
    </lcf76f155ced4ddcb4097134ff3c332f>
    <TaxCatchAll xmlns="4243d5be-521d-4052-81ca-f0f31ea6f2da" xsi:nil="true"/>
  </documentManagement>
</p:properties>
</file>

<file path=customXml/itemProps1.xml><?xml version="1.0" encoding="utf-8"?>
<ds:datastoreItem xmlns:ds="http://schemas.openxmlformats.org/officeDocument/2006/customXml" ds:itemID="{4373EE63-9ECD-4263-BA4C-41DCAC33F862}"/>
</file>

<file path=customXml/itemProps2.xml><?xml version="1.0" encoding="utf-8"?>
<ds:datastoreItem xmlns:ds="http://schemas.openxmlformats.org/officeDocument/2006/customXml" ds:itemID="{B339B1FB-7395-4537-8700-61F94DBEFAAE}"/>
</file>

<file path=customXml/itemProps3.xml><?xml version="1.0" encoding="utf-8"?>
<ds:datastoreItem xmlns:ds="http://schemas.openxmlformats.org/officeDocument/2006/customXml" ds:itemID="{E12A6E8B-7204-4E52-80BE-2C7731CD5DE4}"/>
</file>

<file path=docProps/app.xml><?xml version="1.0" encoding="utf-8"?>
<Properties xmlns="http://schemas.openxmlformats.org/officeDocument/2006/extended-properties" xmlns:vt="http://schemas.openxmlformats.org/officeDocument/2006/docPropsVTypes">
  <Template>Normal.dotm</Template>
  <TotalTime>0</TotalTime>
  <Pages>2</Pages>
  <Words>576</Words>
  <Characters>3285</Characters>
  <Application>Microsoft Office Word</Application>
  <DocSecurity>0</DocSecurity>
  <Lines>27</Lines>
  <Paragraphs>7</Paragraphs>
  <ScaleCrop>false</ScaleCrop>
  <Company>KPMG</Company>
  <LinksUpToDate>false</LinksUpToDate>
  <CharactersWithSpaces>3854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KPMG</dc:creator>
  <cp:lastModifiedBy>KPMG</cp:lastModifiedBy>
  <cp:revision>1</cp:revision>
  <dcterms:created xsi:type="dcterms:W3CDTF">2014-09-03T09:10:00Z</dcterms:created>
  <dcterms:modified xsi:type="dcterms:W3CDTF">2014-09-03T09:10:00Z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0x0101008E6070EC7B8CDA46B67D0AB247BB0995</vt:lpwstr>
  </property>
</Properties>
</file>