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794" w:type="dxa"/>
        <w:tblInd w:w="-459" w:type="dxa"/>
        <w:tblCellMar>
          <w:left w:w="0" w:type="dxa"/>
          <w:right w:w="0" w:type="dxa"/>
        </w:tblCellMar>
        <w:tblLook w:val="04A0" w:firstRow="1" w:lastRow="0" w:firstColumn="1" w:lastColumn="0" w:noHBand="0" w:noVBand="1"/>
      </w:tblPr>
      <w:tblGrid>
        <w:gridCol w:w="4678"/>
        <w:gridCol w:w="6116"/>
      </w:tblGrid>
      <w:tr w:rsidR="00CB2336" w:rsidRPr="00CB2336" w:rsidTr="00CB2336">
        <w:tc>
          <w:tcPr>
            <w:tcW w:w="4678" w:type="dxa"/>
            <w:tcMar>
              <w:top w:w="0" w:type="dxa"/>
              <w:left w:w="108" w:type="dxa"/>
              <w:bottom w:w="0" w:type="dxa"/>
              <w:right w:w="108" w:type="dxa"/>
            </w:tcMar>
            <w:hideMark/>
          </w:tcPr>
          <w:p w:rsidR="00CB2336" w:rsidRPr="00CB2336" w:rsidRDefault="00CB2336" w:rsidP="00CB2336">
            <w:pPr>
              <w:spacing w:before="100" w:beforeAutospacing="1" w:after="0" w:line="360" w:lineRule="exact"/>
              <w:jc w:val="center"/>
              <w:rPr>
                <w:rFonts w:ascii="Times New Roman" w:eastAsia="Times New Roman" w:hAnsi="Times New Roman" w:cs="Times New Roman"/>
                <w:color w:val="323232"/>
                <w:sz w:val="24"/>
                <w:szCs w:val="24"/>
              </w:rPr>
            </w:pPr>
            <w:r w:rsidRPr="00CB2336">
              <w:rPr>
                <w:rFonts w:ascii="Times New Roman" w:eastAsia="Times New Roman" w:hAnsi="Times New Roman" w:cs="Times New Roman"/>
                <w:color w:val="323232"/>
                <w:sz w:val="24"/>
                <w:szCs w:val="24"/>
                <w:lang w:val="am-ET"/>
              </w:rPr>
              <w:t>BỘ TÀI CHÍNH</w:t>
            </w:r>
            <w:r w:rsidRPr="00CB2336">
              <w:rPr>
                <w:rFonts w:ascii="Times New Roman" w:eastAsia="Times New Roman" w:hAnsi="Times New Roman" w:cs="Times New Roman"/>
                <w:color w:val="323232"/>
                <w:sz w:val="24"/>
                <w:szCs w:val="24"/>
                <w:lang w:val="am-ET"/>
              </w:rPr>
              <w:br/>
            </w:r>
            <w:r w:rsidRPr="00CB2336">
              <w:rPr>
                <w:rFonts w:ascii="Times New Roman" w:eastAsia="Times New Roman" w:hAnsi="Times New Roman" w:cs="Times New Roman"/>
                <w:b/>
                <w:bCs/>
                <w:color w:val="323232"/>
                <w:sz w:val="24"/>
                <w:szCs w:val="24"/>
                <w:lang w:val="am-ET"/>
              </w:rPr>
              <w:t>TỔNG CỤC THUẾ</w:t>
            </w:r>
            <w:r w:rsidRPr="00CB2336">
              <w:rPr>
                <w:rFonts w:ascii="Times New Roman" w:eastAsia="Times New Roman" w:hAnsi="Times New Roman" w:cs="Times New Roman"/>
                <w:b/>
                <w:bCs/>
                <w:color w:val="323232"/>
                <w:sz w:val="24"/>
                <w:szCs w:val="24"/>
                <w:lang w:val="am-ET"/>
              </w:rPr>
              <w:br/>
              <w:t>--------</w:t>
            </w:r>
          </w:p>
        </w:tc>
        <w:tc>
          <w:tcPr>
            <w:tcW w:w="6116" w:type="dxa"/>
            <w:tcMar>
              <w:top w:w="0" w:type="dxa"/>
              <w:left w:w="108" w:type="dxa"/>
              <w:bottom w:w="0" w:type="dxa"/>
              <w:right w:w="108" w:type="dxa"/>
            </w:tcMar>
            <w:hideMark/>
          </w:tcPr>
          <w:p w:rsidR="00CB2336" w:rsidRPr="00CB2336" w:rsidRDefault="00CB2336" w:rsidP="00CB2336">
            <w:pPr>
              <w:spacing w:before="100" w:beforeAutospacing="1" w:after="0" w:line="360" w:lineRule="exact"/>
              <w:jc w:val="center"/>
              <w:rPr>
                <w:rFonts w:ascii="Times New Roman" w:eastAsia="Times New Roman" w:hAnsi="Times New Roman" w:cs="Times New Roman"/>
                <w:color w:val="323232"/>
                <w:sz w:val="24"/>
                <w:szCs w:val="24"/>
              </w:rPr>
            </w:pPr>
            <w:r w:rsidRPr="00CB2336">
              <w:rPr>
                <w:rFonts w:ascii="Times New Roman" w:eastAsia="Times New Roman" w:hAnsi="Times New Roman" w:cs="Times New Roman"/>
                <w:b/>
                <w:bCs/>
                <w:color w:val="323232"/>
                <w:sz w:val="24"/>
                <w:szCs w:val="24"/>
              </w:rPr>
              <w:t>CỘNG HÒA XÃ HỘI CHỦ NGHĨA VIỆT NAM</w:t>
            </w:r>
            <w:r w:rsidRPr="00CB2336">
              <w:rPr>
                <w:rFonts w:ascii="Times New Roman" w:eastAsia="Times New Roman" w:hAnsi="Times New Roman" w:cs="Times New Roman"/>
                <w:b/>
                <w:bCs/>
                <w:color w:val="323232"/>
                <w:sz w:val="24"/>
                <w:szCs w:val="24"/>
              </w:rPr>
              <w:br/>
              <w:t>Độc lập - Tự do - Hạnh phúc </w:t>
            </w:r>
            <w:r w:rsidRPr="00CB2336">
              <w:rPr>
                <w:rFonts w:ascii="Times New Roman" w:eastAsia="Times New Roman" w:hAnsi="Times New Roman" w:cs="Times New Roman"/>
                <w:b/>
                <w:bCs/>
                <w:color w:val="323232"/>
                <w:sz w:val="24"/>
                <w:szCs w:val="24"/>
              </w:rPr>
              <w:br/>
              <w:t>---------------</w:t>
            </w:r>
          </w:p>
        </w:tc>
      </w:tr>
      <w:tr w:rsidR="00CB2336" w:rsidRPr="00CB2336" w:rsidTr="00CB2336">
        <w:tc>
          <w:tcPr>
            <w:tcW w:w="4678" w:type="dxa"/>
            <w:tcMar>
              <w:top w:w="0" w:type="dxa"/>
              <w:left w:w="108" w:type="dxa"/>
              <w:bottom w:w="0" w:type="dxa"/>
              <w:right w:w="108" w:type="dxa"/>
            </w:tcMar>
            <w:hideMark/>
          </w:tcPr>
          <w:p w:rsidR="00CB2336" w:rsidRPr="00CB2336" w:rsidRDefault="00CB2336" w:rsidP="00CB2336">
            <w:pPr>
              <w:spacing w:before="100" w:beforeAutospacing="1" w:after="0" w:line="360" w:lineRule="exact"/>
              <w:jc w:val="center"/>
              <w:rPr>
                <w:rFonts w:ascii="Times New Roman" w:eastAsia="Times New Roman" w:hAnsi="Times New Roman" w:cs="Times New Roman"/>
                <w:color w:val="323232"/>
                <w:sz w:val="24"/>
                <w:szCs w:val="24"/>
              </w:rPr>
            </w:pPr>
            <w:r w:rsidRPr="00CB2336">
              <w:rPr>
                <w:rFonts w:ascii="Times New Roman" w:eastAsia="Times New Roman" w:hAnsi="Times New Roman" w:cs="Times New Roman"/>
                <w:color w:val="323232"/>
                <w:sz w:val="24"/>
                <w:szCs w:val="24"/>
                <w:lang w:val="am-ET"/>
              </w:rPr>
              <w:t>Số: 3609 /TCT-CS</w:t>
            </w:r>
            <w:r w:rsidRPr="00CB2336">
              <w:rPr>
                <w:rFonts w:ascii="Times New Roman" w:eastAsia="Times New Roman" w:hAnsi="Times New Roman" w:cs="Times New Roman"/>
                <w:color w:val="323232"/>
                <w:sz w:val="24"/>
                <w:szCs w:val="24"/>
                <w:lang w:val="am-ET"/>
              </w:rPr>
              <w:br/>
            </w:r>
            <w:r w:rsidRPr="00CB2336">
              <w:rPr>
                <w:rFonts w:ascii="Times New Roman" w:eastAsia="Times New Roman" w:hAnsi="Times New Roman" w:cs="Times New Roman"/>
                <w:i/>
                <w:iCs/>
                <w:color w:val="323232"/>
                <w:sz w:val="26"/>
                <w:szCs w:val="26"/>
                <w:lang w:val="am-ET"/>
              </w:rPr>
              <w:t>V/v giới thiệu các nội dung mới của Thông tư số 119/2014/TT-BTC về cải cách, đơn giản thủ tục hành chính về thuế.</w:t>
            </w:r>
          </w:p>
        </w:tc>
        <w:tc>
          <w:tcPr>
            <w:tcW w:w="6116" w:type="dxa"/>
            <w:tcMar>
              <w:top w:w="0" w:type="dxa"/>
              <w:left w:w="108" w:type="dxa"/>
              <w:bottom w:w="0" w:type="dxa"/>
              <w:right w:w="108" w:type="dxa"/>
            </w:tcMar>
            <w:hideMark/>
          </w:tcPr>
          <w:p w:rsidR="00CB2336" w:rsidRPr="00CB2336" w:rsidRDefault="00CB2336" w:rsidP="00CB2336">
            <w:pPr>
              <w:spacing w:before="100" w:beforeAutospacing="1" w:after="0" w:line="360" w:lineRule="exact"/>
              <w:jc w:val="center"/>
              <w:rPr>
                <w:rFonts w:ascii="Times New Roman" w:eastAsia="Times New Roman" w:hAnsi="Times New Roman" w:cs="Times New Roman"/>
                <w:color w:val="323232"/>
                <w:sz w:val="24"/>
                <w:szCs w:val="24"/>
              </w:rPr>
            </w:pPr>
            <w:r w:rsidRPr="00CB2336">
              <w:rPr>
                <w:rFonts w:ascii="Times New Roman" w:eastAsia="Times New Roman" w:hAnsi="Times New Roman" w:cs="Times New Roman"/>
                <w:i/>
                <w:iCs/>
                <w:color w:val="323232"/>
                <w:sz w:val="24"/>
                <w:szCs w:val="24"/>
                <w:lang w:val="am-ET"/>
              </w:rPr>
              <w:t>Hà Nội, ngày 26 tháng 8 năm 2014</w:t>
            </w:r>
          </w:p>
        </w:tc>
      </w:tr>
    </w:tbl>
    <w:p w:rsidR="00CB2336" w:rsidRPr="00CB2336" w:rsidRDefault="00CB2336" w:rsidP="00CB2336">
      <w:pPr>
        <w:shd w:val="clear" w:color="auto" w:fill="FFFFFF"/>
        <w:spacing w:before="100" w:beforeAutospacing="1" w:after="0" w:line="360" w:lineRule="exact"/>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 </w:t>
      </w:r>
    </w:p>
    <w:p w:rsidR="00CB2336" w:rsidRPr="00CB2336" w:rsidRDefault="00CB2336" w:rsidP="00CB2336">
      <w:pPr>
        <w:shd w:val="clear" w:color="auto" w:fill="FFFFFF"/>
        <w:spacing w:before="100" w:beforeAutospacing="1" w:after="0" w:line="360" w:lineRule="exact"/>
        <w:jc w:val="center"/>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Kính gửi:</w:t>
      </w:r>
      <w:r w:rsidRPr="00CB2336">
        <w:rPr>
          <w:rFonts w:ascii="Times New Roman" w:eastAsia="Times New Roman" w:hAnsi="Times New Roman" w:cs="Times New Roman"/>
          <w:color w:val="333333"/>
          <w:sz w:val="24"/>
          <w:szCs w:val="24"/>
          <w:lang w:val="am-ET"/>
        </w:rPr>
        <w:t> Cục thuế các tỉnh, thành phố trực thuộc Trung ương.</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pacing w:val="-4"/>
          <w:sz w:val="24"/>
          <w:szCs w:val="24"/>
          <w:lang w:val="nl-NL"/>
        </w:rPr>
        <w:t>Thực hiện Nghị quyết số 19/NQ-CP ngày 18/3/2014 của Chính phủ về những nhiệm vụ, giải pháp chủ yếu cải thiện môi trường kinh doanh, nâng cao năng lực cạnh tranh quốc gia, n</w:t>
      </w:r>
      <w:r w:rsidRPr="00CB2336">
        <w:rPr>
          <w:rFonts w:ascii="Times New Roman" w:eastAsia="Times New Roman" w:hAnsi="Times New Roman" w:cs="Times New Roman"/>
          <w:color w:val="333333"/>
          <w:sz w:val="24"/>
          <w:szCs w:val="24"/>
          <w:lang w:val="am-ET"/>
        </w:rPr>
        <w:t>gày 25/8/2014, Bộ Tài chính đã ban hành Thông tư số 119/2014/TT-BTC hướng dẫn sửa đổi, bổ sung về nội dung và mẫu biểu của 7 Thông tư. Tổng cục Thuế giới thiệu các nội dung mới của Thông tư số 119/2014/TT-BTC và đề nghị các Cục thuế khẩn trương tuyên truyền, phổ biến, thông báo cho cán bộ thuế và người nộp thuế trên địa bàn quản lý biết. Một số nội dung mới của Thông tư số 119/2014/TT-BTC như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I. Các nội dung sửa đổi, bổ sung Thông tư số 156/2013/TT-BTC ngày 06/11/2013 của Bộ Tài chính về quản lý thuế.</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1. </w:t>
      </w:r>
      <w:r w:rsidRPr="00CB2336">
        <w:rPr>
          <w:rFonts w:ascii="Times New Roman" w:eastAsia="Times New Roman" w:hAnsi="Times New Roman" w:cs="Times New Roman"/>
          <w:color w:val="333333"/>
          <w:sz w:val="24"/>
          <w:szCs w:val="24"/>
          <w:lang w:val="am-ET"/>
        </w:rPr>
        <w:t>Ban hành mới các mẫu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a)</w:t>
      </w:r>
      <w:r w:rsidRPr="00CB2336">
        <w:rPr>
          <w:rFonts w:ascii="Times New Roman" w:eastAsia="Times New Roman" w:hAnsi="Times New Roman" w:cs="Times New Roman"/>
          <w:color w:val="333333"/>
          <w:sz w:val="24"/>
          <w:szCs w:val="24"/>
          <w:lang w:val="am-ET"/>
        </w:rPr>
        <w:t> Mẫu Tờ khai thuế GTGT dành cho người nộp thuế khai thuế GTGT theo phương pháp khấu trừ (mẫu số 01/GTGT) thay thế cho mẫu Tờ khai thuế GTGT dành cho người nộp thuế khai thuế GTGT theo phương pháp khấu trừ (mẫu số 01/GTGT) ban hành kèm theo Thông tư số 156/2013/TT-BTC ngày 06/11/2013 của Bộ Tài chính.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Vì:</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 xml:space="preserve">Theo quy định tại Thông tư số 219/2013/TT-BTC, thuế GTGT mua vào của dự án đầu tư cùng tỉnh, thành phố trực thuộc trung ương hoặc khác tỉnh, thành phố trực thuộc trung ương nơi đóng trụ sở chính của cơ sở kinh doanh đều được bù trừ với số thuế GTGT còn phải nộp của hoạt động sản xuất kinh doanh đang thực hiện. Vì vậy, sửa tên chỉ tiêu số [40b] trên Tờ khai thuế GTGT dành cho người nộp thuế khai thuế GTGT theo phương pháp khấu trừ (mẫu số 01/GTGT) </w:t>
      </w:r>
      <w:r w:rsidRPr="00CB2336">
        <w:rPr>
          <w:rFonts w:ascii="Times New Roman" w:eastAsia="Times New Roman" w:hAnsi="Times New Roman" w:cs="Times New Roman"/>
          <w:color w:val="333333"/>
          <w:sz w:val="24"/>
          <w:szCs w:val="24"/>
          <w:lang w:val="am-ET"/>
        </w:rPr>
        <w:lastRenderedPageBreak/>
        <w:t>thành</w:t>
      </w:r>
      <w:r w:rsidRPr="00CB2336">
        <w:rPr>
          <w:rFonts w:ascii="Times New Roman" w:eastAsia="Times New Roman" w:hAnsi="Times New Roman" w:cs="Times New Roman"/>
          <w:i/>
          <w:iCs/>
          <w:color w:val="333333"/>
          <w:sz w:val="24"/>
          <w:szCs w:val="24"/>
          <w:lang w:val="am-ET"/>
        </w:rPr>
        <w:t>“Thuế GTGT mua vào của dự án đầu tư được bù trừ với thuế GTGT còn phải nộp của hoạt động sản xuất kinh doanh cùng kỳ tính thuế”.</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b)</w:t>
      </w:r>
      <w:r w:rsidRPr="00CB2336">
        <w:rPr>
          <w:rFonts w:ascii="Times New Roman" w:eastAsia="Times New Roman" w:hAnsi="Times New Roman" w:cs="Times New Roman"/>
          <w:color w:val="333333"/>
          <w:sz w:val="24"/>
          <w:szCs w:val="24"/>
          <w:lang w:val="am-ET"/>
        </w:rPr>
        <w:t> Mẫu Bảng kê hóa đơn, chứng từ của hàng hóa, dịch vụ bán ra (mẫu số 01-1/GTGT) thay thế cho mẫu Bảng kê hóa đơn, chứng từ của hàng hóa, dịch vụ bán ra (mẫu số 01-1/GTGT) ban hành kèm theo Thông tư số 156/2013/TT-BTC ngày 06/11/2013 của Bộ Tài chính.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Theo đó:</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 Bỏ các cột “Ký hiệu mẫu hóa đơn”, “Ký hiệu hóa đơn”, “Mặt hàng”</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 Bỏ dòng “Hàng hóa, dịch vụ không phải tổng hợp trên tờ khai 01/GTGT”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c)</w:t>
      </w:r>
      <w:r w:rsidRPr="00CB2336">
        <w:rPr>
          <w:rFonts w:ascii="Times New Roman" w:eastAsia="Times New Roman" w:hAnsi="Times New Roman" w:cs="Times New Roman"/>
          <w:color w:val="333333"/>
          <w:sz w:val="24"/>
          <w:szCs w:val="24"/>
          <w:lang w:val="am-ET"/>
        </w:rPr>
        <w:t> Mẫu Bảng kê hóa đơn, chứng từ của hàng hóa, dịch vụ mua vào (mẫu số 01-2/GTGT) thay thế cho mẫu Bảng kê hóa đơn, chứng từ của hàng hóa, dịch vụ mua vào (mẫu số 01-2/GTGT) ban hành kèm theo Thông tư số 156/2013/TT-BTC ngày 06/11/2013 của Bộ Tài chính.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Theo đó:</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 Bỏ các cột “Ký hiệu mẫu hóa đơn”, “Ký hiệu hóa đơn”, “Mặt hàng”, “Thuế suất (%)”</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 Bỏ dòng “Hàng hóa, dịch vụ không đủ điều kiện khấu trừ”, “Hàng hóa, dịch vụ không phải tổng hợp trên tờ khai 01/GTGT”.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d)</w:t>
      </w:r>
      <w:r w:rsidRPr="00CB2336">
        <w:rPr>
          <w:rFonts w:ascii="Times New Roman" w:eastAsia="Times New Roman" w:hAnsi="Times New Roman" w:cs="Times New Roman"/>
          <w:color w:val="333333"/>
          <w:sz w:val="24"/>
          <w:szCs w:val="24"/>
          <w:lang w:val="am-ET"/>
        </w:rPr>
        <w:t> Mẫu Tờ khai thuế GTGT dành cho người nộp thuế mua bán, chế tác vàng bạc, đá quý (mẫu số 03/GTGT) thay thế cho mẫu Tờ khai thuế GTGT dành cho người nộp thuế mua bán, chế tác vàng bạc, đá quý (mẫu số 03/GTGT) ban hành kèm theo Thông tư số 156/2013/TT-BTC ngày 06/11/2013 của Bộ Tài chính.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Theo đó:</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 </w:t>
      </w:r>
      <w:r w:rsidRPr="00CB2336">
        <w:rPr>
          <w:rFonts w:ascii="Times New Roman" w:eastAsia="Times New Roman" w:hAnsi="Times New Roman" w:cs="Times New Roman"/>
          <w:color w:val="333333"/>
          <w:sz w:val="24"/>
          <w:szCs w:val="24"/>
          <w:lang w:val="am-ET"/>
        </w:rPr>
        <w:t>Sửa tên chỉ tiêu [27] thành </w:t>
      </w:r>
      <w:r w:rsidRPr="00CB2336">
        <w:rPr>
          <w:rFonts w:ascii="Times New Roman" w:eastAsia="Times New Roman" w:hAnsi="Times New Roman" w:cs="Times New Roman"/>
          <w:i/>
          <w:iCs/>
          <w:color w:val="333333"/>
          <w:sz w:val="24"/>
          <w:szCs w:val="24"/>
          <w:lang w:val="am-ET"/>
        </w:rPr>
        <w:t>“Thuế GTGT phải nộp: [27]=[26] x thuế suất thuế GTGT”</w:t>
      </w:r>
      <w:r w:rsidRPr="00CB2336">
        <w:rPr>
          <w:rFonts w:ascii="Times New Roman" w:eastAsia="Times New Roman" w:hAnsi="Times New Roman" w:cs="Times New Roman"/>
          <w:color w:val="333333"/>
          <w:sz w:val="24"/>
          <w:szCs w:val="24"/>
          <w:lang w:val="am-ET"/>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 Sửa đổi, bổ sung nội dung khoản 1 Điều 13 Thông tư số 219/2013/TT-BTC.</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đ)</w:t>
      </w:r>
      <w:r w:rsidRPr="00CB2336">
        <w:rPr>
          <w:rFonts w:ascii="Times New Roman" w:eastAsia="Times New Roman" w:hAnsi="Times New Roman" w:cs="Times New Roman"/>
          <w:color w:val="333333"/>
          <w:sz w:val="24"/>
          <w:szCs w:val="24"/>
          <w:lang w:val="am-ET"/>
        </w:rPr>
        <w:t> Mẫu Bảng kê hóa đơn, chứng từ hàng hóa, dịch vụ bán ra (mẫu số 04-1/GTGT) thay thế cho mẫu Bảng kê hóa đơn, chứng từ hàng hóa, dịch vụ bán ra (mẫu số 04-1/GTGT) ban hành kèm theo Thông tư số 156/2013/TT-BTC ngày 06/11/2013 của Bộ Tài chính.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lastRenderedPageBreak/>
        <w:t>Theo đó:</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Bỏ các cột “Ký hiệu mẫu hóa đơn”, “Ký hiệu hóa đơn”, “Mặt hàng”.</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e)</w:t>
      </w:r>
      <w:r w:rsidRPr="00CB2336">
        <w:rPr>
          <w:rFonts w:ascii="Times New Roman" w:eastAsia="Times New Roman" w:hAnsi="Times New Roman" w:cs="Times New Roman"/>
          <w:color w:val="333333"/>
          <w:sz w:val="24"/>
          <w:szCs w:val="24"/>
          <w:lang w:val="am-ET"/>
        </w:rPr>
        <w:t> Mẫu Thông báo nộp lệ phí trước bạ nhà, đất (mẫu số 01-1/LPTB) thay thế mẫu Thông báo nộp lệ phí trước bạ nhà, đất (mẫu số 01-1/LPTB) ban hành kèm theo Thông tư số 156/2013/TT-BTC ngày 06/11/2013 của Bộ Tài chính.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Theo đó:</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Bổ sung thời hạn nộp tiền chậm nhất là 30 ngày kể từ ngày nhận được Thông báo.</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g)</w:t>
      </w:r>
      <w:r w:rsidRPr="00CB2336">
        <w:rPr>
          <w:rFonts w:ascii="Times New Roman" w:eastAsia="Times New Roman" w:hAnsi="Times New Roman" w:cs="Times New Roman"/>
          <w:color w:val="333333"/>
          <w:sz w:val="24"/>
          <w:szCs w:val="24"/>
          <w:lang w:val="am-ET"/>
        </w:rPr>
        <w:t> Mẫu Tờ khai thuế thu nhập cá nhân dành cho cá nhân có thu nhập từ chuyển nhượng bất động sản; thu nhập từ nhận thừa kế và nhận quà tặng là bất động sản (mẫu số 11/KK-TNCN) thay thế cho mẫu Tờ khai thuế thu nhập cá nhân dành cho cá nhân có thu nhập từ chuyển nhượng bất động sản; thu nhập từ nhận thừa kế và nhận quà tặng là bất động sản (mẫu số 11/KK-TNCN) ban hành kèm theo Thông tư số 156/2013/TT-BTC ngày 06/11/2013 của Bộ Tài chính.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Lý do</w:t>
      </w:r>
      <w:r w:rsidRPr="00CB2336">
        <w:rPr>
          <w:rFonts w:ascii="Times New Roman" w:eastAsia="Times New Roman" w:hAnsi="Times New Roman" w:cs="Times New Roman"/>
          <w:color w:val="333333"/>
          <w:sz w:val="24"/>
          <w:szCs w:val="24"/>
          <w:lang w:val="am-ET"/>
        </w:rPr>
        <w:t>: Tại điểm b.1 khoản 6 Điều 19 và điểm b khoản 1 Điều 19 Thông tư số 119/2014/BTC-TCT đã sửa đổi như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w:t>
      </w:r>
      <w:r w:rsidRPr="00CB2336">
        <w:rPr>
          <w:rFonts w:ascii="Times New Roman" w:eastAsia="Times New Roman" w:hAnsi="Times New Roman" w:cs="Times New Roman"/>
          <w:i/>
          <w:iCs/>
          <w:color w:val="333333"/>
          <w:sz w:val="24"/>
          <w:szCs w:val="24"/>
          <w:lang w:val="am-ET"/>
        </w:rPr>
        <w:t>T</w:t>
      </w:r>
      <w:r w:rsidRPr="00CB2336">
        <w:rPr>
          <w:rFonts w:ascii="Times New Roman" w:eastAsia="Times New Roman" w:hAnsi="Times New Roman" w:cs="Times New Roman"/>
          <w:i/>
          <w:iCs/>
          <w:color w:val="333333"/>
          <w:sz w:val="24"/>
          <w:szCs w:val="24"/>
          <w:lang w:val="en"/>
        </w:rPr>
        <w:t>rường hợp nhóm cá nhân nhận thừa kế, quà tặng là bất động sản và làm thủ tục đồng sở hữu thì cá nhân đại diện khai thuế, các cá nhân khác ký tên xác nhận vào tờ khai mà không bắt buộc từng cá nhân phải khai thuế. Cơ quan thuế căn cứ tờ khai để xác định nghĩa vụ thuế riêng cho từng cá nhân nhận thừa kế, quà tặng.</w:t>
      </w:r>
      <w:r w:rsidRPr="00CB2336">
        <w:rPr>
          <w:rFonts w:ascii="Times New Roman" w:eastAsia="Times New Roman" w:hAnsi="Times New Roman" w:cs="Times New Roman"/>
          <w:color w:val="333333"/>
          <w:sz w:val="24"/>
          <w:szCs w:val="24"/>
          <w:lang w:val="en"/>
        </w:rPr>
        <w:t>”</w:t>
      </w:r>
    </w:p>
    <w:p w:rsidR="00CB2336" w:rsidRPr="00CB2336" w:rsidRDefault="00CB2336" w:rsidP="00CB2336">
      <w:pPr>
        <w:shd w:val="clear" w:color="auto" w:fill="FFFFFF"/>
        <w:spacing w:after="0" w:line="360" w:lineRule="exact"/>
        <w:ind w:right="125"/>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en"/>
        </w:rPr>
        <w:t>“</w:t>
      </w:r>
      <w:r w:rsidRPr="00CB2336">
        <w:rPr>
          <w:rFonts w:ascii="Times New Roman" w:eastAsia="Times New Roman" w:hAnsi="Times New Roman" w:cs="Times New Roman"/>
          <w:i/>
          <w:iCs/>
          <w:color w:val="333333"/>
          <w:sz w:val="24"/>
          <w:szCs w:val="24"/>
          <w:lang w:val="am-ET"/>
        </w:rPr>
        <w:t>Riêng đối với trường hợp tài sản nhận thừa kế, quà tặng là bất động sản thì hồ sơ kê khai lệ phí trước bạ không cần phải có tờ khai lệ phí trước bạ theo mẫu 01/LPTB nêu trên. Cơ quan thuế căn cứ Tờ khai thuế thu nhập cá nhân theo mẫu số 11/KK-TNCN để tính số tiền lệ phí trước bạ phải nộp của chủ tài sản và ra thông báo theo mẫu 01-1/LPTB ban hành kèm theo Thông tư này</w:t>
      </w:r>
      <w:r w:rsidRPr="00CB2336">
        <w:rPr>
          <w:rFonts w:ascii="Times New Roman" w:eastAsia="Times New Roman" w:hAnsi="Times New Roman" w:cs="Times New Roman"/>
          <w:color w:val="333333"/>
          <w:sz w:val="24"/>
          <w:szCs w:val="24"/>
          <w:lang w:val="am-ET"/>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2.</w:t>
      </w:r>
      <w:r w:rsidRPr="00CB2336">
        <w:rPr>
          <w:rFonts w:ascii="Times New Roman" w:eastAsia="Times New Roman" w:hAnsi="Times New Roman" w:cs="Times New Roman"/>
          <w:color w:val="333333"/>
          <w:sz w:val="24"/>
          <w:szCs w:val="24"/>
          <w:lang w:val="am-ET"/>
        </w:rPr>
        <w:t> Sửa đổi điểm b khoản 3 Điều 11 Thông tư số 156/2013/TT-BTC về hồ sơ khai thuế, theo đó:</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Bãi bỏ các bảng kê sau trong hồ sơ khai thuế GTGT: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 Bảng kê hàng hóa, dịch vụ được áp dụng thuế suất thuế GTGT 0% (mẫu số 01-3/GTGT).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 Bảng kê phân bổ số thuế giá trị gia tăng của hàng hóa dịch vụ mua vào được khấu trừ trong kỳ (mẫu số 01-4A/GTGT).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lastRenderedPageBreak/>
        <w:t>+ Bảng kê khai điều chỉnh thuế GTGT đầu vào phân bổ được khấu trừ năm (mẫu số 01-4B/GTGT).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 Bảng kê số lượng xe ô tô, xe hai bánh gắn máy bán ra (mẫu số 01-7/GTGT)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3. </w:t>
      </w:r>
      <w:r w:rsidRPr="00CB2336">
        <w:rPr>
          <w:rFonts w:ascii="Times New Roman" w:eastAsia="Times New Roman" w:hAnsi="Times New Roman" w:cs="Times New Roman"/>
          <w:color w:val="333333"/>
          <w:sz w:val="24"/>
          <w:szCs w:val="24"/>
          <w:lang w:val="am-ET"/>
        </w:rPr>
        <w:t>Sửa đổi, bổ sung điểm a, d, đ và e khoản 8 Điều 11 Thông tư số 156/2013/TT-BTC như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3.1.</w:t>
      </w:r>
      <w:r w:rsidRPr="00CB2336">
        <w:rPr>
          <w:rFonts w:ascii="Times New Roman" w:eastAsia="Times New Roman" w:hAnsi="Times New Roman" w:cs="Times New Roman"/>
          <w:color w:val="333333"/>
          <w:sz w:val="24"/>
          <w:szCs w:val="24"/>
          <w:lang w:val="am-ET"/>
        </w:rPr>
        <w:t> Do gạch bỏ dòng “5. Hàng hóa, dịch vụ không phải tổng hợp trên tờ khai 01/GTGT” tại Bảng kê mẫu số 01-1/GTGT và Bảng kê mẫu số 01-2/GTGT, theo đó:</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 Bãi bỏ các hướng dẫn về khai dòng 5 trên Bảng kê 01-1/GTGT và Bảng kê 01-2/GTGT hướng dẫn tại các điểm a, d, đ và e khoản 8 Điều 11 Thông tư 156/2013/TT-BTC.</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 </w:t>
      </w:r>
      <w:r w:rsidRPr="00CB2336">
        <w:rPr>
          <w:rFonts w:ascii="Times New Roman" w:eastAsia="Times New Roman" w:hAnsi="Times New Roman" w:cs="Times New Roman"/>
          <w:color w:val="333333"/>
          <w:sz w:val="24"/>
          <w:szCs w:val="24"/>
          <w:lang w:val="am-ET"/>
        </w:rPr>
        <w:t>Bãi bỏ nội dung tại khoản 12 Điều 11 Thông tư số 156/2013/TT-BTC.</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3.2.</w:t>
      </w:r>
      <w:r w:rsidRPr="00CB2336">
        <w:rPr>
          <w:rFonts w:ascii="Times New Roman" w:eastAsia="Times New Roman" w:hAnsi="Times New Roman" w:cs="Times New Roman"/>
          <w:color w:val="333333"/>
          <w:sz w:val="24"/>
          <w:szCs w:val="24"/>
          <w:lang w:val="am-ET"/>
        </w:rPr>
        <w:t> Bổ sung hướng dẫn về việc kê khai tổng hợp, không phải kê khai theo từng hóa đơn đối với “</w:t>
      </w:r>
      <w:r w:rsidRPr="00CB2336">
        <w:rPr>
          <w:rFonts w:ascii="Times New Roman" w:eastAsia="Times New Roman" w:hAnsi="Times New Roman" w:cs="Times New Roman"/>
          <w:i/>
          <w:iCs/>
          <w:color w:val="333333"/>
          <w:sz w:val="24"/>
          <w:szCs w:val="24"/>
          <w:lang w:val="am-ET"/>
        </w:rPr>
        <w:t>hàng hóa, dịch vụ thuộc đối tượng không chịu thuế GTGT</w:t>
      </w:r>
      <w:r w:rsidRPr="00CB2336">
        <w:rPr>
          <w:rFonts w:ascii="Times New Roman" w:eastAsia="Times New Roman" w:hAnsi="Times New Roman" w:cs="Times New Roman"/>
          <w:color w:val="333333"/>
          <w:sz w:val="24"/>
          <w:szCs w:val="24"/>
          <w:lang w:val="am-ET"/>
        </w:rPr>
        <w:t>”, cụ thể sửa đổi điểm e khoản 8 Điều 11.</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4. </w:t>
      </w:r>
      <w:r w:rsidRPr="00CB2336">
        <w:rPr>
          <w:rFonts w:ascii="Times New Roman" w:eastAsia="Times New Roman" w:hAnsi="Times New Roman" w:cs="Times New Roman"/>
          <w:color w:val="333333"/>
          <w:sz w:val="24"/>
          <w:szCs w:val="24"/>
          <w:lang w:val="am-ET"/>
        </w:rPr>
        <w:t>Sửa đổi, bổ sung nội dung về khai, nộp thuế TNCN tại Điều 16 Thông tư số 156/2013/TT-BTC như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a)</w:t>
      </w:r>
      <w:r w:rsidRPr="00CB2336">
        <w:rPr>
          <w:rFonts w:ascii="Times New Roman" w:eastAsia="Times New Roman" w:hAnsi="Times New Roman" w:cs="Times New Roman"/>
          <w:color w:val="333333"/>
          <w:sz w:val="24"/>
          <w:szCs w:val="24"/>
          <w:lang w:val="am-ET"/>
        </w:rPr>
        <w:t> Bổ sung hướng dẫn tại điểm b.2.1, khoản 2 Điều 16 như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w:t>
      </w:r>
      <w:r w:rsidRPr="00CB2336">
        <w:rPr>
          <w:rFonts w:ascii="Times New Roman" w:eastAsia="Times New Roman" w:hAnsi="Times New Roman" w:cs="Times New Roman"/>
          <w:i/>
          <w:iCs/>
          <w:color w:val="333333"/>
          <w:sz w:val="24"/>
          <w:szCs w:val="24"/>
          <w:lang w:val="en"/>
        </w:rPr>
        <w:t>Trường hợp tổ chức trả thu nhập không cấp chứng từ khấu trừ thuế cho cá nhân do tổ chức trả thu nhập đã chấm dứt hoạt động thì cơ quan thuế căn cứ cơ sở dữ liệu của ngành thuế để xem xét xử lý hồ sơ quyết toán thuế cho cá nhân mà không bắt buộc phải có chứng từ khấu trừ thuế</w:t>
      </w:r>
      <w:r w:rsidRPr="00CB2336">
        <w:rPr>
          <w:rFonts w:ascii="Times New Roman" w:eastAsia="Times New Roman" w:hAnsi="Times New Roman" w:cs="Times New Roman"/>
          <w:i/>
          <w:iCs/>
          <w:color w:val="333333"/>
          <w:sz w:val="24"/>
          <w:szCs w:val="24"/>
          <w:lang w:val="am-ET"/>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en"/>
        </w:rPr>
        <w:t>b)</w:t>
      </w:r>
      <w:r w:rsidRPr="00CB2336">
        <w:rPr>
          <w:rFonts w:ascii="Times New Roman" w:eastAsia="Times New Roman" w:hAnsi="Times New Roman" w:cs="Times New Roman"/>
          <w:color w:val="333333"/>
          <w:sz w:val="24"/>
          <w:szCs w:val="24"/>
          <w:lang w:val="en"/>
        </w:rPr>
        <w:t> Sửa đổi dấu cộng thứ nhất, gạch đầu dòng thứ hai, điểm c.2.1, khoản 2 Điều 16 </w:t>
      </w:r>
      <w:r w:rsidRPr="00CB2336">
        <w:rPr>
          <w:rFonts w:ascii="Times New Roman" w:eastAsia="Times New Roman" w:hAnsi="Times New Roman" w:cs="Times New Roman"/>
          <w:color w:val="333333"/>
          <w:sz w:val="24"/>
          <w:szCs w:val="24"/>
          <w:lang w:val="am-ET"/>
        </w:rPr>
        <w:t>theo đó gạch bỏ cụm từ “</w:t>
      </w:r>
      <w:r w:rsidRPr="00CB2336">
        <w:rPr>
          <w:rFonts w:ascii="Times New Roman" w:eastAsia="Times New Roman" w:hAnsi="Times New Roman" w:cs="Times New Roman"/>
          <w:b/>
          <w:bCs/>
          <w:i/>
          <w:iCs/>
          <w:color w:val="333333"/>
          <w:sz w:val="24"/>
          <w:szCs w:val="24"/>
          <w:lang w:val="am-ET"/>
        </w:rPr>
        <w:t>trong năm</w:t>
      </w:r>
      <w:r w:rsidRPr="00CB2336">
        <w:rPr>
          <w:rFonts w:ascii="Times New Roman" w:eastAsia="Times New Roman" w:hAnsi="Times New Roman" w:cs="Times New Roman"/>
          <w:color w:val="333333"/>
          <w:sz w:val="24"/>
          <w:szCs w:val="24"/>
          <w:lang w:val="am-ET"/>
        </w:rPr>
        <w:t>” để bao quát trường hợp cá nhân thay đổi nơi làm việc trong thời hạn quyết toán thuế (không phải trong năm quyết toán).</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c</w:t>
      </w:r>
      <w:r w:rsidRPr="00CB2336">
        <w:rPr>
          <w:rFonts w:ascii="Times New Roman" w:eastAsia="Times New Roman" w:hAnsi="Times New Roman" w:cs="Times New Roman"/>
          <w:b/>
          <w:bCs/>
          <w:color w:val="333333"/>
          <w:sz w:val="24"/>
          <w:szCs w:val="24"/>
          <w:lang w:val="en"/>
        </w:rPr>
        <w:t>)</w:t>
      </w:r>
      <w:r w:rsidRPr="00CB2336">
        <w:rPr>
          <w:rFonts w:ascii="Times New Roman" w:eastAsia="Times New Roman" w:hAnsi="Times New Roman" w:cs="Times New Roman"/>
          <w:color w:val="333333"/>
          <w:sz w:val="24"/>
          <w:szCs w:val="24"/>
          <w:lang w:val="en"/>
        </w:rPr>
        <w:t> Sửa đổi, bổ sung điểm c, khoản 6, Điều 16 </w:t>
      </w:r>
      <w:r w:rsidRPr="00CB2336">
        <w:rPr>
          <w:rFonts w:ascii="Times New Roman" w:eastAsia="Times New Roman" w:hAnsi="Times New Roman" w:cs="Times New Roman"/>
          <w:color w:val="333333"/>
          <w:sz w:val="24"/>
          <w:szCs w:val="24"/>
          <w:lang w:val="am-ET"/>
        </w:rPr>
        <w:t>nhằm giảm thủ tục hành chính cho cá nhân nhận thừa kế, quà tặng là chứng khoán và phần vốn góp của nhiều công ty tại các địa bàn khác nhau, theo đó, bổ sung hướng dẫn như sau:“</w:t>
      </w:r>
      <w:r w:rsidRPr="00CB2336">
        <w:rPr>
          <w:rFonts w:ascii="Times New Roman" w:eastAsia="Times New Roman" w:hAnsi="Times New Roman" w:cs="Times New Roman"/>
          <w:i/>
          <w:iCs/>
          <w:color w:val="333333"/>
          <w:sz w:val="24"/>
          <w:szCs w:val="24"/>
          <w:lang w:val="en"/>
        </w:rPr>
        <w:t>Trường hợp cá nhân đồng thời nhận thừa kế, quà tặng của nhiều loại chứng khoán, phần vốn góp thì nộp hồ sơ khai thuế tại Chi cục thuế nơi cá nhân cư trú (nơi đăng ký thường trú hoặc tạm trú).</w:t>
      </w:r>
      <w:r w:rsidRPr="00CB2336">
        <w:rPr>
          <w:rFonts w:ascii="Times New Roman" w:eastAsia="Times New Roman" w:hAnsi="Times New Roman" w:cs="Times New Roman"/>
          <w:color w:val="333333"/>
          <w:sz w:val="24"/>
          <w:szCs w:val="24"/>
          <w:lang w:val="en"/>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en"/>
        </w:rPr>
        <w:lastRenderedPageBreak/>
        <w:t>5</w:t>
      </w:r>
      <w:r w:rsidRPr="00CB2336">
        <w:rPr>
          <w:rFonts w:ascii="Times New Roman" w:eastAsia="Times New Roman" w:hAnsi="Times New Roman" w:cs="Times New Roman"/>
          <w:b/>
          <w:bCs/>
          <w:color w:val="333333"/>
          <w:sz w:val="24"/>
          <w:szCs w:val="24"/>
          <w:lang w:val="am-ET"/>
        </w:rPr>
        <w:t>.</w:t>
      </w:r>
      <w:r w:rsidRPr="00CB2336">
        <w:rPr>
          <w:rFonts w:ascii="Times New Roman" w:eastAsia="Times New Roman" w:hAnsi="Times New Roman" w:cs="Times New Roman"/>
          <w:color w:val="333333"/>
          <w:sz w:val="24"/>
          <w:szCs w:val="24"/>
          <w:lang w:val="am-ET"/>
        </w:rPr>
        <w:t> </w:t>
      </w:r>
      <w:r w:rsidRPr="00CB2336">
        <w:rPr>
          <w:rFonts w:ascii="Times New Roman" w:eastAsia="Times New Roman" w:hAnsi="Times New Roman" w:cs="Times New Roman"/>
          <w:color w:val="333333"/>
          <w:sz w:val="24"/>
          <w:szCs w:val="24"/>
          <w:lang w:val="en"/>
        </w:rPr>
        <w:t>Làm rõ hướng dẫn tại khổ thứ 2, 3, 4 khoản 11 Điều 21 về xác định số thuế hộ nộp thuế khoán được miễn, giảm do tạm ngừng, nghỉ kinh doanh, cụ thể:</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en"/>
        </w:rPr>
        <w:t>“</w:t>
      </w:r>
      <w:r w:rsidRPr="00CB2336">
        <w:rPr>
          <w:rFonts w:ascii="Times New Roman" w:eastAsia="Times New Roman" w:hAnsi="Times New Roman" w:cs="Times New Roman"/>
          <w:i/>
          <w:iCs/>
          <w:color w:val="333333"/>
          <w:sz w:val="24"/>
          <w:szCs w:val="24"/>
          <w:lang w:val="am-ET"/>
        </w:rPr>
        <w:t>Số thuế Hộ nộp thuế khoán được miễn, giảm do tạm ngừng, nghỉ kinh doanh được xác định như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am-ET"/>
        </w:rPr>
        <w:t>Trường hợp Hộ nộp thuế khoán nghỉ liên tục từ trọn 01 (một) tháng (từ ngày mùng 01 đến hết ngày cuối cùng của tháng đó) trở lên được giảm 1/3 số thuế phải nộp của quý; tương tự nếu nghỉ liên tục trọn 02 (hai) tháng trở lên được giảm 2/3 số thuế phải nộp của quý, nếu nghỉ trọn quý được giảm toàn bộ số thuế phải nộp của quý. Trường hợp Hộ nộp thuế khoán tạm ngừng, nghỉ kinh doanh không trọn tháng thì không được giảm thuế khoán phải nộp của tháng.</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am-ET"/>
        </w:rPr>
        <w:t>Trường hợp trong thời gian nghỉ kinh doanh, Hộ nộp thuế khoán vẫn kinh doanh thì phải nộp thuế theo thông báo của cơ quan thuế</w:t>
      </w:r>
      <w:r w:rsidRPr="00CB2336">
        <w:rPr>
          <w:rFonts w:ascii="Times New Roman" w:eastAsia="Times New Roman" w:hAnsi="Times New Roman" w:cs="Times New Roman"/>
          <w:color w:val="333333"/>
          <w:sz w:val="24"/>
          <w:szCs w:val="24"/>
          <w:lang w:val="am-ET"/>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6.</w:t>
      </w:r>
      <w:r w:rsidRPr="00CB2336">
        <w:rPr>
          <w:rFonts w:ascii="Times New Roman" w:eastAsia="Times New Roman" w:hAnsi="Times New Roman" w:cs="Times New Roman"/>
          <w:color w:val="333333"/>
          <w:sz w:val="24"/>
          <w:szCs w:val="24"/>
          <w:lang w:val="am-ET"/>
        </w:rPr>
        <w:t> Bổ sung hướng dẫn tại khoản 1 Điều 22</w:t>
      </w:r>
      <w:r w:rsidRPr="00CB2336">
        <w:rPr>
          <w:rFonts w:ascii="Times New Roman" w:eastAsia="Times New Roman" w:hAnsi="Times New Roman" w:cs="Times New Roman"/>
          <w:i/>
          <w:iCs/>
          <w:color w:val="333333"/>
          <w:sz w:val="24"/>
          <w:szCs w:val="24"/>
          <w:lang w:val="am-ET"/>
        </w:rPr>
        <w:t> </w:t>
      </w:r>
      <w:r w:rsidRPr="00CB2336">
        <w:rPr>
          <w:rFonts w:ascii="Times New Roman" w:eastAsia="Times New Roman" w:hAnsi="Times New Roman" w:cs="Times New Roman"/>
          <w:color w:val="333333"/>
          <w:sz w:val="24"/>
          <w:szCs w:val="24"/>
          <w:lang w:val="am-ET"/>
        </w:rPr>
        <w:t>Thông tư 156/2013/TT-BTC về sử dụng hóa đơn, kê khai, nộp thuế đối với hộ, cá nhân có tài sản cho thuê như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am-ET"/>
        </w:rPr>
        <w:t>“</w:t>
      </w:r>
      <w:r w:rsidRPr="00CB2336">
        <w:rPr>
          <w:rFonts w:ascii="Times New Roman" w:eastAsia="Times New Roman" w:hAnsi="Times New Roman" w:cs="Times New Roman"/>
          <w:i/>
          <w:iCs/>
          <w:color w:val="333333"/>
          <w:sz w:val="24"/>
          <w:szCs w:val="24"/>
          <w:lang w:val="en"/>
        </w:rPr>
        <w:t>Riêng đối với hộ gia đình, cá nhân có tài sản cho thuê mà tổng số tiền cho thuê </w:t>
      </w:r>
      <w:r w:rsidRPr="00CB2336">
        <w:rPr>
          <w:rFonts w:ascii="Times New Roman" w:eastAsia="Times New Roman" w:hAnsi="Times New Roman" w:cs="Times New Roman"/>
          <w:i/>
          <w:iCs/>
          <w:color w:val="333333"/>
          <w:sz w:val="24"/>
          <w:szCs w:val="24"/>
          <w:lang w:val="am-ET"/>
        </w:rPr>
        <w:t>trong</w:t>
      </w:r>
      <w:r w:rsidRPr="00CB2336">
        <w:rPr>
          <w:rFonts w:ascii="Times New Roman" w:eastAsia="Times New Roman" w:hAnsi="Times New Roman" w:cs="Times New Roman"/>
          <w:i/>
          <w:iCs/>
          <w:color w:val="333333"/>
          <w:sz w:val="24"/>
          <w:szCs w:val="24"/>
          <w:lang w:val="en"/>
        </w:rPr>
        <w:t> năm thu được từ một trăm triệu đồng trở xuống </w:t>
      </w:r>
      <w:r w:rsidRPr="00CB2336">
        <w:rPr>
          <w:rFonts w:ascii="Times New Roman" w:eastAsia="Times New Roman" w:hAnsi="Times New Roman" w:cs="Times New Roman"/>
          <w:i/>
          <w:iCs/>
          <w:color w:val="333333"/>
          <w:sz w:val="24"/>
          <w:szCs w:val="24"/>
          <w:lang w:val="am-ET"/>
        </w:rPr>
        <w:t>hoặc tổng </w:t>
      </w:r>
      <w:r w:rsidRPr="00CB2336">
        <w:rPr>
          <w:rFonts w:ascii="Times New Roman" w:eastAsia="Times New Roman" w:hAnsi="Times New Roman" w:cs="Times New Roman"/>
          <w:i/>
          <w:iCs/>
          <w:color w:val="333333"/>
          <w:sz w:val="24"/>
          <w:szCs w:val="24"/>
          <w:lang w:val="en"/>
        </w:rPr>
        <w:t>số tiền cho thuê trung bình một tháng trong năm từ 8,</w:t>
      </w:r>
      <w:r w:rsidRPr="00CB2336">
        <w:rPr>
          <w:rFonts w:ascii="Times New Roman" w:eastAsia="Times New Roman" w:hAnsi="Times New Roman" w:cs="Times New Roman"/>
          <w:i/>
          <w:iCs/>
          <w:color w:val="333333"/>
          <w:sz w:val="24"/>
          <w:szCs w:val="24"/>
          <w:lang w:val="am-ET"/>
        </w:rPr>
        <w:t>4 </w:t>
      </w:r>
      <w:r w:rsidRPr="00CB2336">
        <w:rPr>
          <w:rFonts w:ascii="Times New Roman" w:eastAsia="Times New Roman" w:hAnsi="Times New Roman" w:cs="Times New Roman"/>
          <w:i/>
          <w:iCs/>
          <w:color w:val="333333"/>
          <w:sz w:val="24"/>
          <w:szCs w:val="24"/>
          <w:lang w:val="en"/>
        </w:rPr>
        <w:t>triệu đồng trở xuống thì không phải khai, nộp thuế GTGT, thuế TNCN và cơ quan thuế không thực hiện cấp hóa đơn lẻ đối với trường hợp này</w:t>
      </w:r>
      <w:r w:rsidRPr="00CB2336">
        <w:rPr>
          <w:rFonts w:ascii="Times New Roman" w:eastAsia="Times New Roman" w:hAnsi="Times New Roman" w:cs="Times New Roman"/>
          <w:color w:val="333333"/>
          <w:sz w:val="24"/>
          <w:szCs w:val="24"/>
          <w:lang w:val="am-ET"/>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7.</w:t>
      </w:r>
      <w:r w:rsidRPr="00CB2336">
        <w:rPr>
          <w:rFonts w:ascii="Times New Roman" w:eastAsia="Times New Roman" w:hAnsi="Times New Roman" w:cs="Times New Roman"/>
          <w:i/>
          <w:iCs/>
          <w:color w:val="333333"/>
          <w:sz w:val="24"/>
          <w:szCs w:val="24"/>
          <w:lang w:val="am-ET"/>
        </w:rPr>
        <w:t> </w:t>
      </w:r>
      <w:r w:rsidRPr="00CB2336">
        <w:rPr>
          <w:rFonts w:ascii="Times New Roman" w:eastAsia="Times New Roman" w:hAnsi="Times New Roman" w:cs="Times New Roman"/>
          <w:color w:val="333333"/>
          <w:sz w:val="24"/>
          <w:szCs w:val="24"/>
          <w:lang w:val="am-ET"/>
        </w:rPr>
        <w:t>Để đảm bảo nguồn thu hợp lý cho các địa phương, sửa đổi, bổ sung khổ thứ 6, 7, 8, 9 khoản 3 Điều 28 như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pacing w:val="4"/>
          <w:sz w:val="24"/>
          <w:szCs w:val="24"/>
          <w:lang w:val="nl-NL"/>
        </w:rPr>
        <w:t>“</w:t>
      </w:r>
      <w:r w:rsidRPr="00CB2336">
        <w:rPr>
          <w:rFonts w:ascii="Times New Roman" w:eastAsia="Times New Roman" w:hAnsi="Times New Roman" w:cs="Times New Roman"/>
          <w:i/>
          <w:iCs/>
          <w:color w:val="333333"/>
          <w:spacing w:val="4"/>
          <w:sz w:val="24"/>
          <w:szCs w:val="24"/>
          <w:lang w:val="en"/>
        </w:rPr>
        <w:t>Kho bạc nhà nước có trách nhiệm phối hợp chặt chẽ với cơ quan thuế đồng cấp trong việc khấu trừ thu thuế GTGT các công trình xây dựng cơ bản bằng nguồn vốn ngân sách nhà nước trên địa bàn, đồng thời hạch toán thu ngân sách nhà nước đối với số thuế GTGT đã khấu trừ theo nguyên tắc:</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pacing w:val="4"/>
          <w:sz w:val="24"/>
          <w:szCs w:val="24"/>
          <w:lang w:val="en"/>
        </w:rPr>
        <w:t>Công trình xây dựng cơ bản phát sinh tại địa phương cấp tỉnh nào, thì số thuế GTGT khấu trừ sẽ được hạch toán vào thu ngân sách của địa phương cấp tỉnh đó.</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pacing w:val="4"/>
          <w:sz w:val="24"/>
          <w:szCs w:val="24"/>
          <w:lang w:val="en"/>
        </w:rPr>
        <w:t>Đối với các công trình liên tỉnh thì chủ đầu tư phải tự xác định doanh thu công trình chi tiết theo từng tỉnh gửi Kho bạc nhà nước để khấu trừ thuế GTGT và hạch toán thu ngân sách cho từng tỉnh.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nl-NL"/>
        </w:rPr>
        <w:lastRenderedPageBreak/>
        <w:t>Đối với các công trình liên huyện, nếu xác định được doanh thu công trình chi tiết theo từng huyện, thì số thuế GTGT khấu trừ sẽ được Kho bạc Nhà nước hạch toán vào thu ngân sách của từng huyện tương ứng với số phát sinh doanh thu công trình. Đối với các công trình liên huyện mà không xác định được chính xác doanh thu công trình chi tiết theo từng địa bàn huyện, thì chủ đầu tư xác định tỷ lệ doanh thu của công trình trên từng địa bàn gửi KBNN thực hiện khấu trừ thuế GTGT, trường hợp chủ đầu tư không xác định được tỷ lệ doanh thu của công trình trên từng địa bàn thì giao</w:t>
      </w:r>
      <w:r w:rsidRPr="00CB2336">
        <w:rPr>
          <w:rFonts w:ascii="Times New Roman" w:eastAsia="Times New Roman" w:hAnsi="Times New Roman" w:cs="Times New Roman"/>
          <w:i/>
          <w:iCs/>
          <w:color w:val="000000"/>
          <w:sz w:val="24"/>
          <w:szCs w:val="24"/>
          <w:lang w:val="nl-NL"/>
        </w:rPr>
        <w:t>Cục trưởng Cục thuế</w:t>
      </w:r>
      <w:r w:rsidRPr="00CB2336">
        <w:rPr>
          <w:rFonts w:ascii="Times New Roman" w:eastAsia="Times New Roman" w:hAnsi="Times New Roman" w:cs="Times New Roman"/>
          <w:i/>
          <w:iCs/>
          <w:color w:val="FF0000"/>
          <w:sz w:val="24"/>
          <w:szCs w:val="24"/>
          <w:lang w:val="nl-NL"/>
        </w:rPr>
        <w:t> </w:t>
      </w:r>
      <w:r w:rsidRPr="00CB2336">
        <w:rPr>
          <w:rFonts w:ascii="Times New Roman" w:eastAsia="Times New Roman" w:hAnsi="Times New Roman" w:cs="Times New Roman"/>
          <w:i/>
          <w:iCs/>
          <w:color w:val="333333"/>
          <w:sz w:val="24"/>
          <w:szCs w:val="24"/>
          <w:lang w:val="nl-NL"/>
        </w:rPr>
        <w:t>xem xét quyết định.</w:t>
      </w:r>
      <w:r w:rsidRPr="00CB2336">
        <w:rPr>
          <w:rFonts w:ascii="Times New Roman" w:eastAsia="Times New Roman" w:hAnsi="Times New Roman" w:cs="Times New Roman"/>
          <w:color w:val="333333"/>
          <w:sz w:val="24"/>
          <w:szCs w:val="24"/>
          <w:lang w:val="nl-NL"/>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nl-NL"/>
        </w:rPr>
        <w:t>II. </w:t>
      </w:r>
      <w:r w:rsidRPr="00CB2336">
        <w:rPr>
          <w:rFonts w:ascii="Times New Roman" w:eastAsia="Times New Roman" w:hAnsi="Times New Roman" w:cs="Times New Roman"/>
          <w:b/>
          <w:bCs/>
          <w:color w:val="000000"/>
          <w:sz w:val="24"/>
          <w:szCs w:val="24"/>
          <w:lang w:val="nl-NL"/>
        </w:rPr>
        <w:t>Bổ sung hướng dẫn các khổ 1, 2, 3, 4 Điều 1 Thông</w:t>
      </w:r>
      <w:r w:rsidRPr="00CB2336">
        <w:rPr>
          <w:rFonts w:ascii="Times New Roman" w:eastAsia="Times New Roman" w:hAnsi="Times New Roman" w:cs="Times New Roman"/>
          <w:b/>
          <w:bCs/>
          <w:color w:val="333333"/>
          <w:sz w:val="24"/>
          <w:szCs w:val="24"/>
          <w:lang w:val="nl-NL"/>
        </w:rPr>
        <w:t> tư số 111/2013/TT-BTC ngày 15/8/2013 của Bộ Tài chính về thuế thu nhập cá nhân như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nl-NL"/>
        </w:rPr>
        <w:t>“</w:t>
      </w:r>
      <w:r w:rsidRPr="00CB2336">
        <w:rPr>
          <w:rFonts w:ascii="Times New Roman" w:eastAsia="Times New Roman" w:hAnsi="Times New Roman" w:cs="Times New Roman"/>
          <w:i/>
          <w:iCs/>
          <w:color w:val="333333"/>
          <w:sz w:val="24"/>
          <w:szCs w:val="24"/>
          <w:lang w:val="nl-NL"/>
        </w:rPr>
        <w:t>Đối với cá nhân là công dân của quốc gia, vùng lãnh thổ đã ký kết Hiệp định với Việt Nam về tránh đánh thuế hai lần và ngăn ngừa việc trốn lậu thuế đối với các loại thuế đánh vào thu nhập và là cá nhân cư trú tại Việt Nam thì nghĩa vụ thuế thu nhập cá nhân được tính từ tháng đến Việt Nam trong trường hợp cá nhân lần đầu tiên có mặt tại Việt Nam đến tháng kết thúc hợp đồng lao động và rời Việt Nam (được tính đủ theo tháng) không phải thực hiện các thủ tục xác nhận lãnh sự để được thực hiện không thu thuế trùng hai lần theo Hiệp định tránh đánh thuế trùng giữa hai quốc gia</w:t>
      </w:r>
      <w:r w:rsidRPr="00CB2336">
        <w:rPr>
          <w:rFonts w:ascii="Times New Roman" w:eastAsia="Times New Roman" w:hAnsi="Times New Roman" w:cs="Times New Roman"/>
          <w:color w:val="333333"/>
          <w:sz w:val="24"/>
          <w:szCs w:val="24"/>
          <w:lang w:val="nl-NL"/>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nl-NL"/>
        </w:rPr>
        <w:t>III. Nội dung sửa đổi, bổ sung Thông tư số 219/2013/TT-BTC ngày 31/12/2013 của Bộ Tài chính về thuế giá trị gia tăng.</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nl-NL"/>
        </w:rPr>
        <w:t>1.</w:t>
      </w:r>
      <w:r w:rsidRPr="00CB2336">
        <w:rPr>
          <w:rFonts w:ascii="Times New Roman" w:eastAsia="Times New Roman" w:hAnsi="Times New Roman" w:cs="Times New Roman"/>
          <w:color w:val="333333"/>
          <w:sz w:val="24"/>
          <w:szCs w:val="24"/>
          <w:lang w:val="nl-NL"/>
        </w:rPr>
        <w:t> Bổ sung hướng dẫn về việc cơ quan hải quan không thu thuế GTGT ở khâu nhập khẩu trong trường hợp nhập khẩu hàng hóa đã xuất khẩu nhưng bị phía nước ngoài trả lại, cụ thể bổ sung thêm điểm g khoản 7 Điều 5 về các trường hợp không phải kê khai, tính nộp thuế GTGT.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nl-NL"/>
        </w:rPr>
        <w:t>2. </w:t>
      </w:r>
      <w:r w:rsidRPr="00CB2336">
        <w:rPr>
          <w:rFonts w:ascii="Times New Roman" w:eastAsia="Times New Roman" w:hAnsi="Times New Roman" w:cs="Times New Roman"/>
          <w:color w:val="333333"/>
          <w:sz w:val="24"/>
          <w:szCs w:val="24"/>
          <w:lang w:val="nl-NL"/>
        </w:rPr>
        <w:t xml:space="preserve">Sửa đổi, bổ sung khoản 4 Điều 7 về </w:t>
      </w:r>
      <w:r w:rsidRPr="0065439A">
        <w:rPr>
          <w:rFonts w:ascii="Times New Roman" w:eastAsia="Times New Roman" w:hAnsi="Times New Roman" w:cs="Times New Roman"/>
          <w:color w:val="333333"/>
          <w:sz w:val="24"/>
          <w:szCs w:val="24"/>
          <w:highlight w:val="yellow"/>
          <w:lang w:val="nl-NL"/>
        </w:rPr>
        <w:t>giá tính thuế GTGT đối với </w:t>
      </w:r>
      <w:r w:rsidRPr="0065439A">
        <w:rPr>
          <w:rFonts w:ascii="Times New Roman" w:eastAsia="Times New Roman" w:hAnsi="Times New Roman" w:cs="Times New Roman"/>
          <w:color w:val="333333"/>
          <w:sz w:val="24"/>
          <w:szCs w:val="24"/>
          <w:highlight w:val="yellow"/>
          <w:lang w:val="am-ET"/>
        </w:rPr>
        <w:t>sản phẩm, hàng hoá, dịch vụ tiêu dùng nội bộ</w:t>
      </w:r>
      <w:r w:rsidRPr="0065439A">
        <w:rPr>
          <w:rFonts w:ascii="Times New Roman" w:eastAsia="Times New Roman" w:hAnsi="Times New Roman" w:cs="Times New Roman"/>
          <w:color w:val="333333"/>
          <w:sz w:val="24"/>
          <w:szCs w:val="24"/>
          <w:highlight w:val="yellow"/>
          <w:lang w:val="nl-NL"/>
        </w:rPr>
        <w:t>,</w:t>
      </w:r>
      <w:r w:rsidRPr="00CB2336">
        <w:rPr>
          <w:rFonts w:ascii="Times New Roman" w:eastAsia="Times New Roman" w:hAnsi="Times New Roman" w:cs="Times New Roman"/>
          <w:color w:val="333333"/>
          <w:sz w:val="24"/>
          <w:szCs w:val="24"/>
          <w:lang w:val="nl-NL"/>
        </w:rPr>
        <w:t xml:space="preserve"> cụ thể:</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000000"/>
          <w:sz w:val="24"/>
          <w:szCs w:val="24"/>
          <w:lang w:val="nl-NL"/>
        </w:rPr>
        <w:t>“</w:t>
      </w:r>
      <w:r w:rsidRPr="0065439A">
        <w:rPr>
          <w:rFonts w:ascii="Times New Roman" w:eastAsia="Times New Roman" w:hAnsi="Times New Roman" w:cs="Times New Roman"/>
          <w:i/>
          <w:iCs/>
          <w:color w:val="000000"/>
          <w:sz w:val="24"/>
          <w:szCs w:val="24"/>
          <w:highlight w:val="yellow"/>
          <w:lang w:val="am-ET"/>
        </w:rPr>
        <w:t>Hàng hóa luân chuyển nội bộ</w:t>
      </w:r>
      <w:r w:rsidRPr="00CB2336">
        <w:rPr>
          <w:rFonts w:ascii="Times New Roman" w:eastAsia="Times New Roman" w:hAnsi="Times New Roman" w:cs="Times New Roman"/>
          <w:i/>
          <w:iCs/>
          <w:color w:val="000000"/>
          <w:sz w:val="24"/>
          <w:szCs w:val="24"/>
          <w:lang w:val="am-ET"/>
        </w:rPr>
        <w:t> </w:t>
      </w:r>
      <w:r w:rsidRPr="00CB2336">
        <w:rPr>
          <w:rFonts w:ascii="Times New Roman" w:eastAsia="Times New Roman" w:hAnsi="Times New Roman" w:cs="Times New Roman"/>
          <w:i/>
          <w:iCs/>
          <w:color w:val="333333"/>
          <w:sz w:val="24"/>
          <w:szCs w:val="24"/>
          <w:lang w:val="en"/>
        </w:rPr>
        <w:t>như hàng hoá</w:t>
      </w:r>
      <w:r w:rsidRPr="00CB2336">
        <w:rPr>
          <w:rFonts w:ascii="Times New Roman" w:eastAsia="Times New Roman" w:hAnsi="Times New Roman" w:cs="Times New Roman"/>
          <w:i/>
          <w:iCs/>
          <w:color w:val="333333"/>
          <w:sz w:val="24"/>
          <w:szCs w:val="24"/>
          <w:lang w:val="am-ET"/>
        </w:rPr>
        <w:t> được xuất</w:t>
      </w:r>
      <w:r w:rsidRPr="00CB2336">
        <w:rPr>
          <w:rFonts w:ascii="Times New Roman" w:eastAsia="Times New Roman" w:hAnsi="Times New Roman" w:cs="Times New Roman"/>
          <w:i/>
          <w:iCs/>
          <w:color w:val="333333"/>
          <w:sz w:val="24"/>
          <w:szCs w:val="24"/>
          <w:lang w:val="en"/>
        </w:rPr>
        <w:t> để chuyển kho nội bộ, xuất vật tư, bán thành phẩm</w:t>
      </w:r>
      <w:r w:rsidRPr="00CB2336">
        <w:rPr>
          <w:rFonts w:ascii="Times New Roman" w:eastAsia="Times New Roman" w:hAnsi="Times New Roman" w:cs="Times New Roman"/>
          <w:i/>
          <w:iCs/>
          <w:color w:val="333333"/>
          <w:sz w:val="24"/>
          <w:szCs w:val="24"/>
          <w:lang w:val="am-ET"/>
        </w:rPr>
        <w:t>,</w:t>
      </w:r>
      <w:r w:rsidRPr="00CB2336">
        <w:rPr>
          <w:rFonts w:ascii="Times New Roman" w:eastAsia="Times New Roman" w:hAnsi="Times New Roman" w:cs="Times New Roman"/>
          <w:i/>
          <w:iCs/>
          <w:color w:val="333333"/>
          <w:sz w:val="24"/>
          <w:szCs w:val="24"/>
          <w:lang w:val="en"/>
        </w:rPr>
        <w:t> để tiếp tục quá trình sản xuất trong một cơ sở sản xuất, kinh doanh</w:t>
      </w:r>
      <w:r w:rsidRPr="00CB2336">
        <w:rPr>
          <w:rFonts w:ascii="Times New Roman" w:eastAsia="Times New Roman" w:hAnsi="Times New Roman" w:cs="Times New Roman"/>
          <w:i/>
          <w:iCs/>
          <w:color w:val="333333"/>
          <w:sz w:val="24"/>
          <w:szCs w:val="24"/>
          <w:lang w:val="am-ET"/>
        </w:rPr>
        <w:t> hoặc hàng hoá, dịch vụ do cơ sở kinh doanh xuất hoặc cung ứng sử dụng phục vụ hoạt động kinh doanh thì</w:t>
      </w:r>
      <w:r w:rsidRPr="00CB2336">
        <w:rPr>
          <w:rFonts w:ascii="Times New Roman" w:eastAsia="Times New Roman" w:hAnsi="Times New Roman" w:cs="Times New Roman"/>
          <w:i/>
          <w:iCs/>
          <w:color w:val="333333"/>
          <w:sz w:val="24"/>
          <w:szCs w:val="24"/>
          <w:lang w:val="en"/>
        </w:rPr>
        <w:t> </w:t>
      </w:r>
      <w:r w:rsidRPr="0065439A">
        <w:rPr>
          <w:rFonts w:ascii="Times New Roman" w:eastAsia="Times New Roman" w:hAnsi="Times New Roman" w:cs="Times New Roman"/>
          <w:i/>
          <w:iCs/>
          <w:color w:val="333333"/>
          <w:sz w:val="24"/>
          <w:szCs w:val="24"/>
          <w:highlight w:val="yellow"/>
          <w:lang w:val="en"/>
        </w:rPr>
        <w:t>không phải tính, nộp thuế GTGT.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am-ET"/>
        </w:rPr>
        <w:t>T</w:t>
      </w:r>
      <w:r w:rsidRPr="00CB2336">
        <w:rPr>
          <w:rFonts w:ascii="Times New Roman" w:eastAsia="Times New Roman" w:hAnsi="Times New Roman" w:cs="Times New Roman"/>
          <w:i/>
          <w:iCs/>
          <w:color w:val="333333"/>
          <w:sz w:val="24"/>
          <w:szCs w:val="24"/>
          <w:lang w:val="en"/>
        </w:rPr>
        <w:t xml:space="preserve">rường hợp cơ sở kinh doanh tự sản xuất, xây dựng tài sản cố định (tài sản cố định tự làm) để phục vụ sản xuất, kinh doanh hàng hoá, dịch vụ chịu thuế GTGT thì khi hoàn thành, nghiệm thu, </w:t>
      </w:r>
      <w:r w:rsidRPr="00CB2336">
        <w:rPr>
          <w:rFonts w:ascii="Times New Roman" w:eastAsia="Times New Roman" w:hAnsi="Times New Roman" w:cs="Times New Roman"/>
          <w:i/>
          <w:iCs/>
          <w:color w:val="333333"/>
          <w:sz w:val="24"/>
          <w:szCs w:val="24"/>
          <w:lang w:val="en"/>
        </w:rPr>
        <w:lastRenderedPageBreak/>
        <w:t>bàn giao, cơ sở kinh doanh không phải lập hoá đơn. Thuế GTGT đầu vào hình thành nên tài sản cố định tự làm được kê khai, khấu trừ theo quy định.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en"/>
        </w:rPr>
        <w:t>Trường hợp xuất máy móc, thiết bị, khuôn mẫu dưới hình thức cho vay, cho mượn hoặc hoàn trả, nếu có hợp đồng và các chứng từ liên quan đến giao dịch phù hợp, cơ sở kinh doanh không phải lập hóa đơn, tính, nộp thuế GTGT.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en"/>
        </w:rPr>
        <w:t xml:space="preserve">Ví dụ 24: Đơn vị A là doanh nghiệp </w:t>
      </w:r>
      <w:r w:rsidRPr="0065439A">
        <w:rPr>
          <w:rFonts w:ascii="Times New Roman" w:eastAsia="Times New Roman" w:hAnsi="Times New Roman" w:cs="Times New Roman"/>
          <w:i/>
          <w:iCs/>
          <w:color w:val="333333"/>
          <w:sz w:val="24"/>
          <w:szCs w:val="24"/>
          <w:highlight w:val="yellow"/>
          <w:lang w:val="en"/>
        </w:rPr>
        <w:t>sản xuất quạt điện</w:t>
      </w:r>
      <w:r w:rsidRPr="00CB2336">
        <w:rPr>
          <w:rFonts w:ascii="Times New Roman" w:eastAsia="Times New Roman" w:hAnsi="Times New Roman" w:cs="Times New Roman"/>
          <w:i/>
          <w:iCs/>
          <w:color w:val="333333"/>
          <w:sz w:val="24"/>
          <w:szCs w:val="24"/>
          <w:lang w:val="en"/>
        </w:rPr>
        <w:t xml:space="preserve">, dùng 50 sản phẩm quạt </w:t>
      </w:r>
      <w:r w:rsidRPr="0065439A">
        <w:rPr>
          <w:rFonts w:ascii="Times New Roman" w:eastAsia="Times New Roman" w:hAnsi="Times New Roman" w:cs="Times New Roman"/>
          <w:i/>
          <w:iCs/>
          <w:color w:val="333333"/>
          <w:sz w:val="24"/>
          <w:szCs w:val="24"/>
          <w:highlight w:val="yellow"/>
          <w:lang w:val="en"/>
        </w:rPr>
        <w:t>lắp vào các phân xưởng sản xuất để phục vụ hoạt động kinh doanh</w:t>
      </w:r>
      <w:r w:rsidRPr="00CB2336">
        <w:rPr>
          <w:rFonts w:ascii="Times New Roman" w:eastAsia="Times New Roman" w:hAnsi="Times New Roman" w:cs="Times New Roman"/>
          <w:i/>
          <w:iCs/>
          <w:color w:val="333333"/>
          <w:sz w:val="24"/>
          <w:szCs w:val="24"/>
          <w:lang w:val="en"/>
        </w:rPr>
        <w:t xml:space="preserve"> của đơn vị thị đơn vị A </w:t>
      </w:r>
      <w:r w:rsidRPr="0065439A">
        <w:rPr>
          <w:rFonts w:ascii="Times New Roman" w:eastAsia="Times New Roman" w:hAnsi="Times New Roman" w:cs="Times New Roman"/>
          <w:i/>
          <w:iCs/>
          <w:color w:val="333333"/>
          <w:sz w:val="24"/>
          <w:szCs w:val="24"/>
          <w:highlight w:val="yellow"/>
          <w:lang w:val="en"/>
        </w:rPr>
        <w:t>không phải tính nộp thuế GTGT đối với hoạt động xuất 50 sản phẩm quạt điện này</w:t>
      </w:r>
      <w:r w:rsidRPr="00CB2336">
        <w:rPr>
          <w:rFonts w:ascii="Times New Roman" w:eastAsia="Times New Roman" w:hAnsi="Times New Roman" w:cs="Times New Roman"/>
          <w:i/>
          <w:iCs/>
          <w:color w:val="333333"/>
          <w:sz w:val="24"/>
          <w:szCs w:val="24"/>
          <w:lang w:val="en"/>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en"/>
        </w:rPr>
        <w:t>Ví dụ 25: Cơ sở sản xuất hàng may mặc B có phân xưởng sợi và phân xưởng may. Cơ sở B xuất sợi thành phẩm từ phân xưởng sợi cho phân xưởng may để tiếp tục quá trình sản xuất thì cơ sở B không phải tính và nộp thuế GTGT đối với sợi xuất cho phân xưởng may.</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en"/>
        </w:rPr>
        <w:t>Ví dụ 26: Công ty cổ phần P tự xây dựng nhà nghỉ giữa ca cho công nhân ở trong khu vực sản xuất kinh doanh. Công ty cổ phần P không có đơn vị, tổ, đội trực thuộc thực hiện hoạt động xây dựng này. Khi hoàn thành, nghiệm thu nhà nghỉ giữa ca, Công ty cổ phần P không phải lập hoá đơn. Thuế GTGT đầu vào hình thành nhà nghỉ giữa ca được kê khai, khấu trừ theo quy định.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en"/>
        </w:rPr>
        <w:t>Ví dụ 27: Công ty Y là doanh nghiệp sản xuất nước uống đóng chai, giá chưa có thuế GTGT 1 chai nước đóng chai trên thị trường là 4.000 đồng. Công ty Y xuất ra 300 chai nước đóng chai để phục vụ trong các cuộc họp công ty thì Công ty Y không phải kê khai, tính thuế GTGT.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en"/>
        </w:rPr>
        <w:t>Ví dụ 28: Công ty Y là doanh nghiệp sản xuất nước uống đóng chai, giá chưa có thuế GTGT 1 chai nước đóng chai trên thị trường là 4.000 đồng. Công ty Y xuất ra 300 chai nước đóng chai với mục đích không phục vụ sản xuất kinh doanh thì Công ty Y phải kê khai, tính thuế GTGT đối với 300 chai nước xuất dùng không phục vụ hoạt động sản xuất kinh doanh nêu trên với giá tính thuế là 4.000 x 300 = 1.200.000 đồng.</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en"/>
        </w:rPr>
        <w:t>Riêng đối với cơ sở kinh doanh có sử dụng hàng hoá, dịch vụ tiêu dùng nội bộ, luân chuyển nội bộ phục vụ cho sản xuất kinh doanh như vận tải, hàng không, đường sắt, bưu chính viễn thông không phải tính thuế GTGT đầu ra, cơ sở kinh doanh phải có văn bản</w:t>
      </w:r>
      <w:r w:rsidRPr="00CB2336">
        <w:rPr>
          <w:rFonts w:ascii="Times New Roman" w:eastAsia="Times New Roman" w:hAnsi="Times New Roman" w:cs="Times New Roman"/>
          <w:b/>
          <w:bCs/>
          <w:i/>
          <w:iCs/>
          <w:color w:val="333333"/>
          <w:sz w:val="24"/>
          <w:szCs w:val="24"/>
          <w:lang w:val="en"/>
        </w:rPr>
        <w:t> </w:t>
      </w:r>
      <w:r w:rsidRPr="00CB2336">
        <w:rPr>
          <w:rFonts w:ascii="Times New Roman" w:eastAsia="Times New Roman" w:hAnsi="Times New Roman" w:cs="Times New Roman"/>
          <w:i/>
          <w:iCs/>
          <w:color w:val="333333"/>
          <w:sz w:val="24"/>
          <w:szCs w:val="24"/>
          <w:lang w:val="en"/>
        </w:rPr>
        <w:t>quy định rõ đối tượng và mức khống chế hàng hoá dịch vụ sử dụng nội bộ theo thẩm quyền quy định</w:t>
      </w:r>
      <w:r w:rsidRPr="00CB2336">
        <w:rPr>
          <w:rFonts w:ascii="Times New Roman" w:eastAsia="Times New Roman" w:hAnsi="Times New Roman" w:cs="Times New Roman"/>
          <w:color w:val="333333"/>
          <w:sz w:val="24"/>
          <w:szCs w:val="24"/>
          <w:lang w:val="en"/>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nl-NL"/>
        </w:rPr>
        <w:t>3.</w:t>
      </w:r>
      <w:r w:rsidRPr="00CB2336">
        <w:rPr>
          <w:rFonts w:ascii="Times New Roman" w:eastAsia="Times New Roman" w:hAnsi="Times New Roman" w:cs="Times New Roman"/>
          <w:color w:val="333333"/>
          <w:sz w:val="24"/>
          <w:szCs w:val="24"/>
          <w:lang w:val="nl-NL"/>
        </w:rPr>
        <w:t> Sửa đổi, bổ sung khoản 3, 4 Điều 12 về đăng ký tự nguyện áp dụng phương pháp khấu trừ thuế GTGT như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nl-NL"/>
        </w:rPr>
        <w:lastRenderedPageBreak/>
        <w:t>3.1.</w:t>
      </w:r>
      <w:r w:rsidRPr="00CB2336">
        <w:rPr>
          <w:rFonts w:ascii="Times New Roman" w:eastAsia="Times New Roman" w:hAnsi="Times New Roman" w:cs="Times New Roman"/>
          <w:color w:val="333333"/>
          <w:sz w:val="24"/>
          <w:szCs w:val="24"/>
          <w:lang w:val="nl-NL"/>
        </w:rPr>
        <w:t> Đối với doanh nghiệp, hợp tác xã mới thành lập có dự án đầu tư:</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i/>
          <w:iCs/>
          <w:color w:val="333333"/>
          <w:sz w:val="24"/>
          <w:szCs w:val="24"/>
          <w:lang w:val="nl-NL"/>
        </w:rPr>
        <w:t>“</w:t>
      </w:r>
      <w:r w:rsidRPr="00CB2336">
        <w:rPr>
          <w:rFonts w:ascii="Times New Roman" w:eastAsia="Times New Roman" w:hAnsi="Times New Roman" w:cs="Times New Roman"/>
          <w:i/>
          <w:iCs/>
          <w:color w:val="333333"/>
          <w:sz w:val="24"/>
          <w:szCs w:val="24"/>
          <w:lang w:val="nl-NL"/>
        </w:rPr>
        <w:t> </w:t>
      </w:r>
      <w:r w:rsidRPr="00CB2336">
        <w:rPr>
          <w:rFonts w:ascii="Times New Roman" w:eastAsia="Times New Roman" w:hAnsi="Times New Roman" w:cs="Times New Roman"/>
          <w:i/>
          <w:iCs/>
          <w:color w:val="333333"/>
          <w:sz w:val="24"/>
          <w:szCs w:val="24"/>
          <w:lang w:val="it-IT"/>
        </w:rPr>
        <w:t>Doanh nghiệp mới thành lập có thực hiện đầu tư theo dự án đầu tư được cấp có thẩm quyền phê duyệt thuộc trường hợp đăng ký tự nguyện áp dụng phương pháp khấu trừ thuế.</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pacing w:val="-4"/>
          <w:sz w:val="24"/>
          <w:szCs w:val="24"/>
          <w:lang w:val="it-IT"/>
        </w:rPr>
        <w:t>D</w:t>
      </w:r>
      <w:r w:rsidRPr="00CB2336">
        <w:rPr>
          <w:rFonts w:ascii="Times New Roman" w:eastAsia="Times New Roman" w:hAnsi="Times New Roman" w:cs="Times New Roman"/>
          <w:i/>
          <w:iCs/>
          <w:color w:val="333333"/>
          <w:spacing w:val="-4"/>
          <w:sz w:val="24"/>
          <w:szCs w:val="24"/>
          <w:lang w:val="am-ET"/>
        </w:rPr>
        <w:t>oanh nghiệp, hợp tác xã mới thành lập có dự án đầu tư không thuộc đối tượng được cấp có thẩm quyền phê duyệt theo quy định của pháp luật về đầu tư nhưng có phương án đầu tư được người có thẩm quyền của doanh nghiệp ra quyết định đầu tư phê duyệt thuộc đối tượng đăng ký áp dụng phương pháp khấu trừ thuế</w:t>
      </w:r>
      <w:r w:rsidRPr="00CB2336">
        <w:rPr>
          <w:rFonts w:ascii="Times New Roman" w:eastAsia="Times New Roman" w:hAnsi="Times New Roman" w:cs="Times New Roman"/>
          <w:i/>
          <w:iCs/>
          <w:color w:val="333333"/>
          <w:spacing w:val="-4"/>
          <w:sz w:val="24"/>
          <w:szCs w:val="24"/>
          <w:lang w:val="it-IT"/>
        </w:rPr>
        <w:t>”</w:t>
      </w:r>
      <w:r w:rsidRPr="00CB2336">
        <w:rPr>
          <w:rFonts w:ascii="Times New Roman" w:eastAsia="Times New Roman" w:hAnsi="Times New Roman" w:cs="Times New Roman"/>
          <w:i/>
          <w:iCs/>
          <w:color w:val="333333"/>
          <w:spacing w:val="-4"/>
          <w:sz w:val="24"/>
          <w:szCs w:val="24"/>
          <w:lang w:val="am-ET"/>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it-IT"/>
        </w:rPr>
        <w:t>3.2.</w:t>
      </w:r>
      <w:r w:rsidRPr="00CB2336">
        <w:rPr>
          <w:rFonts w:ascii="Times New Roman" w:eastAsia="Times New Roman" w:hAnsi="Times New Roman" w:cs="Times New Roman"/>
          <w:color w:val="333333"/>
          <w:sz w:val="24"/>
          <w:szCs w:val="24"/>
          <w:lang w:val="it-IT"/>
        </w:rPr>
        <w:t> Bỏ mức khống chế 1 tỷ đồng về tài sản cố định, máy móc, thiết bị… đầu tư, mua sắm của doanh nghiệp, hợp tác xã mới thành lập để đăng ký tự nguyện áp dụng phương pháp khấu trừ thuế, cụ thể:</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it-IT"/>
        </w:rPr>
        <w:t>“</w:t>
      </w:r>
      <w:r w:rsidRPr="00CB2336">
        <w:rPr>
          <w:rFonts w:ascii="Times New Roman" w:eastAsia="Times New Roman" w:hAnsi="Times New Roman" w:cs="Times New Roman"/>
          <w:i/>
          <w:iCs/>
          <w:color w:val="333333"/>
          <w:sz w:val="24"/>
          <w:szCs w:val="24"/>
          <w:lang w:val="it-IT"/>
        </w:rPr>
        <w:t> </w:t>
      </w:r>
      <w:r w:rsidRPr="00CB2336">
        <w:rPr>
          <w:rFonts w:ascii="Times New Roman" w:eastAsia="Times New Roman" w:hAnsi="Times New Roman" w:cs="Times New Roman"/>
          <w:i/>
          <w:iCs/>
          <w:color w:val="333333"/>
          <w:sz w:val="24"/>
          <w:szCs w:val="24"/>
          <w:lang w:val="en"/>
        </w:rPr>
        <w:t>Doanh nghiệp, hợp tác xã mới thành lập có </w:t>
      </w:r>
      <w:r w:rsidRPr="00CB2336">
        <w:rPr>
          <w:rFonts w:ascii="Times New Roman" w:eastAsia="Times New Roman" w:hAnsi="Times New Roman" w:cs="Times New Roman"/>
          <w:i/>
          <w:iCs/>
          <w:color w:val="333333"/>
          <w:sz w:val="24"/>
          <w:szCs w:val="24"/>
          <w:lang w:val="it-IT"/>
        </w:rPr>
        <w:t>thực hiện đầu tư, mua sắm,</w:t>
      </w:r>
      <w:r w:rsidRPr="00CB2336">
        <w:rPr>
          <w:rFonts w:ascii="Times New Roman" w:eastAsia="Times New Roman" w:hAnsi="Times New Roman" w:cs="Times New Roman"/>
          <w:i/>
          <w:iCs/>
          <w:color w:val="333333"/>
          <w:sz w:val="24"/>
          <w:szCs w:val="24"/>
          <w:lang w:val="en"/>
        </w:rPr>
        <w:t> nhận góp vốn </w:t>
      </w:r>
      <w:r w:rsidRPr="00CB2336">
        <w:rPr>
          <w:rFonts w:ascii="Times New Roman" w:eastAsia="Times New Roman" w:hAnsi="Times New Roman" w:cs="Times New Roman"/>
          <w:i/>
          <w:iCs/>
          <w:color w:val="333333"/>
          <w:sz w:val="24"/>
          <w:szCs w:val="24"/>
          <w:lang w:val="it-IT"/>
        </w:rPr>
        <w:t>bằng tài sản cố định, máy móc, thiết bị, công cụ, dụng cụ hoặc có hợp đồng thuê địa điểm kinh doanh</w:t>
      </w:r>
      <w:r w:rsidRPr="00CB2336">
        <w:rPr>
          <w:rFonts w:ascii="Times New Roman" w:eastAsia="Times New Roman" w:hAnsi="Times New Roman" w:cs="Times New Roman"/>
          <w:color w:val="333333"/>
          <w:sz w:val="24"/>
          <w:szCs w:val="24"/>
          <w:lang w:val="it-IT"/>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it-IT"/>
        </w:rPr>
        <w:t>...</w:t>
      </w:r>
    </w:p>
    <w:p w:rsidR="00CB2336" w:rsidRPr="00CB2336" w:rsidRDefault="00CB2336" w:rsidP="00CB2336">
      <w:pPr>
        <w:shd w:val="clear" w:color="auto" w:fill="FFFFFF"/>
        <w:spacing w:after="0" w:line="360" w:lineRule="exact"/>
        <w:ind w:right="115"/>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am-ET"/>
        </w:rPr>
        <w:t>Khi gửi Thông báo về việc áp dụng phương pháp tính thuế tới cơ quan thuế trực tiếp, cơ sở kinh doanh không phải gửi các hồ sơ, tài liệu chứng minh như dự án đầu tư được cấp có thẩm quyền phê duyệt, phương án đầu tư được người có thẩm quyền của doanh nghiệp ra quyết định đầu tư phê duyệt, hóa đơn đầu tư, mua sắm, hồ sơ nhận góp vốn, hợp đồng thuê địa điểm kinh doanh. Cơ sở kinh doanh lưu giữ và xuất trình cho cơ quan thuế khi có yêu cầu. Trường hợp cơ sở kinh doanh mới thành lập từ ngày 01/01/2014 chưa đủ điều kiện đăng ký tự nguyện áp dụng phương pháp khấu trừ thuế theo hướng dẫn tại điểm b, c khoản 3 Điều 12 Thông tư số 219/2013/TT-BTC ngày 31/12/2013 của Bộ Tài chính, nếu đáp ứng được các điều kiện hướng dẫn tại điểm b, c khoản này thì được áp dụng theo hướng dẫn tại điểm b, c khoản 3 Điều 12 Thông tư này”.</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4.</w:t>
      </w:r>
      <w:r w:rsidRPr="00CB2336">
        <w:rPr>
          <w:rFonts w:ascii="Times New Roman" w:eastAsia="Times New Roman" w:hAnsi="Times New Roman" w:cs="Times New Roman"/>
          <w:b/>
          <w:bCs/>
          <w:i/>
          <w:iCs/>
          <w:color w:val="333333"/>
          <w:sz w:val="24"/>
          <w:szCs w:val="24"/>
          <w:lang w:val="am-ET"/>
        </w:rPr>
        <w:t> </w:t>
      </w:r>
      <w:r w:rsidRPr="00CB2336">
        <w:rPr>
          <w:rFonts w:ascii="Times New Roman" w:eastAsia="Times New Roman" w:hAnsi="Times New Roman" w:cs="Times New Roman"/>
          <w:color w:val="333333"/>
          <w:sz w:val="24"/>
          <w:szCs w:val="24"/>
          <w:lang w:val="am-ET"/>
        </w:rPr>
        <w:t>Bổ sung ví dụ số 58a tại khoản 4 Điều 14 về khấu trừ thuế.</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5</w:t>
      </w:r>
      <w:r w:rsidRPr="00CB2336">
        <w:rPr>
          <w:rFonts w:ascii="Times New Roman" w:eastAsia="Times New Roman" w:hAnsi="Times New Roman" w:cs="Times New Roman"/>
          <w:b/>
          <w:bCs/>
          <w:color w:val="333333"/>
          <w:sz w:val="24"/>
          <w:szCs w:val="24"/>
          <w:lang w:val="en"/>
        </w:rPr>
        <w:t>.</w:t>
      </w:r>
      <w:r w:rsidRPr="00CB2336">
        <w:rPr>
          <w:rFonts w:ascii="Times New Roman" w:eastAsia="Times New Roman" w:hAnsi="Times New Roman" w:cs="Times New Roman"/>
          <w:color w:val="333333"/>
          <w:sz w:val="24"/>
          <w:szCs w:val="24"/>
          <w:lang w:val="en"/>
        </w:rPr>
        <w:t> </w:t>
      </w:r>
      <w:r w:rsidRPr="00CB2336">
        <w:rPr>
          <w:rFonts w:ascii="Times New Roman" w:eastAsia="Times New Roman" w:hAnsi="Times New Roman" w:cs="Times New Roman"/>
          <w:color w:val="333333"/>
          <w:sz w:val="24"/>
          <w:szCs w:val="24"/>
          <w:lang w:val="am-ET"/>
        </w:rPr>
        <w:t>Bỏ quy định phải ghi chú trên Bảng kê hóa đơn GTGT đầu vào (mẫu số 01-2/GTGT) về thời hạn thanh toán theo hợp đồng đối với hợp đồng thanh toán trả chậm, theo đó, sửa đổi khổ thứ nhất điểm c khoản 3 Điều 15 Thông tư số 219/2013/TT-BTC.</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t>6.</w:t>
      </w:r>
      <w:r w:rsidRPr="00CB2336">
        <w:rPr>
          <w:rFonts w:ascii="Times New Roman" w:eastAsia="Times New Roman" w:hAnsi="Times New Roman" w:cs="Times New Roman"/>
          <w:color w:val="333333"/>
          <w:sz w:val="24"/>
          <w:szCs w:val="24"/>
          <w:lang w:val="am-ET"/>
        </w:rPr>
        <w:t> Bổ sung hướng dẫn: “</w:t>
      </w:r>
      <w:r w:rsidRPr="00CB2336">
        <w:rPr>
          <w:rFonts w:ascii="Times New Roman" w:eastAsia="Times New Roman" w:hAnsi="Times New Roman" w:cs="Times New Roman"/>
          <w:i/>
          <w:iCs/>
          <w:color w:val="333333"/>
          <w:sz w:val="24"/>
          <w:szCs w:val="24"/>
          <w:lang w:val="en"/>
        </w:rPr>
        <w:t>Bên</w:t>
      </w:r>
      <w:r w:rsidRPr="00CB2336">
        <w:rPr>
          <w:rFonts w:ascii="Times New Roman" w:eastAsia="Times New Roman" w:hAnsi="Times New Roman" w:cs="Times New Roman"/>
          <w:i/>
          <w:iCs/>
          <w:color w:val="333333"/>
          <w:sz w:val="24"/>
          <w:szCs w:val="24"/>
          <w:lang w:val="nl-NL"/>
        </w:rPr>
        <w:t> mua không cần phải đăng ký hoặc thông báo với cơ quan thuế tài khoản tiền vay tại các tổ chức tín dụng dùng để thanh toán cho nhà cung cấp</w:t>
      </w:r>
      <w:r w:rsidRPr="00CB2336">
        <w:rPr>
          <w:rFonts w:ascii="Times New Roman" w:eastAsia="Times New Roman" w:hAnsi="Times New Roman" w:cs="Times New Roman"/>
          <w:color w:val="333333"/>
          <w:sz w:val="24"/>
          <w:szCs w:val="24"/>
          <w:lang w:val="en"/>
        </w:rPr>
        <w:t>”</w:t>
      </w:r>
      <w:r w:rsidRPr="00CB2336">
        <w:rPr>
          <w:rFonts w:ascii="Times New Roman" w:eastAsia="Times New Roman" w:hAnsi="Times New Roman" w:cs="Times New Roman"/>
          <w:color w:val="333333"/>
          <w:sz w:val="24"/>
          <w:szCs w:val="24"/>
          <w:lang w:val="am-ET"/>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am-ET"/>
        </w:rPr>
        <w:lastRenderedPageBreak/>
        <w:t>7. </w:t>
      </w:r>
      <w:r w:rsidRPr="00CB2336">
        <w:rPr>
          <w:rFonts w:ascii="Times New Roman" w:eastAsia="Times New Roman" w:hAnsi="Times New Roman" w:cs="Times New Roman"/>
          <w:color w:val="333333"/>
          <w:sz w:val="24"/>
          <w:szCs w:val="24"/>
          <w:lang w:val="am-ET"/>
        </w:rPr>
        <w:t>Bỏ điều kiện hóa đơn bán hàng hóa, cung ứng dịch vụ trong điều kiện hồ sơ, thủ tục hoàn thuế GTGT đối với hàng hóa, dịch vụ xuất khẩu (Cơ sở kinh doanh sử dụng ngay hóa đơn thương mại trong hồ sơ hải quan).</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am-ET"/>
        </w:rPr>
        <w:t>Tương ứng sửa đổi khoản 4 Điều 16 Thông tư số 219/2013/TT-BTC; sửa đổi khoản 2 Điều 3 Thông tư số 39/2014/TT-BTC về loại hóa đơn và b</w:t>
      </w:r>
      <w:r w:rsidRPr="00CB2336">
        <w:rPr>
          <w:rFonts w:ascii="Times New Roman" w:eastAsia="Times New Roman" w:hAnsi="Times New Roman" w:cs="Times New Roman"/>
          <w:i/>
          <w:iCs/>
          <w:color w:val="333333"/>
          <w:sz w:val="24"/>
          <w:szCs w:val="24"/>
          <w:lang w:val="en"/>
        </w:rPr>
        <w:t>ãi bỏ khổ thứ 7 điểm a khoản 2 Điều 16 </w:t>
      </w:r>
      <w:r w:rsidRPr="00CB2336">
        <w:rPr>
          <w:rFonts w:ascii="Times New Roman" w:eastAsia="Times New Roman" w:hAnsi="Times New Roman" w:cs="Times New Roman"/>
          <w:i/>
          <w:iCs/>
          <w:color w:val="333333"/>
          <w:sz w:val="24"/>
          <w:szCs w:val="24"/>
          <w:lang w:val="nl-NL"/>
        </w:rPr>
        <w:t>Thông tư số 39/2014/TT-BTC về ngày lập hóa đơn đối với hàng hóa, dịch vụ xuất khẩu</w:t>
      </w:r>
      <w:r w:rsidRPr="00CB2336">
        <w:rPr>
          <w:rFonts w:ascii="Times New Roman" w:eastAsia="Times New Roman" w:hAnsi="Times New Roman" w:cs="Times New Roman"/>
          <w:i/>
          <w:iCs/>
          <w:color w:val="333333"/>
          <w:sz w:val="24"/>
          <w:szCs w:val="24"/>
          <w:lang w:val="en"/>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000000"/>
          <w:sz w:val="24"/>
          <w:szCs w:val="24"/>
          <w:lang w:val="en"/>
        </w:rPr>
        <w:t>IV. </w:t>
      </w:r>
      <w:r w:rsidRPr="00CB2336">
        <w:rPr>
          <w:rFonts w:ascii="Times New Roman" w:eastAsia="Times New Roman" w:hAnsi="Times New Roman" w:cs="Times New Roman"/>
          <w:color w:val="000000"/>
          <w:sz w:val="24"/>
          <w:szCs w:val="24"/>
          <w:lang w:val="en"/>
        </w:rPr>
        <w:t>Sửa đổi mẫu Giấy nộp tiền vào NSNN (mẫu C1-02/NS và C1-03/NS) tại Phụ lục ban hành kèm theo Quyết định số 759/QĐ-BTC ngày 16/4/2013 của Bộ Tài chính về việc đính chính Thông tư số 08/2013/TT-BTC ngày 10/1/2013 của Bộ Tài chính và mẫu Bảng kê nộp thuế (01/BKNT) ban hành kèm theo Thông tư số 85/2011/TT-BTC ngày 17/6/2011 của Bộ Tài chính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000000"/>
          <w:sz w:val="24"/>
          <w:szCs w:val="24"/>
          <w:lang w:val="en"/>
        </w:rPr>
        <w:t>Tương ứng bãi bỏ khoản 2 Điều 29 Thông tư số 156/2013/TT-BTC.</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nl-NL"/>
        </w:rPr>
        <w:t>V</w:t>
      </w:r>
      <w:r w:rsidRPr="00CB2336">
        <w:rPr>
          <w:rFonts w:ascii="Times New Roman" w:eastAsia="Times New Roman" w:hAnsi="Times New Roman" w:cs="Times New Roman"/>
          <w:b/>
          <w:bCs/>
          <w:color w:val="333333"/>
          <w:sz w:val="24"/>
          <w:szCs w:val="24"/>
          <w:lang w:val="en"/>
        </w:rPr>
        <w:t>. </w:t>
      </w:r>
      <w:r w:rsidRPr="00CB2336">
        <w:rPr>
          <w:rFonts w:ascii="Times New Roman" w:eastAsia="Times New Roman" w:hAnsi="Times New Roman" w:cs="Times New Roman"/>
          <w:b/>
          <w:bCs/>
          <w:color w:val="333333"/>
          <w:sz w:val="24"/>
          <w:szCs w:val="24"/>
          <w:lang w:val="nl-NL"/>
        </w:rPr>
        <w:t>Sửa đổi, bổ sung Thông tư số 39/2014/TT-BTC của Bộ Tài chính về hóa đơn bán hàng hóa, cung ứng dịch vụ.</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pacing w:val="-4"/>
          <w:sz w:val="24"/>
          <w:szCs w:val="24"/>
          <w:lang w:val="nl-NL"/>
        </w:rPr>
        <w:t>1.</w:t>
      </w:r>
      <w:r w:rsidRPr="00CB2336">
        <w:rPr>
          <w:rFonts w:ascii="Times New Roman" w:eastAsia="Times New Roman" w:hAnsi="Times New Roman" w:cs="Times New Roman"/>
          <w:color w:val="333333"/>
          <w:spacing w:val="-4"/>
          <w:sz w:val="24"/>
          <w:szCs w:val="24"/>
          <w:lang w:val="nl-NL"/>
        </w:rPr>
        <w:t> Bổ sung hướng dẫn về thay thế liên 1 hóa đơn bằng Bảng kê đối với một số ngành, lĩnh vực, cụ thể:</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nl-NL"/>
        </w:rPr>
        <w:t>“</w:t>
      </w:r>
      <w:r w:rsidRPr="00CB2336">
        <w:rPr>
          <w:rFonts w:ascii="Times New Roman" w:eastAsia="Times New Roman" w:hAnsi="Times New Roman" w:cs="Times New Roman"/>
          <w:i/>
          <w:iCs/>
          <w:color w:val="333333"/>
          <w:spacing w:val="-4"/>
          <w:sz w:val="24"/>
          <w:szCs w:val="24"/>
          <w:lang w:val="nl-NL"/>
        </w:rPr>
        <w:t>Đối với hóa đơn thu cước dịch vụ viễn thông, hóa đơn tiền điện, hóa đơn tiền nước, hóa đơn thu phí của các ngân hàng, vé vận tải hành khách của các đơn vị vận tải, các loại tem, vé, thẻ và một số trường hợp theo hướng dẫn của Bộ Tài chính, khi lập hóa đơn được thay thế liên 1 </w:t>
      </w:r>
      <w:r w:rsidRPr="00CB2336">
        <w:rPr>
          <w:rFonts w:ascii="Times New Roman" w:eastAsia="Times New Roman" w:hAnsi="Times New Roman" w:cs="Times New Roman"/>
          <w:i/>
          <w:iCs/>
          <w:color w:val="333333"/>
          <w:sz w:val="24"/>
          <w:szCs w:val="24"/>
          <w:lang w:val="en"/>
        </w:rPr>
        <w:t>bằng bảng kê chi tiết số hoá đơn thực tế đã lập. Chi tiết mỗi số hoá đơn giao khách hàng được thể hiện trên một dòng của Bảng kê với đầy đủ các tiêu thức đã được đăng ký tại hóa đơn mẫu gửi cùng Thông báo phát hành hóa đơn đến cơ quan thuế quản lý trực tiếp.”</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en"/>
        </w:rPr>
        <w:t>2. </w:t>
      </w:r>
      <w:r w:rsidRPr="00CB2336">
        <w:rPr>
          <w:rFonts w:ascii="Times New Roman" w:eastAsia="Times New Roman" w:hAnsi="Times New Roman" w:cs="Times New Roman"/>
          <w:color w:val="333333"/>
          <w:sz w:val="24"/>
          <w:szCs w:val="24"/>
          <w:lang w:val="en"/>
        </w:rPr>
        <w:t>Bổ sung hướng dẫn về lập hóa đơn đối với tiêu thức “đơn vị tính”: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en"/>
        </w:rPr>
        <w:t>a) Trong trường hợp tổ chức kinh doanh sử dụng phần mềm kế toán theo hệ thống phần mềm kế toán của công ty mẹ là Tập đoàn đa quốc gia thì được sử dụng bằng tiếng Anh.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en"/>
        </w:rPr>
        <w:t>b) Trường hợp kinh doanh dịch vụ thì trên hóa đơn không nhất thiết phải có tiêu thức “đơn vị tính”.</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en"/>
        </w:rPr>
        <w:t>3.</w:t>
      </w:r>
      <w:r w:rsidRPr="00CB2336">
        <w:rPr>
          <w:rFonts w:ascii="Times New Roman" w:eastAsia="Times New Roman" w:hAnsi="Times New Roman" w:cs="Times New Roman"/>
          <w:color w:val="333333"/>
          <w:sz w:val="24"/>
          <w:szCs w:val="24"/>
          <w:lang w:val="en"/>
        </w:rPr>
        <w:t> Bỏ hướng dẫn doanh nghiệp mới thành lập phải báo cáo tình hình sử dụng hóa đơn theo tháng (theo đó s</w:t>
      </w:r>
      <w:r w:rsidRPr="00CB2336">
        <w:rPr>
          <w:rFonts w:ascii="Times New Roman" w:eastAsia="Times New Roman" w:hAnsi="Times New Roman" w:cs="Times New Roman"/>
          <w:color w:val="000000"/>
          <w:sz w:val="24"/>
          <w:szCs w:val="24"/>
          <w:lang w:val="en"/>
        </w:rPr>
        <w:t>ửa đổi khổ thứ hai Điều 27 </w:t>
      </w:r>
      <w:r w:rsidRPr="00CB2336">
        <w:rPr>
          <w:rFonts w:ascii="Times New Roman" w:eastAsia="Times New Roman" w:hAnsi="Times New Roman" w:cs="Times New Roman"/>
          <w:color w:val="333333"/>
          <w:sz w:val="24"/>
          <w:szCs w:val="24"/>
          <w:lang w:val="nl-NL"/>
        </w:rPr>
        <w:t>Thông tư số 39/2014/TT-BTC)</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000000"/>
          <w:sz w:val="24"/>
          <w:szCs w:val="24"/>
          <w:lang w:val="nl-NL"/>
        </w:rPr>
        <w:lastRenderedPageBreak/>
        <w:t>VI</w:t>
      </w:r>
      <w:r w:rsidRPr="00CB2336">
        <w:rPr>
          <w:rFonts w:ascii="Times New Roman" w:eastAsia="Times New Roman" w:hAnsi="Times New Roman" w:cs="Times New Roman"/>
          <w:b/>
          <w:bCs/>
          <w:color w:val="000000"/>
          <w:sz w:val="24"/>
          <w:szCs w:val="24"/>
          <w:lang w:val="en"/>
        </w:rPr>
        <w:t>. S</w:t>
      </w:r>
      <w:r w:rsidRPr="00CB2336">
        <w:rPr>
          <w:rFonts w:ascii="Times New Roman" w:eastAsia="Times New Roman" w:hAnsi="Times New Roman" w:cs="Times New Roman"/>
          <w:b/>
          <w:bCs/>
          <w:color w:val="333333"/>
          <w:sz w:val="24"/>
          <w:szCs w:val="24"/>
          <w:lang w:val="nl-NL"/>
        </w:rPr>
        <w:t>ửa đổi, bổ sung Thông tư số 78/2014/TT-BTC ngày 18/6/2014 về Thuế thu nhập doanh nghiệp.</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nl-NL"/>
        </w:rPr>
        <w:t>1. </w:t>
      </w:r>
      <w:r w:rsidRPr="00CB2336">
        <w:rPr>
          <w:rFonts w:ascii="Times New Roman" w:eastAsia="Times New Roman" w:hAnsi="Times New Roman" w:cs="Times New Roman"/>
          <w:color w:val="333333"/>
          <w:sz w:val="24"/>
          <w:szCs w:val="24"/>
          <w:lang w:val="nl-NL"/>
        </w:rPr>
        <w:t xml:space="preserve">Tại Thông tư có hướng dẫn rõ đối với </w:t>
      </w:r>
      <w:r w:rsidRPr="0065439A">
        <w:rPr>
          <w:rFonts w:ascii="Times New Roman" w:eastAsia="Times New Roman" w:hAnsi="Times New Roman" w:cs="Times New Roman"/>
          <w:color w:val="333333"/>
          <w:sz w:val="24"/>
          <w:szCs w:val="24"/>
          <w:highlight w:val="yellow"/>
          <w:lang w:val="nl-NL"/>
        </w:rPr>
        <w:t>hàng hóa, dịch vụ tiêu dùng nội bộ để tiếp tục quá trình sản xuất, kinh doanh của doanh nghiệp</w:t>
      </w:r>
      <w:r w:rsidRPr="00CB2336">
        <w:rPr>
          <w:rFonts w:ascii="Times New Roman" w:eastAsia="Times New Roman" w:hAnsi="Times New Roman" w:cs="Times New Roman"/>
          <w:color w:val="333333"/>
          <w:sz w:val="24"/>
          <w:szCs w:val="24"/>
          <w:lang w:val="nl-NL"/>
        </w:rPr>
        <w:t> không phải tính vào doanh thu tính thuế thu nhập doanh nghiệp và có các ví dụ. Cụ thể tại Thông tư hướng dẫn như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nl-NL"/>
        </w:rPr>
        <w:t>“</w:t>
      </w:r>
      <w:r w:rsidRPr="00CB2336">
        <w:rPr>
          <w:rFonts w:ascii="Times New Roman" w:eastAsia="Times New Roman" w:hAnsi="Times New Roman" w:cs="Times New Roman"/>
          <w:i/>
          <w:iCs/>
          <w:color w:val="333333"/>
          <w:sz w:val="24"/>
          <w:szCs w:val="24"/>
          <w:lang w:val="nl-NL"/>
        </w:rPr>
        <w:t>b) Đối với hàng hoá, dịch vụ dùng để trao đổi (</w:t>
      </w:r>
      <w:r w:rsidRPr="0065439A">
        <w:rPr>
          <w:rFonts w:ascii="Times New Roman" w:eastAsia="Times New Roman" w:hAnsi="Times New Roman" w:cs="Times New Roman"/>
          <w:i/>
          <w:iCs/>
          <w:color w:val="333333"/>
          <w:sz w:val="24"/>
          <w:szCs w:val="24"/>
          <w:highlight w:val="yellow"/>
          <w:lang w:val="nl-NL"/>
        </w:rPr>
        <w:t>không bao gồm hàng hoá, dịch vụ sử dụng để tiếp tục quá trình sản xuất, kinh doanh của doanh nghiệp</w:t>
      </w:r>
      <w:r w:rsidRPr="00CB2336">
        <w:rPr>
          <w:rFonts w:ascii="Times New Roman" w:eastAsia="Times New Roman" w:hAnsi="Times New Roman" w:cs="Times New Roman"/>
          <w:i/>
          <w:iCs/>
          <w:color w:val="333333"/>
          <w:sz w:val="24"/>
          <w:szCs w:val="24"/>
          <w:lang w:val="nl-NL"/>
        </w:rPr>
        <w:t>) được xác định theo giá bán của sản phẩm, hàng hoá, dịch vụ </w:t>
      </w:r>
      <w:r w:rsidRPr="00CB2336">
        <w:rPr>
          <w:rFonts w:ascii="Times New Roman" w:eastAsia="Times New Roman" w:hAnsi="Times New Roman" w:cs="Times New Roman"/>
          <w:i/>
          <w:iCs/>
          <w:color w:val="333333"/>
          <w:spacing w:val="-6"/>
          <w:sz w:val="24"/>
          <w:szCs w:val="24"/>
          <w:lang w:val="nl-NL"/>
        </w:rPr>
        <w:t>cùng loại hoặc tương đương trên thị trường tại thời điểm trao đổi.</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nl-NL"/>
        </w:rPr>
        <w:t>Ví dụ: Doanh nghiệp A có chức năng sản xuất phụ tùng ôtô và lắp ráp ôtô. Doanh nghiệp A dùng sản phẩm lốp ôtô do doanh nghiệp sản xuất để trưng bày, giới thiệu sản phẩm hoặc dùng lốp ôtô để tiếp tục lắp ráp thành ôtô hoàn chỉnh thì trong trường hợp này sản phẩm lốp ôtô của doanh nghiệp không phải quy đổi để tính vào doanh thu tính thuế thu nhập doanh nghiệp.</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nl-NL"/>
        </w:rPr>
        <w:t xml:space="preserve">Ví dụ: Doanh nghiệp B là doanh nghiệp sản xuất máy tính. Trong năm doanh nghiệp B có xuất một số máy tính do chính doanh nghiệp sản xuất cho cán bộ công nhân viên để dùng làm việc tại doanh nghiệp thì các sản phẩm máy tính này </w:t>
      </w:r>
      <w:r w:rsidRPr="0065439A">
        <w:rPr>
          <w:rFonts w:ascii="Times New Roman" w:eastAsia="Times New Roman" w:hAnsi="Times New Roman" w:cs="Times New Roman"/>
          <w:i/>
          <w:iCs/>
          <w:color w:val="333333"/>
          <w:sz w:val="24"/>
          <w:szCs w:val="24"/>
          <w:highlight w:val="yellow"/>
          <w:lang w:val="nl-NL"/>
        </w:rPr>
        <w:t>không phải quy đổi để tính vào doanh thu tính thuế thu nhập doanh nghiệp</w:t>
      </w:r>
      <w:r w:rsidRPr="0065439A">
        <w:rPr>
          <w:rFonts w:ascii="Times New Roman" w:eastAsia="Times New Roman" w:hAnsi="Times New Roman" w:cs="Times New Roman"/>
          <w:color w:val="333333"/>
          <w:sz w:val="24"/>
          <w:szCs w:val="24"/>
          <w:highlight w:val="yellow"/>
          <w:lang w:val="nl-NL"/>
        </w:rPr>
        <w:t>”.</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z w:val="24"/>
          <w:szCs w:val="24"/>
          <w:lang w:val="nl-NL"/>
        </w:rPr>
        <w:t>2. </w:t>
      </w:r>
      <w:r w:rsidRPr="00CB2336">
        <w:rPr>
          <w:rFonts w:ascii="Times New Roman" w:eastAsia="Times New Roman" w:hAnsi="Times New Roman" w:cs="Times New Roman"/>
          <w:color w:val="333333"/>
          <w:sz w:val="24"/>
          <w:szCs w:val="24"/>
          <w:lang w:val="nl-NL"/>
        </w:rPr>
        <w:t xml:space="preserve">Bổ sung hướng dẫn tính vào chi phí được trừ khi xác định thu nhập chịu thuế đối với trường hợp mua hàng hóa dịch vụ có hóa đơn in trực </w:t>
      </w:r>
      <w:bookmarkStart w:id="0" w:name="_GoBack"/>
      <w:bookmarkEnd w:id="0"/>
      <w:r w:rsidRPr="00CB2336">
        <w:rPr>
          <w:rFonts w:ascii="Times New Roman" w:eastAsia="Times New Roman" w:hAnsi="Times New Roman" w:cs="Times New Roman"/>
          <w:color w:val="333333"/>
          <w:sz w:val="24"/>
          <w:szCs w:val="24"/>
          <w:lang w:val="nl-NL"/>
        </w:rPr>
        <w:t>tiếp từ máy tính tiền theo quy định của pháp luật về hóa đơn (theo đó, sửa đổi, bổ sung khoản 1 Điều 6) như sau:</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nl-NL"/>
        </w:rPr>
        <w:t>“</w:t>
      </w:r>
      <w:r w:rsidRPr="00CB2336">
        <w:rPr>
          <w:rFonts w:ascii="Times New Roman" w:eastAsia="Times New Roman" w:hAnsi="Times New Roman" w:cs="Times New Roman"/>
          <w:i/>
          <w:iCs/>
          <w:color w:val="333333"/>
          <w:sz w:val="24"/>
          <w:szCs w:val="24"/>
          <w:lang w:val="pl-PL"/>
        </w:rPr>
        <w:t>Trường hợp doanh nghiệp mua hàng hóa, dịch vụ liên quan đến hoạt động sản xuất kinh doanh của doanh nghiệp và có hóa đơn in trực tiếp từ máy tính tiền theo quy định của pháp luật về hóa đơn; hóa đơn này nếu có giá trị từ 20 triệu đồng trở lên thì doanh nghiệp căn cứ vào hóa đơn này và chứng từ thanh toán không dùng tiền mặt của doanh nghiệp để tính vào chi phí được trừ khi xác định thu nhập chịu thuế.</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i/>
          <w:iCs/>
          <w:color w:val="333333"/>
          <w:sz w:val="24"/>
          <w:szCs w:val="24"/>
          <w:lang w:val="pl-PL"/>
        </w:rPr>
        <w:t>Trường hợp doanh nghiệp mua hàng hóa, dịch vụ liên quan đến hoạt động sản xuất kinh doanh của doanh nghiệp và có hóa đơn in trực tiếp từ máy tính tiền theo quy định của pháp luật về hóa đơn; hóa đơn này nếu có giá trị dưới 20 triệu đồng và có thanh toán bằng tiền mặt thì doanh nghiệp căn cứ vào hóa đơn này và chứng từ thanh toán bằng tiền mặt của doanh nghiệp để tính vào chi phí được trừ khi xác định thu nhập chịu thuế”.</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b/>
          <w:bCs/>
          <w:color w:val="333333"/>
          <w:spacing w:val="-12"/>
          <w:sz w:val="24"/>
          <w:szCs w:val="24"/>
          <w:lang w:val="nl-NL"/>
        </w:rPr>
        <w:lastRenderedPageBreak/>
        <w:t>3.</w:t>
      </w:r>
      <w:r w:rsidRPr="00CB2336">
        <w:rPr>
          <w:rFonts w:ascii="Times New Roman" w:eastAsia="Times New Roman" w:hAnsi="Times New Roman" w:cs="Times New Roman"/>
          <w:color w:val="333333"/>
          <w:spacing w:val="-12"/>
          <w:sz w:val="24"/>
          <w:szCs w:val="24"/>
          <w:lang w:val="nl-NL"/>
        </w:rPr>
        <w:t> </w:t>
      </w:r>
      <w:r w:rsidRPr="00CB2336">
        <w:rPr>
          <w:rFonts w:ascii="Times New Roman" w:eastAsia="Times New Roman" w:hAnsi="Times New Roman" w:cs="Times New Roman"/>
          <w:color w:val="333333"/>
          <w:sz w:val="24"/>
          <w:szCs w:val="24"/>
          <w:lang w:val="nl-NL"/>
        </w:rPr>
        <w:t>Sửa đổi, bổ sung hướng dẫn về ưu đãi thuế TNDN đối với dự án có quy mô lớn, theo đó sửa đổi tiêu chí về dự án quy mô lớn phù hợp với quy định của Luật Thuế TNDN và Nghị định số 218/2013/NĐ-CP.</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nl-NL"/>
        </w:rPr>
        <w:t>Các nội dung hướng dẫn nêu trên có hiệu lực thi hành từ ngày </w:t>
      </w:r>
      <w:r w:rsidRPr="00CB2336">
        <w:rPr>
          <w:rFonts w:ascii="Times New Roman" w:eastAsia="Times New Roman" w:hAnsi="Times New Roman" w:cs="Times New Roman"/>
          <w:b/>
          <w:bCs/>
          <w:color w:val="333333"/>
          <w:sz w:val="24"/>
          <w:szCs w:val="24"/>
          <w:lang w:val="en"/>
        </w:rPr>
        <w:t>01 tháng 9 năm 2014.</w:t>
      </w:r>
    </w:p>
    <w:p w:rsidR="00CB2336" w:rsidRPr="00CB2336" w:rsidRDefault="00CB2336" w:rsidP="00CB2336">
      <w:pPr>
        <w:shd w:val="clear" w:color="auto" w:fill="FFFFFF"/>
        <w:spacing w:before="100" w:beforeAutospacing="1" w:after="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nl-NL"/>
        </w:rPr>
        <w:t>Đối với những trường hợp thực hiện thủ tục, mẫu biểu theo các Thông tư được sửa đổi, bổ sung tại Thông tư 119/2014/TT-BTC mà doanh nghiệp cần thời gian chuẩn bị thì doanh nghiệp được chủ động lựa chọn thủ tục, mẫu biểu theo quy định hiện hành và theo quy định sửa đổi, bổ sung để tiếp tục thực hiện đến hết 31/10/2014 mà không cần thông báo, đăng ký với cơ quan thuế.</w:t>
      </w:r>
    </w:p>
    <w:p w:rsidR="00CB2336" w:rsidRPr="00CB2336" w:rsidRDefault="00CB2336" w:rsidP="00CB2336">
      <w:pPr>
        <w:shd w:val="clear" w:color="auto" w:fill="FFFFFF"/>
        <w:spacing w:before="100" w:beforeAutospacing="1" w:after="150" w:line="360" w:lineRule="exact"/>
        <w:jc w:val="both"/>
        <w:rPr>
          <w:rFonts w:ascii="Times New Roman" w:eastAsia="Times New Roman" w:hAnsi="Times New Roman" w:cs="Times New Roman"/>
          <w:color w:val="323232"/>
          <w:sz w:val="24"/>
          <w:szCs w:val="24"/>
          <w:lang w:val="en"/>
        </w:rPr>
      </w:pPr>
      <w:r w:rsidRPr="00CB2336">
        <w:rPr>
          <w:rFonts w:ascii="Times New Roman" w:eastAsia="Times New Roman" w:hAnsi="Times New Roman" w:cs="Times New Roman"/>
          <w:color w:val="333333"/>
          <w:sz w:val="24"/>
          <w:szCs w:val="24"/>
          <w:lang w:val="en"/>
        </w:rPr>
        <w:t>Trong quá trình thực hiện, nếu có khó khăn, vướng mắc, đề nghị </w:t>
      </w:r>
      <w:r w:rsidRPr="00CB2336">
        <w:rPr>
          <w:rFonts w:ascii="Times New Roman" w:eastAsia="Times New Roman" w:hAnsi="Times New Roman" w:cs="Times New Roman"/>
          <w:color w:val="333333"/>
          <w:sz w:val="24"/>
          <w:szCs w:val="24"/>
          <w:lang w:val="nl-NL"/>
        </w:rPr>
        <w:t>các Cục thuế kịp thời tổng hợp,</w:t>
      </w:r>
      <w:r w:rsidRPr="00CB2336">
        <w:rPr>
          <w:rFonts w:ascii="Times New Roman" w:eastAsia="Times New Roman" w:hAnsi="Times New Roman" w:cs="Times New Roman"/>
          <w:color w:val="333333"/>
          <w:sz w:val="24"/>
          <w:szCs w:val="24"/>
          <w:lang w:val="en"/>
        </w:rPr>
        <w:t> phản ánh về </w:t>
      </w:r>
      <w:r w:rsidRPr="00CB2336">
        <w:rPr>
          <w:rFonts w:ascii="Times New Roman" w:eastAsia="Times New Roman" w:hAnsi="Times New Roman" w:cs="Times New Roman"/>
          <w:color w:val="333333"/>
          <w:sz w:val="24"/>
          <w:szCs w:val="24"/>
          <w:lang w:val="nl-NL"/>
        </w:rPr>
        <w:t>Tổng cục Thuế</w:t>
      </w:r>
      <w:r w:rsidRPr="00CB2336">
        <w:rPr>
          <w:rFonts w:ascii="Times New Roman" w:eastAsia="Times New Roman" w:hAnsi="Times New Roman" w:cs="Times New Roman"/>
          <w:color w:val="333333"/>
          <w:sz w:val="24"/>
          <w:szCs w:val="24"/>
          <w:lang w:val="en"/>
        </w:rPr>
        <w:t> để được nghiên cứu giải quyết./.</w:t>
      </w:r>
    </w:p>
    <w:tbl>
      <w:tblPr>
        <w:tblW w:w="0" w:type="auto"/>
        <w:tblCellMar>
          <w:left w:w="0" w:type="dxa"/>
          <w:right w:w="0" w:type="dxa"/>
        </w:tblCellMar>
        <w:tblLook w:val="04A0" w:firstRow="1" w:lastRow="0" w:firstColumn="1" w:lastColumn="0" w:noHBand="0" w:noVBand="1"/>
      </w:tblPr>
      <w:tblGrid>
        <w:gridCol w:w="4068"/>
        <w:gridCol w:w="4788"/>
      </w:tblGrid>
      <w:tr w:rsidR="00CB2336" w:rsidRPr="00CB2336" w:rsidTr="00CB2336">
        <w:tc>
          <w:tcPr>
            <w:tcW w:w="4068" w:type="dxa"/>
            <w:tcMar>
              <w:top w:w="0" w:type="dxa"/>
              <w:left w:w="108" w:type="dxa"/>
              <w:bottom w:w="0" w:type="dxa"/>
              <w:right w:w="108" w:type="dxa"/>
            </w:tcMar>
            <w:hideMark/>
          </w:tcPr>
          <w:p w:rsidR="00CB2336" w:rsidRPr="00CB2336" w:rsidRDefault="00CB2336" w:rsidP="00CB2336">
            <w:pPr>
              <w:spacing w:before="100" w:beforeAutospacing="1" w:after="0" w:line="240" w:lineRule="auto"/>
              <w:rPr>
                <w:rFonts w:ascii="Times New Roman" w:eastAsia="Times New Roman" w:hAnsi="Times New Roman" w:cs="Times New Roman"/>
                <w:color w:val="323232"/>
                <w:sz w:val="24"/>
                <w:szCs w:val="24"/>
              </w:rPr>
            </w:pPr>
            <w:r w:rsidRPr="00CB2336">
              <w:rPr>
                <w:rFonts w:ascii="Times New Roman" w:eastAsia="Times New Roman" w:hAnsi="Times New Roman" w:cs="Times New Roman"/>
                <w:color w:val="333333"/>
                <w:sz w:val="24"/>
                <w:szCs w:val="24"/>
                <w:lang w:val="nl-NL"/>
              </w:rPr>
              <w:t> </w:t>
            </w:r>
            <w:r w:rsidRPr="00CB2336">
              <w:rPr>
                <w:rFonts w:ascii="Times New Roman" w:eastAsia="Times New Roman" w:hAnsi="Times New Roman" w:cs="Times New Roman"/>
                <w:b/>
                <w:bCs/>
                <w:i/>
                <w:iCs/>
                <w:color w:val="323232"/>
                <w:sz w:val="24"/>
                <w:szCs w:val="24"/>
                <w:lang w:val="nl-NL"/>
              </w:rPr>
              <w:t> </w:t>
            </w:r>
          </w:p>
          <w:p w:rsidR="00CB2336" w:rsidRPr="00CB2336" w:rsidRDefault="00CB2336" w:rsidP="00CB2336">
            <w:pPr>
              <w:spacing w:before="100" w:beforeAutospacing="1" w:after="0" w:line="240" w:lineRule="auto"/>
              <w:rPr>
                <w:rFonts w:ascii="Times New Roman" w:eastAsia="Times New Roman" w:hAnsi="Times New Roman" w:cs="Times New Roman"/>
                <w:color w:val="323232"/>
                <w:sz w:val="24"/>
                <w:szCs w:val="24"/>
              </w:rPr>
            </w:pPr>
            <w:r w:rsidRPr="00CB2336">
              <w:rPr>
                <w:rFonts w:ascii="Times New Roman" w:eastAsia="Times New Roman" w:hAnsi="Times New Roman" w:cs="Times New Roman"/>
                <w:b/>
                <w:bCs/>
                <w:i/>
                <w:iCs/>
                <w:color w:val="323232"/>
                <w:sz w:val="24"/>
                <w:szCs w:val="24"/>
                <w:lang w:val="nl-NL"/>
              </w:rPr>
              <w:t>Nơi nhận:</w:t>
            </w:r>
            <w:r w:rsidRPr="00CB2336">
              <w:rPr>
                <w:rFonts w:ascii="Times New Roman" w:eastAsia="Times New Roman" w:hAnsi="Times New Roman" w:cs="Times New Roman"/>
                <w:b/>
                <w:bCs/>
                <w:i/>
                <w:iCs/>
                <w:color w:val="323232"/>
                <w:sz w:val="24"/>
                <w:szCs w:val="24"/>
                <w:lang w:val="nl-NL"/>
              </w:rPr>
              <w:br/>
            </w:r>
            <w:r w:rsidRPr="00CB2336">
              <w:rPr>
                <w:rFonts w:ascii="Times New Roman" w:eastAsia="Times New Roman" w:hAnsi="Times New Roman" w:cs="Times New Roman"/>
                <w:color w:val="323232"/>
                <w:lang w:val="nl-NL"/>
              </w:rPr>
              <w:t>- Như trên;</w:t>
            </w:r>
            <w:r w:rsidRPr="00CB2336">
              <w:rPr>
                <w:rFonts w:ascii="Times New Roman" w:eastAsia="Times New Roman" w:hAnsi="Times New Roman" w:cs="Times New Roman"/>
                <w:color w:val="323232"/>
                <w:lang w:val="nl-NL"/>
              </w:rPr>
              <w:br/>
              <w:t>- Lãnh đạo Tổng cục (để b/c);</w:t>
            </w:r>
            <w:r w:rsidRPr="00CB2336">
              <w:rPr>
                <w:rFonts w:ascii="Times New Roman" w:eastAsia="Times New Roman" w:hAnsi="Times New Roman" w:cs="Times New Roman"/>
                <w:color w:val="323232"/>
                <w:lang w:val="nl-NL"/>
              </w:rPr>
              <w:br/>
              <w:t>- Các Vụ, đơn vị thuộc TCT;</w:t>
            </w:r>
            <w:r w:rsidRPr="00CB2336">
              <w:rPr>
                <w:rFonts w:ascii="Times New Roman" w:eastAsia="Times New Roman" w:hAnsi="Times New Roman" w:cs="Times New Roman"/>
                <w:color w:val="323232"/>
                <w:lang w:val="nl-NL"/>
              </w:rPr>
              <w:br/>
              <w:t>- Lưu: VT, CS (3).Hien</w:t>
            </w:r>
          </w:p>
        </w:tc>
        <w:tc>
          <w:tcPr>
            <w:tcW w:w="4788" w:type="dxa"/>
            <w:tcMar>
              <w:top w:w="0" w:type="dxa"/>
              <w:left w:w="108" w:type="dxa"/>
              <w:bottom w:w="0" w:type="dxa"/>
              <w:right w:w="108" w:type="dxa"/>
            </w:tcMar>
            <w:hideMark/>
          </w:tcPr>
          <w:p w:rsidR="00CB2336" w:rsidRPr="00CB2336" w:rsidRDefault="00CB2336" w:rsidP="00CB2336">
            <w:pPr>
              <w:spacing w:before="100" w:beforeAutospacing="1" w:after="0" w:line="240" w:lineRule="auto"/>
              <w:jc w:val="center"/>
              <w:rPr>
                <w:rFonts w:ascii="Times New Roman" w:eastAsia="Times New Roman" w:hAnsi="Times New Roman" w:cs="Times New Roman"/>
                <w:color w:val="323232"/>
                <w:sz w:val="24"/>
                <w:szCs w:val="24"/>
              </w:rPr>
            </w:pPr>
            <w:r w:rsidRPr="00CB2336">
              <w:rPr>
                <w:rFonts w:ascii="Times New Roman" w:eastAsia="Times New Roman" w:hAnsi="Times New Roman" w:cs="Times New Roman"/>
                <w:b/>
                <w:bCs/>
                <w:color w:val="323232"/>
                <w:sz w:val="24"/>
                <w:szCs w:val="24"/>
                <w:lang w:val="nl-NL"/>
              </w:rPr>
              <w:t> </w:t>
            </w:r>
          </w:p>
          <w:p w:rsidR="00CB2336" w:rsidRPr="00CB2336" w:rsidRDefault="00CB2336" w:rsidP="00CB2336">
            <w:pPr>
              <w:spacing w:before="100" w:beforeAutospacing="1" w:after="0" w:line="240" w:lineRule="auto"/>
              <w:jc w:val="center"/>
              <w:rPr>
                <w:rFonts w:ascii="Times New Roman" w:eastAsia="Times New Roman" w:hAnsi="Times New Roman" w:cs="Times New Roman"/>
                <w:color w:val="323232"/>
                <w:sz w:val="24"/>
                <w:szCs w:val="24"/>
              </w:rPr>
            </w:pPr>
            <w:r w:rsidRPr="00CB2336">
              <w:rPr>
                <w:rFonts w:ascii="Times New Roman" w:eastAsia="Times New Roman" w:hAnsi="Times New Roman" w:cs="Times New Roman"/>
                <w:b/>
                <w:bCs/>
                <w:color w:val="323232"/>
                <w:sz w:val="24"/>
                <w:szCs w:val="24"/>
                <w:lang w:val="nl-NL"/>
              </w:rPr>
              <w:t>KT. TỔNG CỤC TRƯỞNG</w:t>
            </w:r>
            <w:r w:rsidRPr="00CB2336">
              <w:rPr>
                <w:rFonts w:ascii="Times New Roman" w:eastAsia="Times New Roman" w:hAnsi="Times New Roman" w:cs="Times New Roman"/>
                <w:b/>
                <w:bCs/>
                <w:color w:val="323232"/>
                <w:sz w:val="24"/>
                <w:szCs w:val="24"/>
                <w:lang w:val="nl-NL"/>
              </w:rPr>
              <w:br/>
              <w:t>PHÓ TỔNG CỤC TRƯỞNG</w:t>
            </w:r>
            <w:r w:rsidRPr="00CB2336">
              <w:rPr>
                <w:rFonts w:ascii="Times New Roman" w:eastAsia="Times New Roman" w:hAnsi="Times New Roman" w:cs="Times New Roman"/>
                <w:b/>
                <w:bCs/>
                <w:color w:val="323232"/>
                <w:sz w:val="24"/>
                <w:szCs w:val="24"/>
                <w:lang w:val="nl-NL"/>
              </w:rPr>
              <w:br/>
            </w:r>
            <w:r w:rsidRPr="00CB2336">
              <w:rPr>
                <w:rFonts w:ascii="Times New Roman" w:eastAsia="Times New Roman" w:hAnsi="Times New Roman" w:cs="Times New Roman"/>
                <w:b/>
                <w:bCs/>
                <w:color w:val="323232"/>
                <w:sz w:val="24"/>
                <w:szCs w:val="24"/>
                <w:lang w:val="nl-NL"/>
              </w:rPr>
              <w:br/>
            </w:r>
            <w:r w:rsidRPr="00CB2336">
              <w:rPr>
                <w:rFonts w:ascii="Times New Roman" w:eastAsia="Times New Roman" w:hAnsi="Times New Roman" w:cs="Times New Roman"/>
                <w:color w:val="323232"/>
                <w:sz w:val="24"/>
                <w:szCs w:val="24"/>
                <w:lang w:val="nl-NL"/>
              </w:rPr>
              <w:t>(Đã ký)</w:t>
            </w:r>
            <w:r w:rsidRPr="00CB2336">
              <w:rPr>
                <w:rFonts w:ascii="Times New Roman" w:eastAsia="Times New Roman" w:hAnsi="Times New Roman" w:cs="Times New Roman"/>
                <w:color w:val="323232"/>
                <w:sz w:val="24"/>
                <w:szCs w:val="24"/>
                <w:lang w:val="nl-NL"/>
              </w:rPr>
              <w:br/>
            </w:r>
            <w:r w:rsidRPr="00CB2336">
              <w:rPr>
                <w:rFonts w:ascii="Times New Roman" w:eastAsia="Times New Roman" w:hAnsi="Times New Roman" w:cs="Times New Roman"/>
                <w:color w:val="323232"/>
                <w:sz w:val="24"/>
                <w:szCs w:val="24"/>
                <w:lang w:val="nl-NL"/>
              </w:rPr>
              <w:br/>
            </w:r>
            <w:r w:rsidRPr="00CB2336">
              <w:rPr>
                <w:rFonts w:ascii="Times New Roman" w:eastAsia="Times New Roman" w:hAnsi="Times New Roman" w:cs="Times New Roman"/>
                <w:color w:val="323232"/>
                <w:sz w:val="24"/>
                <w:szCs w:val="24"/>
                <w:lang w:val="nl-NL"/>
              </w:rPr>
              <w:br/>
            </w:r>
            <w:r w:rsidRPr="00CB2336">
              <w:rPr>
                <w:rFonts w:ascii="Times New Roman" w:eastAsia="Times New Roman" w:hAnsi="Times New Roman" w:cs="Times New Roman"/>
                <w:b/>
                <w:bCs/>
                <w:color w:val="323232"/>
                <w:sz w:val="24"/>
                <w:szCs w:val="24"/>
                <w:lang w:val="nl-NL"/>
              </w:rPr>
              <w:t>Cao Anh Tuấn</w:t>
            </w:r>
          </w:p>
        </w:tc>
      </w:tr>
    </w:tbl>
    <w:p w:rsidR="002674C9" w:rsidRDefault="002674C9"/>
    <w:sectPr w:rsidR="00267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336"/>
    <w:rsid w:val="0006234B"/>
    <w:rsid w:val="002674C9"/>
    <w:rsid w:val="005E34B7"/>
    <w:rsid w:val="0065439A"/>
    <w:rsid w:val="00BB6C5E"/>
    <w:rsid w:val="00CB2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3747E5-DB80-4835-BB4A-18198C37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639764">
      <w:bodyDiv w:val="1"/>
      <w:marLeft w:val="0"/>
      <w:marRight w:val="0"/>
      <w:marTop w:val="0"/>
      <w:marBottom w:val="0"/>
      <w:divBdr>
        <w:top w:val="none" w:sz="0" w:space="0" w:color="auto"/>
        <w:left w:val="none" w:sz="0" w:space="0" w:color="auto"/>
        <w:bottom w:val="none" w:sz="0" w:space="0" w:color="auto"/>
        <w:right w:val="none" w:sz="0" w:space="0" w:color="auto"/>
      </w:divBdr>
      <w:divsChild>
        <w:div w:id="701710024">
          <w:marLeft w:val="0"/>
          <w:marRight w:val="0"/>
          <w:marTop w:val="0"/>
          <w:marBottom w:val="0"/>
          <w:divBdr>
            <w:top w:val="none" w:sz="0" w:space="0" w:color="auto"/>
            <w:left w:val="none" w:sz="0" w:space="0" w:color="auto"/>
            <w:bottom w:val="none" w:sz="0" w:space="0" w:color="auto"/>
            <w:right w:val="none" w:sz="0" w:space="0" w:color="auto"/>
          </w:divBdr>
          <w:divsChild>
            <w:div w:id="1398362863">
              <w:marLeft w:val="0"/>
              <w:marRight w:val="0"/>
              <w:marTop w:val="75"/>
              <w:marBottom w:val="0"/>
              <w:divBdr>
                <w:top w:val="none" w:sz="0" w:space="0" w:color="auto"/>
                <w:left w:val="none" w:sz="0" w:space="0" w:color="auto"/>
                <w:bottom w:val="none" w:sz="0" w:space="0" w:color="auto"/>
                <w:right w:val="none" w:sz="0" w:space="0" w:color="auto"/>
              </w:divBdr>
              <w:divsChild>
                <w:div w:id="1059521812">
                  <w:marLeft w:val="0"/>
                  <w:marRight w:val="0"/>
                  <w:marTop w:val="0"/>
                  <w:marBottom w:val="0"/>
                  <w:divBdr>
                    <w:top w:val="single" w:sz="6" w:space="0" w:color="FFFFFF"/>
                    <w:left w:val="single" w:sz="6" w:space="0" w:color="FFFFFF"/>
                    <w:bottom w:val="single" w:sz="6" w:space="0" w:color="FFFFFF"/>
                    <w:right w:val="single" w:sz="6" w:space="0" w:color="FFFFFF"/>
                  </w:divBdr>
                  <w:divsChild>
                    <w:div w:id="679628297">
                      <w:marLeft w:val="0"/>
                      <w:marRight w:val="0"/>
                      <w:marTop w:val="0"/>
                      <w:marBottom w:val="0"/>
                      <w:divBdr>
                        <w:top w:val="none" w:sz="0" w:space="0" w:color="568DD0"/>
                        <w:left w:val="none" w:sz="0" w:space="0" w:color="CFCFCF"/>
                        <w:bottom w:val="none" w:sz="0" w:space="0" w:color="CFCFCF"/>
                        <w:right w:val="none" w:sz="0" w:space="0" w:color="CFCFCF"/>
                      </w:divBdr>
                      <w:divsChild>
                        <w:div w:id="379403393">
                          <w:marLeft w:val="0"/>
                          <w:marRight w:val="0"/>
                          <w:marTop w:val="0"/>
                          <w:marBottom w:val="0"/>
                          <w:divBdr>
                            <w:top w:val="none" w:sz="0" w:space="0" w:color="auto"/>
                            <w:left w:val="none" w:sz="0" w:space="0" w:color="auto"/>
                            <w:bottom w:val="none" w:sz="0" w:space="0" w:color="auto"/>
                            <w:right w:val="none" w:sz="0" w:space="0" w:color="auto"/>
                          </w:divBdr>
                          <w:divsChild>
                            <w:div w:id="1825509444">
                              <w:marLeft w:val="150"/>
                              <w:marRight w:val="150"/>
                              <w:marTop w:val="0"/>
                              <w:marBottom w:val="150"/>
                              <w:divBdr>
                                <w:top w:val="none" w:sz="0" w:space="0" w:color="auto"/>
                                <w:left w:val="none" w:sz="0" w:space="0" w:color="auto"/>
                                <w:bottom w:val="none" w:sz="0" w:space="0" w:color="auto"/>
                                <w:right w:val="none" w:sz="0" w:space="0" w:color="auto"/>
                              </w:divBdr>
                              <w:divsChild>
                                <w:div w:id="1395817734">
                                  <w:marLeft w:val="0"/>
                                  <w:marRight w:val="0"/>
                                  <w:marTop w:val="0"/>
                                  <w:marBottom w:val="0"/>
                                  <w:divBdr>
                                    <w:top w:val="none" w:sz="0" w:space="0" w:color="auto"/>
                                    <w:left w:val="none" w:sz="0" w:space="0" w:color="auto"/>
                                    <w:bottom w:val="none" w:sz="0" w:space="0" w:color="auto"/>
                                    <w:right w:val="none" w:sz="0" w:space="0" w:color="auto"/>
                                  </w:divBdr>
                                  <w:divsChild>
                                    <w:div w:id="878247945">
                                      <w:marLeft w:val="0"/>
                                      <w:marRight w:val="0"/>
                                      <w:marTop w:val="0"/>
                                      <w:marBottom w:val="0"/>
                                      <w:divBdr>
                                        <w:top w:val="single" w:sz="6" w:space="1" w:color="969696"/>
                                        <w:left w:val="single" w:sz="6" w:space="1" w:color="969696"/>
                                        <w:bottom w:val="single" w:sz="6" w:space="1" w:color="969696"/>
                                        <w:right w:val="single" w:sz="6" w:space="1" w:color="969696"/>
                                      </w:divBdr>
                                      <w:divsChild>
                                        <w:div w:id="2023697913">
                                          <w:marLeft w:val="0"/>
                                          <w:marRight w:val="0"/>
                                          <w:marTop w:val="0"/>
                                          <w:marBottom w:val="0"/>
                                          <w:divBdr>
                                            <w:top w:val="none" w:sz="0" w:space="0" w:color="auto"/>
                                            <w:left w:val="none" w:sz="0" w:space="0" w:color="auto"/>
                                            <w:bottom w:val="none" w:sz="0" w:space="0" w:color="auto"/>
                                            <w:right w:val="none" w:sz="0" w:space="0" w:color="auto"/>
                                          </w:divBdr>
                                          <w:divsChild>
                                            <w:div w:id="110322558">
                                              <w:marLeft w:val="0"/>
                                              <w:marRight w:val="0"/>
                                              <w:marTop w:val="0"/>
                                              <w:marBottom w:val="0"/>
                                              <w:divBdr>
                                                <w:top w:val="none" w:sz="0" w:space="0" w:color="auto"/>
                                                <w:left w:val="none" w:sz="0" w:space="0" w:color="auto"/>
                                                <w:bottom w:val="none" w:sz="0" w:space="0" w:color="auto"/>
                                                <w:right w:val="none" w:sz="0" w:space="0" w:color="auto"/>
                                              </w:divBdr>
                                              <w:divsChild>
                                                <w:div w:id="1638413005">
                                                  <w:marLeft w:val="0"/>
                                                  <w:marRight w:val="0"/>
                                                  <w:marTop w:val="0"/>
                                                  <w:marBottom w:val="0"/>
                                                  <w:divBdr>
                                                    <w:top w:val="none" w:sz="0" w:space="0" w:color="auto"/>
                                                    <w:left w:val="single" w:sz="6" w:space="9" w:color="969696"/>
                                                    <w:bottom w:val="single" w:sz="6" w:space="9" w:color="969696"/>
                                                    <w:right w:val="single" w:sz="6" w:space="9" w:color="969696"/>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975FA57A-3FE8-4617-8D26-4355E2C3ECCE}"/>
</file>

<file path=customXml/itemProps2.xml><?xml version="1.0" encoding="utf-8"?>
<ds:datastoreItem xmlns:ds="http://schemas.openxmlformats.org/officeDocument/2006/customXml" ds:itemID="{35EAF803-3764-4976-A466-0C03410B820C}"/>
</file>

<file path=customXml/itemProps3.xml><?xml version="1.0" encoding="utf-8"?>
<ds:datastoreItem xmlns:ds="http://schemas.openxmlformats.org/officeDocument/2006/customXml" ds:itemID="{73B6E1EE-92F1-40A9-94A3-0B1AD53C58B5}"/>
</file>

<file path=docProps/app.xml><?xml version="1.0" encoding="utf-8"?>
<Properties xmlns="http://schemas.openxmlformats.org/officeDocument/2006/extended-properties" xmlns:vt="http://schemas.openxmlformats.org/officeDocument/2006/docPropsVTypes">
  <Template>Normal</Template>
  <TotalTime>5</TotalTime>
  <Pages>11</Pages>
  <Words>3258</Words>
  <Characters>18576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21791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2</cp:revision>
  <dcterms:created xsi:type="dcterms:W3CDTF">2014-12-16T10:40:00Z</dcterms:created>
  <dcterms:modified xsi:type="dcterms:W3CDTF">2015-01-27T08:16:00Z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