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024CA1" w14:textId="77777777" w:rsidR="006104F4" w:rsidRDefault="006104F4" w:rsidP="006850C7">
      <w:pPr>
        <w:pStyle w:val="Heading2"/>
        <w:numPr>
          <w:ilvl w:val="0"/>
          <w:numId w:val="0"/>
        </w:numPr>
      </w:pPr>
      <w:bookmarkStart w:id="0" w:name="_Ref26275299"/>
      <w:bookmarkStart w:id="1" w:name="_Toc26539358"/>
      <w:r>
        <w:t>Capital gain tax</w:t>
      </w:r>
      <w:bookmarkEnd w:id="0"/>
      <w:bookmarkEnd w:id="1"/>
    </w:p>
    <w:p w14:paraId="4842A90F" w14:textId="77777777" w:rsidR="006104F4" w:rsidRPr="0040069C" w:rsidRDefault="006104F4" w:rsidP="006850C7">
      <w:pPr>
        <w:pStyle w:val="BodyText-Listed"/>
        <w:rPr>
          <w:rFonts w:ascii="Arial" w:hAnsi="Arial"/>
          <w:szCs w:val="22"/>
        </w:rPr>
      </w:pPr>
      <w:r w:rsidRPr="0040069C">
        <w:rPr>
          <w:rFonts w:ascii="Arial" w:hAnsi="Arial"/>
          <w:szCs w:val="22"/>
        </w:rPr>
        <w:t>Capital assignment profit tax (“CAPT”) represents Vietnam’s taxation of capital gains realized from the alienation of property.</w:t>
      </w:r>
    </w:p>
    <w:p w14:paraId="405C85DB" w14:textId="77777777" w:rsidR="006104F4" w:rsidRPr="0040069C" w:rsidRDefault="006104F4" w:rsidP="006850C7">
      <w:pPr>
        <w:pStyle w:val="BodyText-Listed"/>
        <w:rPr>
          <w:rFonts w:ascii="Arial" w:hAnsi="Arial"/>
          <w:szCs w:val="22"/>
        </w:rPr>
      </w:pPr>
      <w:r w:rsidRPr="0040069C">
        <w:rPr>
          <w:rFonts w:ascii="Arial" w:hAnsi="Arial"/>
          <w:szCs w:val="22"/>
        </w:rPr>
        <w:t>Income derived from a direct or indirect capital assignment in Vietnam is subject to CAPT without reference to where the sales transaction was executed.</w:t>
      </w:r>
    </w:p>
    <w:p w14:paraId="3888017E" w14:textId="77777777" w:rsidR="006104F4" w:rsidRPr="0040069C" w:rsidRDefault="006104F4" w:rsidP="006850C7">
      <w:pPr>
        <w:pStyle w:val="BodyText-Listed"/>
        <w:rPr>
          <w:rFonts w:ascii="Arial" w:hAnsi="Arial"/>
          <w:szCs w:val="22"/>
        </w:rPr>
      </w:pPr>
      <w:r w:rsidRPr="0040069C">
        <w:rPr>
          <w:rFonts w:ascii="Arial" w:hAnsi="Arial"/>
          <w:szCs w:val="22"/>
        </w:rPr>
        <w:t>Transfer price should be evidenced by a sale and purchase agreement.  The cost base comprises acquisition cost and transaction expenses.  Acquisition cost is broadly the value of transferor’s contributed capital as at the time of contribution.</w:t>
      </w:r>
    </w:p>
    <w:p w14:paraId="54AE1DEE" w14:textId="77777777" w:rsidR="006104F4" w:rsidRDefault="006104F4" w:rsidP="006850C7">
      <w:pPr>
        <w:pStyle w:val="BodyText-Listed"/>
        <w:rPr>
          <w:rFonts w:ascii="Arial" w:hAnsi="Arial"/>
          <w:szCs w:val="22"/>
        </w:rPr>
      </w:pPr>
      <w:r w:rsidRPr="0040069C">
        <w:rPr>
          <w:rFonts w:ascii="Arial" w:hAnsi="Arial"/>
          <w:szCs w:val="22"/>
        </w:rPr>
        <w:t>Transaction expenses (arguably those incurred by the transferor) typically include legal and professional expenses, levies, communication expenses, negotiations, etc.</w:t>
      </w:r>
    </w:p>
    <w:p w14:paraId="36BF2787" w14:textId="77777777" w:rsidR="006104F4" w:rsidRPr="00D9614F" w:rsidRDefault="006104F4" w:rsidP="006850C7">
      <w:pPr>
        <w:pStyle w:val="BodyText-Listed"/>
        <w:rPr>
          <w:rFonts w:ascii="Arial" w:hAnsi="Arial"/>
          <w:szCs w:val="22"/>
        </w:rPr>
      </w:pPr>
      <w:r>
        <w:rPr>
          <w:rFonts w:ascii="Arial" w:hAnsi="Arial"/>
          <w:szCs w:val="22"/>
        </w:rPr>
        <w:t>Under current regulations, both direct and i</w:t>
      </w:r>
      <w:r w:rsidRPr="00D9614F">
        <w:rPr>
          <w:rFonts w:ascii="Arial" w:hAnsi="Arial"/>
          <w:szCs w:val="22"/>
        </w:rPr>
        <w:t xml:space="preserve">ndirect transfer of capital or interest related to assets/companies in Vietnam </w:t>
      </w:r>
      <w:r>
        <w:rPr>
          <w:rFonts w:ascii="Arial" w:hAnsi="Arial"/>
          <w:szCs w:val="22"/>
        </w:rPr>
        <w:t>are</w:t>
      </w:r>
      <w:r w:rsidRPr="00D9614F">
        <w:rPr>
          <w:rFonts w:ascii="Arial" w:hAnsi="Arial"/>
          <w:szCs w:val="22"/>
        </w:rPr>
        <w:t xml:space="preserve"> subject to </w:t>
      </w:r>
      <w:r>
        <w:rPr>
          <w:rFonts w:ascii="Arial" w:hAnsi="Arial"/>
          <w:szCs w:val="22"/>
        </w:rPr>
        <w:t>CAPT</w:t>
      </w:r>
      <w:r w:rsidRPr="00D9614F">
        <w:rPr>
          <w:rFonts w:ascii="Arial" w:hAnsi="Arial"/>
          <w:szCs w:val="22"/>
        </w:rPr>
        <w:t xml:space="preserve">. </w:t>
      </w:r>
    </w:p>
    <w:p w14:paraId="5E5C2761" w14:textId="77777777" w:rsidR="006104F4" w:rsidRPr="00D9614F" w:rsidRDefault="006104F4" w:rsidP="006850C7">
      <w:pPr>
        <w:pStyle w:val="BodyText-Listed"/>
        <w:rPr>
          <w:rFonts w:ascii="Arial" w:hAnsi="Arial"/>
          <w:szCs w:val="22"/>
        </w:rPr>
      </w:pPr>
      <w:r w:rsidRPr="00D9614F">
        <w:rPr>
          <w:rFonts w:ascii="Arial" w:hAnsi="Arial"/>
          <w:szCs w:val="22"/>
        </w:rPr>
        <w:t>In the past, some foreign investors might have taken the advantage whereby the offshore share transfer transaction (indirect transfer via multiple layers of SPVs in foreign jurisdiction) taking place offshore is invisible to the tax authorities,</w:t>
      </w:r>
      <w:r>
        <w:rPr>
          <w:rFonts w:ascii="Arial" w:hAnsi="Arial"/>
          <w:szCs w:val="22"/>
        </w:rPr>
        <w:t xml:space="preserve"> </w:t>
      </w:r>
      <w:r w:rsidRPr="00D9614F">
        <w:rPr>
          <w:rFonts w:ascii="Arial" w:hAnsi="Arial"/>
          <w:szCs w:val="22"/>
        </w:rPr>
        <w:t xml:space="preserve">and decided not to declare such transaction for Vietnamese tax purpose. </w:t>
      </w:r>
    </w:p>
    <w:p w14:paraId="105F9D11" w14:textId="77777777" w:rsidR="006104F4" w:rsidRPr="007E3381" w:rsidRDefault="006104F4" w:rsidP="006850C7">
      <w:pPr>
        <w:pStyle w:val="BodyText-Listed"/>
        <w:rPr>
          <w:rFonts w:ascii="Arial" w:hAnsi="Arial"/>
          <w:szCs w:val="22"/>
        </w:rPr>
      </w:pPr>
      <w:r w:rsidRPr="007E3381">
        <w:rPr>
          <w:rFonts w:ascii="Arial" w:hAnsi="Arial"/>
          <w:szCs w:val="22"/>
        </w:rPr>
        <w:t>The tax authorities now pay much attention to indirect capital transfer transactions and will impose taxes on offshore transactions if it comes to their attention.</w:t>
      </w:r>
      <w:r>
        <w:rPr>
          <w:rFonts w:ascii="Arial" w:hAnsi="Arial"/>
          <w:szCs w:val="22"/>
        </w:rPr>
        <w:t xml:space="preserve"> </w:t>
      </w:r>
      <w:r w:rsidRPr="007E3381">
        <w:rPr>
          <w:rFonts w:ascii="Arial" w:hAnsi="Arial"/>
          <w:szCs w:val="22"/>
        </w:rPr>
        <w:t>The awareness of the tax authorities on the offshore transactions depends on the publicity of the related information (e.g. name change of the SPV, newspaper, transfer pricing declaration, etc.).</w:t>
      </w:r>
    </w:p>
    <w:p w14:paraId="3F194D13" w14:textId="77777777" w:rsidR="006104F4" w:rsidRPr="0040069C" w:rsidRDefault="006104F4" w:rsidP="006850C7">
      <w:pPr>
        <w:pStyle w:val="BodyText-Listed"/>
        <w:rPr>
          <w:rFonts w:ascii="Arial" w:hAnsi="Arial"/>
          <w:szCs w:val="22"/>
        </w:rPr>
      </w:pPr>
      <w:r w:rsidRPr="0040069C">
        <w:rPr>
          <w:rFonts w:ascii="Arial" w:hAnsi="Arial"/>
          <w:szCs w:val="22"/>
        </w:rPr>
        <w:t>The CAPT rates are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01"/>
        <w:gridCol w:w="2055"/>
        <w:gridCol w:w="2055"/>
        <w:gridCol w:w="2310"/>
      </w:tblGrid>
      <w:tr w:rsidR="006104F4" w:rsidRPr="0040069C" w14:paraId="4AA99AD3" w14:textId="77777777" w:rsidTr="00430EE7">
        <w:trPr>
          <w:trHeight w:val="20"/>
        </w:trPr>
        <w:tc>
          <w:tcPr>
            <w:tcW w:w="2301" w:type="dxa"/>
            <w:vMerge w:val="restart"/>
            <w:shd w:val="clear" w:color="auto" w:fill="44546A" w:themeFill="text2"/>
            <w:tcMar>
              <w:top w:w="0" w:type="dxa"/>
              <w:left w:w="108" w:type="dxa"/>
              <w:bottom w:w="0" w:type="dxa"/>
              <w:right w:w="108" w:type="dxa"/>
            </w:tcMar>
            <w:vAlign w:val="center"/>
          </w:tcPr>
          <w:p w14:paraId="48AE98B6" w14:textId="77777777" w:rsidR="006104F4" w:rsidRPr="006104F4" w:rsidRDefault="006104F4" w:rsidP="00430EE7">
            <w:pPr>
              <w:pStyle w:val="BodyText-Listed"/>
              <w:spacing w:before="0" w:after="0"/>
              <w:jc w:val="center"/>
              <w:rPr>
                <w:rFonts w:ascii="Arial" w:hAnsi="Arial"/>
                <w:color w:val="FFFFFF" w:themeColor="background1"/>
                <w:szCs w:val="22"/>
              </w:rPr>
            </w:pPr>
            <w:r w:rsidRPr="006104F4">
              <w:rPr>
                <w:rFonts w:ascii="Arial" w:hAnsi="Arial"/>
                <w:color w:val="FFFFFF" w:themeColor="background1"/>
                <w:szCs w:val="22"/>
              </w:rPr>
              <w:t>Transferor</w:t>
            </w:r>
          </w:p>
        </w:tc>
        <w:tc>
          <w:tcPr>
            <w:tcW w:w="6420" w:type="dxa"/>
            <w:gridSpan w:val="3"/>
            <w:shd w:val="clear" w:color="auto" w:fill="44546A" w:themeFill="text2"/>
            <w:tcMar>
              <w:top w:w="0" w:type="dxa"/>
              <w:left w:w="108" w:type="dxa"/>
              <w:bottom w:w="0" w:type="dxa"/>
              <w:right w:w="108" w:type="dxa"/>
            </w:tcMar>
            <w:vAlign w:val="center"/>
            <w:hideMark/>
          </w:tcPr>
          <w:p w14:paraId="6D254A8B" w14:textId="77777777" w:rsidR="006104F4" w:rsidRPr="006104F4" w:rsidRDefault="006104F4" w:rsidP="00430EE7">
            <w:pPr>
              <w:pStyle w:val="BodyText-Listed"/>
              <w:spacing w:before="0" w:after="0"/>
              <w:jc w:val="center"/>
              <w:rPr>
                <w:rFonts w:ascii="Arial" w:hAnsi="Arial"/>
                <w:b/>
                <w:color w:val="FFFFFF" w:themeColor="background1"/>
                <w:szCs w:val="22"/>
              </w:rPr>
            </w:pPr>
            <w:r w:rsidRPr="006104F4">
              <w:rPr>
                <w:rFonts w:ascii="Arial" w:hAnsi="Arial"/>
                <w:b/>
                <w:color w:val="FFFFFF" w:themeColor="background1"/>
                <w:szCs w:val="22"/>
              </w:rPr>
              <w:t>Legal form of transferred company</w:t>
            </w:r>
          </w:p>
        </w:tc>
      </w:tr>
      <w:tr w:rsidR="006104F4" w:rsidRPr="0040069C" w14:paraId="11572AE5" w14:textId="77777777" w:rsidTr="00430EE7">
        <w:trPr>
          <w:trHeight w:val="20"/>
        </w:trPr>
        <w:tc>
          <w:tcPr>
            <w:tcW w:w="2301" w:type="dxa"/>
            <w:vMerge/>
            <w:shd w:val="clear" w:color="auto" w:fill="44546A" w:themeFill="text2"/>
            <w:tcMar>
              <w:top w:w="0" w:type="dxa"/>
              <w:left w:w="108" w:type="dxa"/>
              <w:bottom w:w="0" w:type="dxa"/>
              <w:right w:w="108" w:type="dxa"/>
            </w:tcMar>
            <w:vAlign w:val="center"/>
            <w:hideMark/>
          </w:tcPr>
          <w:p w14:paraId="67A572E2" w14:textId="77777777" w:rsidR="006104F4" w:rsidRPr="006104F4" w:rsidRDefault="006104F4" w:rsidP="006104F4">
            <w:pPr>
              <w:pStyle w:val="BodyText-Listed"/>
              <w:spacing w:before="0" w:after="0"/>
              <w:ind w:hanging="720"/>
              <w:jc w:val="center"/>
              <w:rPr>
                <w:rFonts w:ascii="Arial" w:hAnsi="Arial"/>
                <w:color w:val="FFFFFF" w:themeColor="background1"/>
                <w:szCs w:val="22"/>
              </w:rPr>
            </w:pPr>
          </w:p>
        </w:tc>
        <w:tc>
          <w:tcPr>
            <w:tcW w:w="2055" w:type="dxa"/>
            <w:shd w:val="clear" w:color="auto" w:fill="44546A" w:themeFill="text2"/>
            <w:tcMar>
              <w:top w:w="0" w:type="dxa"/>
              <w:left w:w="108" w:type="dxa"/>
              <w:bottom w:w="0" w:type="dxa"/>
              <w:right w:w="108" w:type="dxa"/>
            </w:tcMar>
            <w:vAlign w:val="center"/>
            <w:hideMark/>
          </w:tcPr>
          <w:p w14:paraId="513526F6" w14:textId="77777777" w:rsidR="006104F4" w:rsidRPr="006104F4" w:rsidRDefault="006104F4" w:rsidP="00430EE7">
            <w:pPr>
              <w:pStyle w:val="BodyText-Listed"/>
              <w:spacing w:before="0" w:after="0"/>
              <w:jc w:val="center"/>
              <w:rPr>
                <w:rFonts w:ascii="Arial" w:hAnsi="Arial"/>
                <w:color w:val="FFFFFF" w:themeColor="background1"/>
                <w:szCs w:val="22"/>
              </w:rPr>
            </w:pPr>
            <w:r w:rsidRPr="006104F4">
              <w:rPr>
                <w:rFonts w:ascii="Arial" w:hAnsi="Arial"/>
                <w:color w:val="FFFFFF" w:themeColor="background1"/>
                <w:szCs w:val="22"/>
              </w:rPr>
              <w:t>LLC</w:t>
            </w:r>
          </w:p>
        </w:tc>
        <w:tc>
          <w:tcPr>
            <w:tcW w:w="2055" w:type="dxa"/>
            <w:shd w:val="clear" w:color="auto" w:fill="44546A" w:themeFill="text2"/>
            <w:tcMar>
              <w:top w:w="0" w:type="dxa"/>
              <w:left w:w="108" w:type="dxa"/>
              <w:bottom w:w="0" w:type="dxa"/>
              <w:right w:w="108" w:type="dxa"/>
            </w:tcMar>
            <w:vAlign w:val="center"/>
            <w:hideMark/>
          </w:tcPr>
          <w:p w14:paraId="7F24838E" w14:textId="77777777" w:rsidR="006104F4" w:rsidRPr="006104F4" w:rsidRDefault="006104F4" w:rsidP="00430EE7">
            <w:pPr>
              <w:pStyle w:val="BodyText-Listed"/>
              <w:spacing w:before="0" w:after="0"/>
              <w:jc w:val="center"/>
              <w:rPr>
                <w:rFonts w:ascii="Arial" w:hAnsi="Arial"/>
                <w:color w:val="FFFFFF" w:themeColor="background1"/>
                <w:szCs w:val="22"/>
              </w:rPr>
            </w:pPr>
            <w:r w:rsidRPr="006104F4">
              <w:rPr>
                <w:rFonts w:ascii="Arial" w:hAnsi="Arial"/>
                <w:color w:val="FFFFFF" w:themeColor="background1"/>
                <w:szCs w:val="22"/>
              </w:rPr>
              <w:t>Non-public JSC</w:t>
            </w:r>
          </w:p>
        </w:tc>
        <w:tc>
          <w:tcPr>
            <w:tcW w:w="2310" w:type="dxa"/>
            <w:shd w:val="clear" w:color="auto" w:fill="44546A" w:themeFill="text2"/>
            <w:tcMar>
              <w:top w:w="0" w:type="dxa"/>
              <w:left w:w="108" w:type="dxa"/>
              <w:bottom w:w="0" w:type="dxa"/>
              <w:right w:w="108" w:type="dxa"/>
            </w:tcMar>
            <w:vAlign w:val="center"/>
            <w:hideMark/>
          </w:tcPr>
          <w:p w14:paraId="36D7D6C6" w14:textId="77777777" w:rsidR="006104F4" w:rsidRPr="006104F4" w:rsidRDefault="006104F4" w:rsidP="00430EE7">
            <w:pPr>
              <w:pStyle w:val="BodyText-Listed"/>
              <w:spacing w:before="0" w:after="0"/>
              <w:jc w:val="center"/>
              <w:rPr>
                <w:rFonts w:ascii="Arial" w:hAnsi="Arial"/>
                <w:color w:val="FFFFFF" w:themeColor="background1"/>
                <w:szCs w:val="22"/>
              </w:rPr>
            </w:pPr>
            <w:r w:rsidRPr="006104F4">
              <w:rPr>
                <w:rFonts w:ascii="Arial" w:hAnsi="Arial"/>
                <w:color w:val="FFFFFF" w:themeColor="background1"/>
                <w:szCs w:val="22"/>
              </w:rPr>
              <w:t>Public JSC</w:t>
            </w:r>
          </w:p>
        </w:tc>
      </w:tr>
      <w:tr w:rsidR="006104F4" w:rsidRPr="0040069C" w14:paraId="31319972" w14:textId="77777777" w:rsidTr="00430EE7">
        <w:trPr>
          <w:trHeight w:val="20"/>
        </w:trPr>
        <w:tc>
          <w:tcPr>
            <w:tcW w:w="2301" w:type="dxa"/>
            <w:tcMar>
              <w:top w:w="0" w:type="dxa"/>
              <w:left w:w="108" w:type="dxa"/>
              <w:bottom w:w="0" w:type="dxa"/>
              <w:right w:w="108" w:type="dxa"/>
            </w:tcMar>
            <w:vAlign w:val="center"/>
            <w:hideMark/>
          </w:tcPr>
          <w:p w14:paraId="5815592C" w14:textId="77777777" w:rsidR="006104F4" w:rsidRPr="00C90F15" w:rsidRDefault="006104F4" w:rsidP="00430EE7">
            <w:pPr>
              <w:pStyle w:val="BodyText-Listed"/>
              <w:spacing w:before="0" w:after="0"/>
              <w:jc w:val="left"/>
              <w:rPr>
                <w:rFonts w:ascii="Arial" w:hAnsi="Arial"/>
                <w:b/>
                <w:szCs w:val="22"/>
              </w:rPr>
            </w:pPr>
            <w:r w:rsidRPr="00C90F15">
              <w:rPr>
                <w:rFonts w:ascii="Arial" w:hAnsi="Arial"/>
                <w:b/>
                <w:szCs w:val="22"/>
              </w:rPr>
              <w:t>Vietnamese individuals</w:t>
            </w:r>
          </w:p>
        </w:tc>
        <w:tc>
          <w:tcPr>
            <w:tcW w:w="2055" w:type="dxa"/>
            <w:tcMar>
              <w:top w:w="0" w:type="dxa"/>
              <w:left w:w="108" w:type="dxa"/>
              <w:bottom w:w="0" w:type="dxa"/>
              <w:right w:w="108" w:type="dxa"/>
            </w:tcMar>
            <w:vAlign w:val="center"/>
            <w:hideMark/>
          </w:tcPr>
          <w:p w14:paraId="460ADFD9" w14:textId="77777777" w:rsidR="006104F4" w:rsidRPr="0040069C" w:rsidRDefault="006104F4" w:rsidP="00430EE7">
            <w:pPr>
              <w:pStyle w:val="BodyText-Listed"/>
              <w:spacing w:before="0" w:after="0"/>
              <w:jc w:val="center"/>
              <w:rPr>
                <w:rFonts w:ascii="Arial" w:hAnsi="Arial"/>
                <w:szCs w:val="22"/>
              </w:rPr>
            </w:pPr>
            <w:r w:rsidRPr="0040069C">
              <w:rPr>
                <w:rFonts w:ascii="Arial" w:hAnsi="Arial"/>
                <w:szCs w:val="22"/>
              </w:rPr>
              <w:t>20% net gain</w:t>
            </w:r>
          </w:p>
        </w:tc>
        <w:tc>
          <w:tcPr>
            <w:tcW w:w="2055" w:type="dxa"/>
            <w:tcMar>
              <w:top w:w="0" w:type="dxa"/>
              <w:left w:w="108" w:type="dxa"/>
              <w:bottom w:w="0" w:type="dxa"/>
              <w:right w:w="108" w:type="dxa"/>
            </w:tcMar>
            <w:vAlign w:val="center"/>
            <w:hideMark/>
          </w:tcPr>
          <w:p w14:paraId="2A3A7322" w14:textId="77777777" w:rsidR="006104F4" w:rsidRPr="0040069C" w:rsidRDefault="006104F4" w:rsidP="00430EE7">
            <w:pPr>
              <w:pStyle w:val="BodyText-Listed"/>
              <w:spacing w:before="0" w:after="0"/>
              <w:jc w:val="center"/>
              <w:rPr>
                <w:rFonts w:ascii="Arial" w:hAnsi="Arial"/>
                <w:szCs w:val="22"/>
              </w:rPr>
            </w:pPr>
            <w:r w:rsidRPr="0040069C">
              <w:rPr>
                <w:rFonts w:ascii="Arial" w:hAnsi="Arial"/>
                <w:szCs w:val="22"/>
              </w:rPr>
              <w:t>0.1% Sale price</w:t>
            </w:r>
          </w:p>
        </w:tc>
        <w:tc>
          <w:tcPr>
            <w:tcW w:w="2310" w:type="dxa"/>
            <w:tcMar>
              <w:top w:w="0" w:type="dxa"/>
              <w:left w:w="108" w:type="dxa"/>
              <w:bottom w:w="0" w:type="dxa"/>
              <w:right w:w="108" w:type="dxa"/>
            </w:tcMar>
            <w:vAlign w:val="center"/>
            <w:hideMark/>
          </w:tcPr>
          <w:p w14:paraId="1F5F9707" w14:textId="77777777" w:rsidR="006104F4" w:rsidRPr="0040069C" w:rsidRDefault="006104F4" w:rsidP="00430EE7">
            <w:pPr>
              <w:pStyle w:val="BodyText-Listed"/>
              <w:spacing w:before="0" w:after="0"/>
              <w:jc w:val="center"/>
              <w:rPr>
                <w:rFonts w:ascii="Arial" w:hAnsi="Arial"/>
                <w:szCs w:val="22"/>
              </w:rPr>
            </w:pPr>
            <w:r w:rsidRPr="0040069C">
              <w:rPr>
                <w:rFonts w:ascii="Arial" w:hAnsi="Arial"/>
                <w:szCs w:val="22"/>
              </w:rPr>
              <w:t>0.1% Sale price</w:t>
            </w:r>
          </w:p>
        </w:tc>
      </w:tr>
      <w:tr w:rsidR="006104F4" w:rsidRPr="0040069C" w14:paraId="0822A79A" w14:textId="77777777" w:rsidTr="00430EE7">
        <w:trPr>
          <w:trHeight w:val="20"/>
        </w:trPr>
        <w:tc>
          <w:tcPr>
            <w:tcW w:w="2301" w:type="dxa"/>
            <w:tcMar>
              <w:top w:w="0" w:type="dxa"/>
              <w:left w:w="108" w:type="dxa"/>
              <w:bottom w:w="0" w:type="dxa"/>
              <w:right w:w="108" w:type="dxa"/>
            </w:tcMar>
            <w:vAlign w:val="center"/>
            <w:hideMark/>
          </w:tcPr>
          <w:p w14:paraId="56D88334" w14:textId="77777777" w:rsidR="006104F4" w:rsidRPr="00C90F15" w:rsidRDefault="006104F4" w:rsidP="00430EE7">
            <w:pPr>
              <w:pStyle w:val="BodyText-Listed"/>
              <w:spacing w:before="0" w:after="0"/>
              <w:jc w:val="left"/>
              <w:rPr>
                <w:rFonts w:ascii="Arial" w:hAnsi="Arial"/>
                <w:b/>
                <w:szCs w:val="22"/>
              </w:rPr>
            </w:pPr>
            <w:r w:rsidRPr="00C90F15">
              <w:rPr>
                <w:rFonts w:ascii="Arial" w:hAnsi="Arial"/>
                <w:b/>
                <w:szCs w:val="22"/>
              </w:rPr>
              <w:t>Foreign individuals</w:t>
            </w:r>
          </w:p>
        </w:tc>
        <w:tc>
          <w:tcPr>
            <w:tcW w:w="2055" w:type="dxa"/>
            <w:tcMar>
              <w:top w:w="0" w:type="dxa"/>
              <w:left w:w="108" w:type="dxa"/>
              <w:bottom w:w="0" w:type="dxa"/>
              <w:right w:w="108" w:type="dxa"/>
            </w:tcMar>
            <w:vAlign w:val="center"/>
            <w:hideMark/>
          </w:tcPr>
          <w:p w14:paraId="4B2E4518" w14:textId="77777777" w:rsidR="006104F4" w:rsidRPr="0040069C" w:rsidRDefault="006104F4" w:rsidP="00430EE7">
            <w:pPr>
              <w:pStyle w:val="BodyText-Listed"/>
              <w:spacing w:before="0" w:after="0"/>
              <w:jc w:val="center"/>
              <w:rPr>
                <w:rFonts w:ascii="Arial" w:hAnsi="Arial"/>
                <w:szCs w:val="22"/>
              </w:rPr>
            </w:pPr>
          </w:p>
        </w:tc>
        <w:tc>
          <w:tcPr>
            <w:tcW w:w="2055" w:type="dxa"/>
            <w:tcMar>
              <w:top w:w="0" w:type="dxa"/>
              <w:left w:w="108" w:type="dxa"/>
              <w:bottom w:w="0" w:type="dxa"/>
              <w:right w:w="108" w:type="dxa"/>
            </w:tcMar>
            <w:vAlign w:val="center"/>
          </w:tcPr>
          <w:p w14:paraId="491D9671" w14:textId="77777777" w:rsidR="006104F4" w:rsidRPr="0040069C" w:rsidRDefault="006104F4" w:rsidP="00430EE7">
            <w:pPr>
              <w:pStyle w:val="BodyText-Listed"/>
              <w:spacing w:before="0" w:after="0"/>
              <w:jc w:val="center"/>
              <w:rPr>
                <w:rFonts w:ascii="Arial" w:hAnsi="Arial"/>
                <w:szCs w:val="22"/>
              </w:rPr>
            </w:pPr>
          </w:p>
        </w:tc>
        <w:tc>
          <w:tcPr>
            <w:tcW w:w="2310" w:type="dxa"/>
            <w:tcMar>
              <w:top w:w="0" w:type="dxa"/>
              <w:left w:w="108" w:type="dxa"/>
              <w:bottom w:w="0" w:type="dxa"/>
              <w:right w:w="108" w:type="dxa"/>
            </w:tcMar>
            <w:vAlign w:val="center"/>
          </w:tcPr>
          <w:p w14:paraId="0F213609" w14:textId="77777777" w:rsidR="006104F4" w:rsidRPr="0040069C" w:rsidRDefault="006104F4" w:rsidP="00430EE7">
            <w:pPr>
              <w:pStyle w:val="BodyText-Listed"/>
              <w:spacing w:before="0" w:after="0"/>
              <w:jc w:val="center"/>
              <w:rPr>
                <w:rFonts w:ascii="Arial" w:hAnsi="Arial"/>
                <w:szCs w:val="22"/>
              </w:rPr>
            </w:pPr>
          </w:p>
        </w:tc>
      </w:tr>
      <w:tr w:rsidR="006104F4" w:rsidRPr="0040069C" w14:paraId="06E351C3" w14:textId="77777777" w:rsidTr="00430EE7">
        <w:trPr>
          <w:trHeight w:val="20"/>
        </w:trPr>
        <w:tc>
          <w:tcPr>
            <w:tcW w:w="2301" w:type="dxa"/>
            <w:tcMar>
              <w:top w:w="0" w:type="dxa"/>
              <w:left w:w="108" w:type="dxa"/>
              <w:bottom w:w="0" w:type="dxa"/>
              <w:right w:w="108" w:type="dxa"/>
            </w:tcMar>
            <w:vAlign w:val="center"/>
            <w:hideMark/>
          </w:tcPr>
          <w:p w14:paraId="3484787E" w14:textId="77777777" w:rsidR="006104F4" w:rsidRPr="0040069C" w:rsidRDefault="006104F4" w:rsidP="00430EE7">
            <w:pPr>
              <w:pStyle w:val="BodyText-Listed"/>
              <w:spacing w:before="0" w:after="0"/>
              <w:jc w:val="left"/>
              <w:rPr>
                <w:rFonts w:ascii="Arial" w:hAnsi="Arial"/>
                <w:szCs w:val="22"/>
              </w:rPr>
            </w:pPr>
            <w:r w:rsidRPr="0040069C">
              <w:rPr>
                <w:rFonts w:ascii="Arial" w:hAnsi="Arial"/>
                <w:szCs w:val="22"/>
              </w:rPr>
              <w:t>+ Resident</w:t>
            </w:r>
          </w:p>
        </w:tc>
        <w:tc>
          <w:tcPr>
            <w:tcW w:w="2055" w:type="dxa"/>
            <w:tcMar>
              <w:top w:w="0" w:type="dxa"/>
              <w:left w:w="108" w:type="dxa"/>
              <w:bottom w:w="0" w:type="dxa"/>
              <w:right w:w="108" w:type="dxa"/>
            </w:tcMar>
            <w:vAlign w:val="center"/>
            <w:hideMark/>
          </w:tcPr>
          <w:p w14:paraId="590F406E" w14:textId="77777777" w:rsidR="006104F4" w:rsidRPr="0040069C" w:rsidRDefault="006104F4" w:rsidP="00430EE7">
            <w:pPr>
              <w:pStyle w:val="BodyText-Listed"/>
              <w:spacing w:before="0" w:after="0"/>
              <w:jc w:val="center"/>
              <w:rPr>
                <w:rFonts w:ascii="Arial" w:hAnsi="Arial"/>
                <w:szCs w:val="22"/>
              </w:rPr>
            </w:pPr>
            <w:r w:rsidRPr="0040069C">
              <w:rPr>
                <w:rFonts w:ascii="Arial" w:hAnsi="Arial"/>
                <w:szCs w:val="22"/>
              </w:rPr>
              <w:t>20% net gain</w:t>
            </w:r>
          </w:p>
        </w:tc>
        <w:tc>
          <w:tcPr>
            <w:tcW w:w="2055" w:type="dxa"/>
            <w:tcMar>
              <w:top w:w="0" w:type="dxa"/>
              <w:left w:w="108" w:type="dxa"/>
              <w:bottom w:w="0" w:type="dxa"/>
              <w:right w:w="108" w:type="dxa"/>
            </w:tcMar>
            <w:vAlign w:val="center"/>
            <w:hideMark/>
          </w:tcPr>
          <w:p w14:paraId="3927A0D1" w14:textId="77777777" w:rsidR="006104F4" w:rsidRPr="0040069C" w:rsidRDefault="006104F4" w:rsidP="00430EE7">
            <w:pPr>
              <w:pStyle w:val="BodyText-Listed"/>
              <w:spacing w:before="0" w:after="0"/>
              <w:jc w:val="center"/>
              <w:rPr>
                <w:rFonts w:ascii="Arial" w:hAnsi="Arial"/>
                <w:szCs w:val="22"/>
              </w:rPr>
            </w:pPr>
            <w:r w:rsidRPr="0040069C">
              <w:rPr>
                <w:rFonts w:ascii="Arial" w:hAnsi="Arial"/>
                <w:szCs w:val="22"/>
              </w:rPr>
              <w:t>0.1% Sale price</w:t>
            </w:r>
          </w:p>
        </w:tc>
        <w:tc>
          <w:tcPr>
            <w:tcW w:w="2310" w:type="dxa"/>
            <w:tcMar>
              <w:top w:w="0" w:type="dxa"/>
              <w:left w:w="108" w:type="dxa"/>
              <w:bottom w:w="0" w:type="dxa"/>
              <w:right w:w="108" w:type="dxa"/>
            </w:tcMar>
            <w:vAlign w:val="center"/>
            <w:hideMark/>
          </w:tcPr>
          <w:p w14:paraId="40513822" w14:textId="77777777" w:rsidR="006104F4" w:rsidRPr="0040069C" w:rsidRDefault="006104F4" w:rsidP="00430EE7">
            <w:pPr>
              <w:pStyle w:val="BodyText-Listed"/>
              <w:spacing w:before="0" w:after="0"/>
              <w:jc w:val="center"/>
              <w:rPr>
                <w:rFonts w:ascii="Arial" w:hAnsi="Arial"/>
                <w:szCs w:val="22"/>
              </w:rPr>
            </w:pPr>
            <w:r w:rsidRPr="0040069C">
              <w:rPr>
                <w:rFonts w:ascii="Arial" w:hAnsi="Arial"/>
                <w:szCs w:val="22"/>
              </w:rPr>
              <w:t>0.1% Sale price</w:t>
            </w:r>
          </w:p>
        </w:tc>
      </w:tr>
      <w:tr w:rsidR="006104F4" w:rsidRPr="0040069C" w14:paraId="16EA05EC" w14:textId="77777777" w:rsidTr="00430EE7">
        <w:trPr>
          <w:trHeight w:val="20"/>
        </w:trPr>
        <w:tc>
          <w:tcPr>
            <w:tcW w:w="2301" w:type="dxa"/>
            <w:tcMar>
              <w:top w:w="0" w:type="dxa"/>
              <w:left w:w="108" w:type="dxa"/>
              <w:bottom w:w="0" w:type="dxa"/>
              <w:right w:w="108" w:type="dxa"/>
            </w:tcMar>
            <w:vAlign w:val="center"/>
            <w:hideMark/>
          </w:tcPr>
          <w:p w14:paraId="59C45E69" w14:textId="77777777" w:rsidR="006104F4" w:rsidRPr="0040069C" w:rsidRDefault="006104F4" w:rsidP="00430EE7">
            <w:pPr>
              <w:pStyle w:val="BodyText-Listed"/>
              <w:spacing w:before="0" w:after="0"/>
              <w:jc w:val="left"/>
              <w:rPr>
                <w:rFonts w:ascii="Arial" w:hAnsi="Arial"/>
                <w:szCs w:val="22"/>
              </w:rPr>
            </w:pPr>
            <w:r w:rsidRPr="0040069C">
              <w:rPr>
                <w:rFonts w:ascii="Arial" w:hAnsi="Arial"/>
                <w:szCs w:val="22"/>
              </w:rPr>
              <w:t>+ Non-resident</w:t>
            </w:r>
          </w:p>
        </w:tc>
        <w:tc>
          <w:tcPr>
            <w:tcW w:w="2055" w:type="dxa"/>
            <w:tcMar>
              <w:top w:w="0" w:type="dxa"/>
              <w:left w:w="108" w:type="dxa"/>
              <w:bottom w:w="0" w:type="dxa"/>
              <w:right w:w="108" w:type="dxa"/>
            </w:tcMar>
            <w:vAlign w:val="center"/>
            <w:hideMark/>
          </w:tcPr>
          <w:p w14:paraId="5D66C14D" w14:textId="77777777" w:rsidR="006104F4" w:rsidRPr="0040069C" w:rsidRDefault="006104F4" w:rsidP="00430EE7">
            <w:pPr>
              <w:pStyle w:val="BodyText-Listed"/>
              <w:spacing w:before="0" w:after="0"/>
              <w:jc w:val="center"/>
              <w:rPr>
                <w:rFonts w:ascii="Arial" w:hAnsi="Arial"/>
                <w:szCs w:val="22"/>
              </w:rPr>
            </w:pPr>
            <w:r w:rsidRPr="0040069C">
              <w:rPr>
                <w:rFonts w:ascii="Arial" w:hAnsi="Arial"/>
                <w:szCs w:val="22"/>
              </w:rPr>
              <w:t>0.1% Sale price</w:t>
            </w:r>
          </w:p>
        </w:tc>
        <w:tc>
          <w:tcPr>
            <w:tcW w:w="2055" w:type="dxa"/>
            <w:tcMar>
              <w:top w:w="0" w:type="dxa"/>
              <w:left w:w="108" w:type="dxa"/>
              <w:bottom w:w="0" w:type="dxa"/>
              <w:right w:w="108" w:type="dxa"/>
            </w:tcMar>
            <w:vAlign w:val="center"/>
            <w:hideMark/>
          </w:tcPr>
          <w:p w14:paraId="4A129B09" w14:textId="77777777" w:rsidR="006104F4" w:rsidRPr="0040069C" w:rsidRDefault="006104F4" w:rsidP="00430EE7">
            <w:pPr>
              <w:pStyle w:val="BodyText-Listed"/>
              <w:spacing w:before="0" w:after="0"/>
              <w:jc w:val="center"/>
              <w:rPr>
                <w:rFonts w:ascii="Arial" w:hAnsi="Arial"/>
                <w:szCs w:val="22"/>
              </w:rPr>
            </w:pPr>
            <w:r w:rsidRPr="0040069C">
              <w:rPr>
                <w:rFonts w:ascii="Arial" w:hAnsi="Arial"/>
                <w:szCs w:val="22"/>
              </w:rPr>
              <w:t>0.1% Sale price</w:t>
            </w:r>
          </w:p>
        </w:tc>
        <w:tc>
          <w:tcPr>
            <w:tcW w:w="2310" w:type="dxa"/>
            <w:tcMar>
              <w:top w:w="0" w:type="dxa"/>
              <w:left w:w="108" w:type="dxa"/>
              <w:bottom w:w="0" w:type="dxa"/>
              <w:right w:w="108" w:type="dxa"/>
            </w:tcMar>
            <w:vAlign w:val="center"/>
            <w:hideMark/>
          </w:tcPr>
          <w:p w14:paraId="46D28FF8" w14:textId="77777777" w:rsidR="006104F4" w:rsidRPr="0040069C" w:rsidRDefault="006104F4" w:rsidP="00430EE7">
            <w:pPr>
              <w:pStyle w:val="BodyText-Listed"/>
              <w:spacing w:before="0" w:after="0"/>
              <w:jc w:val="center"/>
              <w:rPr>
                <w:rFonts w:ascii="Arial" w:hAnsi="Arial"/>
                <w:szCs w:val="22"/>
              </w:rPr>
            </w:pPr>
            <w:r w:rsidRPr="0040069C">
              <w:rPr>
                <w:rFonts w:ascii="Arial" w:hAnsi="Arial"/>
                <w:szCs w:val="22"/>
              </w:rPr>
              <w:t>0.1% Sale price</w:t>
            </w:r>
          </w:p>
        </w:tc>
      </w:tr>
      <w:tr w:rsidR="006104F4" w:rsidRPr="0040069C" w14:paraId="7AA3598D" w14:textId="77777777" w:rsidTr="00430EE7">
        <w:trPr>
          <w:trHeight w:val="20"/>
        </w:trPr>
        <w:tc>
          <w:tcPr>
            <w:tcW w:w="2301" w:type="dxa"/>
            <w:tcMar>
              <w:top w:w="0" w:type="dxa"/>
              <w:left w:w="108" w:type="dxa"/>
              <w:bottom w:w="0" w:type="dxa"/>
              <w:right w:w="108" w:type="dxa"/>
            </w:tcMar>
            <w:vAlign w:val="center"/>
            <w:hideMark/>
          </w:tcPr>
          <w:p w14:paraId="2AF1E6A2" w14:textId="77777777" w:rsidR="006104F4" w:rsidRPr="00C90F15" w:rsidRDefault="006104F4" w:rsidP="00430EE7">
            <w:pPr>
              <w:pStyle w:val="BodyText-Listed"/>
              <w:spacing w:before="0" w:after="0"/>
              <w:jc w:val="left"/>
              <w:rPr>
                <w:rFonts w:ascii="Arial" w:hAnsi="Arial"/>
                <w:b/>
                <w:szCs w:val="22"/>
              </w:rPr>
            </w:pPr>
            <w:r w:rsidRPr="00C90F15">
              <w:rPr>
                <w:rFonts w:ascii="Arial" w:hAnsi="Arial"/>
                <w:b/>
                <w:szCs w:val="22"/>
              </w:rPr>
              <w:t>Vietnamese corporate entity</w:t>
            </w:r>
          </w:p>
        </w:tc>
        <w:tc>
          <w:tcPr>
            <w:tcW w:w="2055" w:type="dxa"/>
            <w:tcMar>
              <w:top w:w="0" w:type="dxa"/>
              <w:left w:w="108" w:type="dxa"/>
              <w:bottom w:w="0" w:type="dxa"/>
              <w:right w:w="108" w:type="dxa"/>
            </w:tcMar>
            <w:vAlign w:val="center"/>
            <w:hideMark/>
          </w:tcPr>
          <w:p w14:paraId="1D299BA9" w14:textId="77777777" w:rsidR="006104F4" w:rsidRPr="0040069C" w:rsidRDefault="006104F4" w:rsidP="00430EE7">
            <w:pPr>
              <w:pStyle w:val="BodyText-Listed"/>
              <w:spacing w:before="0" w:after="0"/>
              <w:jc w:val="center"/>
              <w:rPr>
                <w:rFonts w:ascii="Arial" w:hAnsi="Arial"/>
                <w:szCs w:val="22"/>
              </w:rPr>
            </w:pPr>
            <w:r w:rsidRPr="0040069C">
              <w:rPr>
                <w:rFonts w:ascii="Arial" w:hAnsi="Arial"/>
                <w:szCs w:val="22"/>
              </w:rPr>
              <w:t>20% net gain (offsetting with other activities)</w:t>
            </w:r>
          </w:p>
        </w:tc>
        <w:tc>
          <w:tcPr>
            <w:tcW w:w="2055" w:type="dxa"/>
            <w:tcMar>
              <w:top w:w="0" w:type="dxa"/>
              <w:left w:w="108" w:type="dxa"/>
              <w:bottom w:w="0" w:type="dxa"/>
              <w:right w:w="108" w:type="dxa"/>
            </w:tcMar>
            <w:vAlign w:val="center"/>
            <w:hideMark/>
          </w:tcPr>
          <w:p w14:paraId="60456ED2" w14:textId="77777777" w:rsidR="006104F4" w:rsidRPr="0040069C" w:rsidRDefault="006104F4" w:rsidP="00430EE7">
            <w:pPr>
              <w:pStyle w:val="BodyText-Listed"/>
              <w:spacing w:before="0" w:after="0"/>
              <w:jc w:val="center"/>
              <w:rPr>
                <w:rFonts w:ascii="Arial" w:hAnsi="Arial"/>
                <w:szCs w:val="22"/>
              </w:rPr>
            </w:pPr>
            <w:r w:rsidRPr="0040069C">
              <w:rPr>
                <w:rFonts w:ascii="Arial" w:hAnsi="Arial"/>
                <w:szCs w:val="22"/>
              </w:rPr>
              <w:t>20% net gain (offsetting with other activities)</w:t>
            </w:r>
          </w:p>
        </w:tc>
        <w:tc>
          <w:tcPr>
            <w:tcW w:w="2310" w:type="dxa"/>
            <w:tcMar>
              <w:top w:w="0" w:type="dxa"/>
              <w:left w:w="108" w:type="dxa"/>
              <w:bottom w:w="0" w:type="dxa"/>
              <w:right w:w="108" w:type="dxa"/>
            </w:tcMar>
            <w:vAlign w:val="center"/>
            <w:hideMark/>
          </w:tcPr>
          <w:p w14:paraId="62B9529E" w14:textId="77777777" w:rsidR="006104F4" w:rsidRPr="0040069C" w:rsidRDefault="006104F4" w:rsidP="00430EE7">
            <w:pPr>
              <w:pStyle w:val="BodyText-Listed"/>
              <w:spacing w:before="0" w:after="0"/>
              <w:jc w:val="center"/>
              <w:rPr>
                <w:rFonts w:ascii="Arial" w:hAnsi="Arial"/>
                <w:szCs w:val="22"/>
              </w:rPr>
            </w:pPr>
            <w:r w:rsidRPr="0040069C">
              <w:rPr>
                <w:rFonts w:ascii="Arial" w:hAnsi="Arial"/>
                <w:szCs w:val="22"/>
              </w:rPr>
              <w:t>20% net gain (offsetting with other activities)</w:t>
            </w:r>
          </w:p>
        </w:tc>
      </w:tr>
      <w:tr w:rsidR="006104F4" w:rsidRPr="0040069C" w14:paraId="7250494B" w14:textId="77777777" w:rsidTr="00430EE7">
        <w:trPr>
          <w:trHeight w:val="20"/>
        </w:trPr>
        <w:tc>
          <w:tcPr>
            <w:tcW w:w="2301" w:type="dxa"/>
            <w:tcMar>
              <w:top w:w="0" w:type="dxa"/>
              <w:left w:w="108" w:type="dxa"/>
              <w:bottom w:w="0" w:type="dxa"/>
              <w:right w:w="108" w:type="dxa"/>
            </w:tcMar>
            <w:vAlign w:val="center"/>
            <w:hideMark/>
          </w:tcPr>
          <w:p w14:paraId="67AF747A" w14:textId="77777777" w:rsidR="006104F4" w:rsidRPr="00C90F15" w:rsidRDefault="006104F4" w:rsidP="00430EE7">
            <w:pPr>
              <w:pStyle w:val="BodyText-Listed"/>
              <w:spacing w:before="0" w:after="0"/>
              <w:jc w:val="left"/>
              <w:rPr>
                <w:rFonts w:ascii="Arial" w:hAnsi="Arial"/>
                <w:b/>
                <w:szCs w:val="22"/>
              </w:rPr>
            </w:pPr>
            <w:r w:rsidRPr="00C90F15">
              <w:rPr>
                <w:rFonts w:ascii="Arial" w:hAnsi="Arial"/>
                <w:b/>
                <w:szCs w:val="22"/>
              </w:rPr>
              <w:t>Foreign corporate entity</w:t>
            </w:r>
          </w:p>
        </w:tc>
        <w:tc>
          <w:tcPr>
            <w:tcW w:w="2055" w:type="dxa"/>
            <w:tcMar>
              <w:top w:w="0" w:type="dxa"/>
              <w:left w:w="108" w:type="dxa"/>
              <w:bottom w:w="0" w:type="dxa"/>
              <w:right w:w="108" w:type="dxa"/>
            </w:tcMar>
            <w:vAlign w:val="center"/>
            <w:hideMark/>
          </w:tcPr>
          <w:p w14:paraId="511448B5" w14:textId="77777777" w:rsidR="006104F4" w:rsidRPr="0040069C" w:rsidRDefault="006104F4" w:rsidP="00430EE7">
            <w:pPr>
              <w:pStyle w:val="BodyText-Listed"/>
              <w:spacing w:before="0" w:after="0"/>
              <w:jc w:val="center"/>
              <w:rPr>
                <w:rFonts w:ascii="Arial" w:hAnsi="Arial"/>
                <w:szCs w:val="22"/>
              </w:rPr>
            </w:pPr>
            <w:r w:rsidRPr="0040069C">
              <w:rPr>
                <w:rFonts w:ascii="Arial" w:hAnsi="Arial"/>
                <w:szCs w:val="22"/>
              </w:rPr>
              <w:t>20% net gain</w:t>
            </w:r>
          </w:p>
        </w:tc>
        <w:tc>
          <w:tcPr>
            <w:tcW w:w="2055" w:type="dxa"/>
            <w:tcMar>
              <w:top w:w="0" w:type="dxa"/>
              <w:left w:w="108" w:type="dxa"/>
              <w:bottom w:w="0" w:type="dxa"/>
              <w:right w:w="108" w:type="dxa"/>
            </w:tcMar>
            <w:vAlign w:val="center"/>
          </w:tcPr>
          <w:p w14:paraId="1236202C" w14:textId="77777777" w:rsidR="006104F4" w:rsidRPr="0040069C" w:rsidRDefault="006104F4" w:rsidP="00430EE7">
            <w:pPr>
              <w:pStyle w:val="BodyText-Listed"/>
              <w:spacing w:before="0" w:after="0"/>
              <w:jc w:val="center"/>
              <w:rPr>
                <w:rFonts w:ascii="Arial" w:hAnsi="Arial"/>
                <w:szCs w:val="22"/>
              </w:rPr>
            </w:pPr>
            <w:r w:rsidRPr="0040069C">
              <w:rPr>
                <w:rFonts w:ascii="Arial" w:hAnsi="Arial"/>
                <w:szCs w:val="22"/>
              </w:rPr>
              <w:t>20% net gain</w:t>
            </w:r>
          </w:p>
        </w:tc>
        <w:tc>
          <w:tcPr>
            <w:tcW w:w="2310" w:type="dxa"/>
            <w:tcMar>
              <w:top w:w="0" w:type="dxa"/>
              <w:left w:w="108" w:type="dxa"/>
              <w:bottom w:w="0" w:type="dxa"/>
              <w:right w:w="108" w:type="dxa"/>
            </w:tcMar>
            <w:vAlign w:val="center"/>
          </w:tcPr>
          <w:p w14:paraId="417CF859" w14:textId="77777777" w:rsidR="006104F4" w:rsidRPr="0040069C" w:rsidRDefault="006104F4" w:rsidP="00430EE7">
            <w:pPr>
              <w:pStyle w:val="BodyText-Listed"/>
              <w:spacing w:before="0" w:after="0"/>
              <w:jc w:val="center"/>
              <w:rPr>
                <w:rFonts w:ascii="Arial" w:hAnsi="Arial"/>
                <w:szCs w:val="22"/>
              </w:rPr>
            </w:pPr>
            <w:r w:rsidRPr="0040069C">
              <w:rPr>
                <w:rFonts w:ascii="Arial" w:hAnsi="Arial"/>
                <w:szCs w:val="22"/>
              </w:rPr>
              <w:t>0.1% sale price</w:t>
            </w:r>
          </w:p>
        </w:tc>
      </w:tr>
    </w:tbl>
    <w:p w14:paraId="18A9DA77" w14:textId="77777777" w:rsidR="001C63CA" w:rsidRDefault="001C63CA"/>
    <w:sectPr w:rsidR="001C63CA" w:rsidSect="006104F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F1F203" w14:textId="77777777" w:rsidR="00BA5106" w:rsidRDefault="00BA5106" w:rsidP="006104F4">
      <w:r>
        <w:separator/>
      </w:r>
    </w:p>
  </w:endnote>
  <w:endnote w:type="continuationSeparator" w:id="0">
    <w:p w14:paraId="5ADBD5EC" w14:textId="77777777" w:rsidR="00BA5106" w:rsidRDefault="00BA5106" w:rsidP="00610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9999999">
    <w:panose1 w:val="00000000000000000000"/>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Univers for KPMG Light">
    <w:panose1 w:val="020B0403020202020204"/>
    <w:charset w:val="00"/>
    <w:family w:val="swiss"/>
    <w:pitch w:val="variable"/>
    <w:sig w:usb0="800002AF" w:usb1="5000204A"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430E56" w14:textId="77777777" w:rsidR="00BA5106" w:rsidRDefault="00BA5106" w:rsidP="006104F4">
      <w:r>
        <w:separator/>
      </w:r>
    </w:p>
  </w:footnote>
  <w:footnote w:type="continuationSeparator" w:id="0">
    <w:p w14:paraId="7BBBFD98" w14:textId="77777777" w:rsidR="00BA5106" w:rsidRDefault="00BA5106" w:rsidP="006104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DC066A"/>
    <w:multiLevelType w:val="multilevel"/>
    <w:tmpl w:val="5DF6318C"/>
    <w:lvl w:ilvl="0">
      <w:start w:val="1"/>
      <w:numFmt w:val="decimal"/>
      <w:pStyle w:val="Heading1"/>
      <w:lvlText w:val="%1"/>
      <w:lvlJc w:val="left"/>
      <w:pPr>
        <w:tabs>
          <w:tab w:val="num" w:pos="0"/>
        </w:tabs>
        <w:ind w:left="0" w:hanging="964"/>
      </w:pPr>
    </w:lvl>
    <w:lvl w:ilvl="1">
      <w:start w:val="1"/>
      <w:numFmt w:val="decimal"/>
      <w:pStyle w:val="Heading2"/>
      <w:lvlText w:val="%1.%2"/>
      <w:lvlJc w:val="left"/>
      <w:pPr>
        <w:tabs>
          <w:tab w:val="num" w:pos="0"/>
        </w:tabs>
        <w:ind w:left="0" w:hanging="964"/>
      </w:pPr>
    </w:lvl>
    <w:lvl w:ilvl="2">
      <w:start w:val="1"/>
      <w:numFmt w:val="decimal"/>
      <w:pStyle w:val="Heading3"/>
      <w:lvlText w:val="%1.%2.%3"/>
      <w:lvlJc w:val="left"/>
      <w:pPr>
        <w:tabs>
          <w:tab w:val="num" w:pos="0"/>
        </w:tabs>
        <w:ind w:left="0" w:hanging="964"/>
      </w:pPr>
    </w:lvl>
    <w:lvl w:ilvl="3">
      <w:start w:val="1"/>
      <w:numFmt w:val="decimal"/>
      <w:pStyle w:val="Heading4"/>
      <w:lvlText w:val="%1.%2.%3.%4"/>
      <w:lvlJc w:val="left"/>
      <w:pPr>
        <w:tabs>
          <w:tab w:val="num" w:pos="20"/>
        </w:tabs>
        <w:ind w:left="0" w:hanging="9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B2640DD"/>
    <w:multiLevelType w:val="multilevel"/>
    <w:tmpl w:val="B81EFBAC"/>
    <w:lvl w:ilvl="0">
      <w:start w:val="1"/>
      <w:numFmt w:val="decimal"/>
      <w:lvlText w:val="%1"/>
      <w:lvlJc w:val="left"/>
      <w:pPr>
        <w:tabs>
          <w:tab w:val="num" w:pos="340"/>
        </w:tabs>
        <w:ind w:left="340" w:hanging="340"/>
      </w:pPr>
      <w:rPr>
        <w:rFonts w:ascii="Arial" w:hAnsi="Arial" w:cs="Arial" w:hint="default"/>
        <w:i w:val="0"/>
        <w:color w:val="D9D9D9" w:themeColor="background1" w:themeShade="D9"/>
        <w:sz w:val="22"/>
        <w:szCs w:val="22"/>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B20"/>
    <w:rsid w:val="001C63CA"/>
    <w:rsid w:val="002E6B20"/>
    <w:rsid w:val="006104F4"/>
    <w:rsid w:val="006850C7"/>
    <w:rsid w:val="00925708"/>
    <w:rsid w:val="00BA5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23E324"/>
  <w15:chartTrackingRefBased/>
  <w15:docId w15:val="{29E205CB-FD0D-4162-AEBA-AAD21A48A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4F4"/>
    <w:pPr>
      <w:spacing w:after="0" w:line="240" w:lineRule="auto"/>
    </w:pPr>
    <w:rPr>
      <w:rFonts w:eastAsia="Times New Roman" w:cs="Times New Roman"/>
      <w:lang w:eastAsia="en-AU"/>
    </w:rPr>
  </w:style>
  <w:style w:type="paragraph" w:styleId="Heading1">
    <w:name w:val="heading 1"/>
    <w:basedOn w:val="Heading2"/>
    <w:next w:val="BodyText"/>
    <w:link w:val="Heading1Char"/>
    <w:uiPriority w:val="1"/>
    <w:qFormat/>
    <w:rsid w:val="006104F4"/>
    <w:pPr>
      <w:pageBreakBefore/>
      <w:numPr>
        <w:ilvl w:val="0"/>
      </w:numPr>
      <w:spacing w:before="0" w:line="360" w:lineRule="exact"/>
      <w:outlineLvl w:val="0"/>
    </w:pPr>
    <w:rPr>
      <w:sz w:val="32"/>
    </w:rPr>
  </w:style>
  <w:style w:type="paragraph" w:styleId="Heading2">
    <w:name w:val="heading 2"/>
    <w:basedOn w:val="BodyText"/>
    <w:next w:val="BodyText"/>
    <w:link w:val="Heading2Char"/>
    <w:uiPriority w:val="1"/>
    <w:qFormat/>
    <w:rsid w:val="006104F4"/>
    <w:pPr>
      <w:keepNext/>
      <w:numPr>
        <w:ilvl w:val="1"/>
        <w:numId w:val="1"/>
      </w:numPr>
      <w:spacing w:before="400" w:after="0" w:line="320" w:lineRule="exact"/>
      <w:outlineLvl w:val="1"/>
    </w:pPr>
    <w:rPr>
      <w:rFonts w:ascii="Arial" w:hAnsi="Arial"/>
      <w:b/>
      <w:color w:val="00338D"/>
      <w:sz w:val="28"/>
      <w:lang w:eastAsia="en-US"/>
    </w:rPr>
  </w:style>
  <w:style w:type="paragraph" w:styleId="Heading3">
    <w:name w:val="heading 3"/>
    <w:basedOn w:val="Heading4"/>
    <w:next w:val="BodyText"/>
    <w:link w:val="Heading3Char"/>
    <w:qFormat/>
    <w:rsid w:val="006104F4"/>
    <w:pPr>
      <w:numPr>
        <w:ilvl w:val="2"/>
      </w:numPr>
      <w:outlineLvl w:val="2"/>
    </w:pPr>
    <w:rPr>
      <w:b/>
      <w:i w:val="0"/>
    </w:rPr>
  </w:style>
  <w:style w:type="paragraph" w:styleId="Heading4">
    <w:name w:val="heading 4"/>
    <w:basedOn w:val="Heading5"/>
    <w:next w:val="BodyText"/>
    <w:link w:val="Heading4Char"/>
    <w:qFormat/>
    <w:rsid w:val="006104F4"/>
    <w:pPr>
      <w:keepLines w:val="0"/>
      <w:numPr>
        <w:ilvl w:val="3"/>
        <w:numId w:val="1"/>
      </w:numPr>
      <w:spacing w:before="400" w:line="280" w:lineRule="exact"/>
      <w:outlineLvl w:val="3"/>
    </w:pPr>
    <w:rPr>
      <w:rFonts w:ascii="Arial" w:eastAsia="Times New Roman" w:hAnsi="Arial" w:cs="Times New Roman"/>
      <w:i/>
      <w:color w:val="00338D"/>
      <w:sz w:val="24"/>
      <w:lang w:eastAsia="en-US"/>
    </w:rPr>
  </w:style>
  <w:style w:type="paragraph" w:styleId="Heading5">
    <w:name w:val="heading 5"/>
    <w:basedOn w:val="Normal"/>
    <w:next w:val="Normal"/>
    <w:link w:val="Heading5Char"/>
    <w:uiPriority w:val="9"/>
    <w:semiHidden/>
    <w:unhideWhenUsed/>
    <w:qFormat/>
    <w:rsid w:val="006104F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104F4"/>
    <w:rPr>
      <w:rFonts w:ascii="Arial" w:eastAsia="Times New Roman" w:hAnsi="Arial" w:cs="Times New Roman"/>
      <w:b/>
      <w:color w:val="00338D"/>
      <w:sz w:val="32"/>
    </w:rPr>
  </w:style>
  <w:style w:type="character" w:customStyle="1" w:styleId="Heading2Char">
    <w:name w:val="Heading 2 Char"/>
    <w:basedOn w:val="DefaultParagraphFont"/>
    <w:link w:val="Heading2"/>
    <w:uiPriority w:val="1"/>
    <w:rsid w:val="006104F4"/>
    <w:rPr>
      <w:rFonts w:ascii="Arial" w:eastAsia="Times New Roman" w:hAnsi="Arial" w:cs="Times New Roman"/>
      <w:b/>
      <w:color w:val="00338D"/>
      <w:sz w:val="28"/>
    </w:rPr>
  </w:style>
  <w:style w:type="character" w:customStyle="1" w:styleId="Heading3Char">
    <w:name w:val="Heading 3 Char"/>
    <w:basedOn w:val="DefaultParagraphFont"/>
    <w:link w:val="Heading3"/>
    <w:rsid w:val="006104F4"/>
    <w:rPr>
      <w:rFonts w:ascii="Arial" w:eastAsia="Times New Roman" w:hAnsi="Arial" w:cs="Times New Roman"/>
      <w:b/>
      <w:color w:val="00338D"/>
      <w:sz w:val="24"/>
    </w:rPr>
  </w:style>
  <w:style w:type="character" w:customStyle="1" w:styleId="Heading4Char">
    <w:name w:val="Heading 4 Char"/>
    <w:basedOn w:val="DefaultParagraphFont"/>
    <w:link w:val="Heading4"/>
    <w:rsid w:val="006104F4"/>
    <w:rPr>
      <w:rFonts w:ascii="Arial" w:eastAsia="Times New Roman" w:hAnsi="Arial" w:cs="Times New Roman"/>
      <w:i/>
      <w:color w:val="00338D"/>
      <w:sz w:val="24"/>
    </w:rPr>
  </w:style>
  <w:style w:type="paragraph" w:customStyle="1" w:styleId="BodyText-Listed">
    <w:name w:val="Body Text - Listed"/>
    <w:basedOn w:val="BodyText"/>
    <w:qFormat/>
    <w:rsid w:val="006104F4"/>
    <w:pPr>
      <w:spacing w:before="130" w:after="130"/>
      <w:jc w:val="both"/>
    </w:pPr>
    <w:rPr>
      <w:rFonts w:ascii="Univers for KPMG Light" w:hAnsi="Univers for KPMG Light"/>
      <w:szCs w:val="20"/>
      <w:lang w:eastAsia="en-US"/>
    </w:rPr>
  </w:style>
  <w:style w:type="paragraph" w:styleId="BodyText">
    <w:name w:val="Body Text"/>
    <w:basedOn w:val="Normal"/>
    <w:link w:val="BodyTextChar"/>
    <w:uiPriority w:val="99"/>
    <w:semiHidden/>
    <w:unhideWhenUsed/>
    <w:rsid w:val="006104F4"/>
    <w:pPr>
      <w:spacing w:after="120"/>
    </w:pPr>
  </w:style>
  <w:style w:type="character" w:customStyle="1" w:styleId="BodyTextChar">
    <w:name w:val="Body Text Char"/>
    <w:basedOn w:val="DefaultParagraphFont"/>
    <w:link w:val="BodyText"/>
    <w:uiPriority w:val="99"/>
    <w:semiHidden/>
    <w:rsid w:val="006104F4"/>
    <w:rPr>
      <w:rFonts w:eastAsia="Times New Roman" w:cs="Times New Roman"/>
      <w:lang w:eastAsia="en-AU"/>
    </w:rPr>
  </w:style>
  <w:style w:type="character" w:customStyle="1" w:styleId="Heading5Char">
    <w:name w:val="Heading 5 Char"/>
    <w:basedOn w:val="DefaultParagraphFont"/>
    <w:link w:val="Heading5"/>
    <w:uiPriority w:val="9"/>
    <w:semiHidden/>
    <w:rsid w:val="006104F4"/>
    <w:rPr>
      <w:rFonts w:asciiTheme="majorHAnsi" w:eastAsiaTheme="majorEastAsia" w:hAnsiTheme="majorHAnsi" w:cstheme="majorBidi"/>
      <w:color w:val="2F5496" w:themeColor="accent1" w:themeShade="BF"/>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D393A4D99C844D9A4B971B2D400DEB" ma:contentTypeVersion="12" ma:contentTypeDescription="Create a new document." ma:contentTypeScope="" ma:versionID="3aba055997ffeadd4291d08e12ec2159">
  <xsd:schema xmlns:xsd="http://www.w3.org/2001/XMLSchema" xmlns:xs="http://www.w3.org/2001/XMLSchema" xmlns:p="http://schemas.microsoft.com/office/2006/metadata/properties" xmlns:ns2="bd94fe42-bbdc-4890-86f8-1cce7b488dc1" xmlns:ns3="097e1a6a-fc06-45b2-8873-15e0270064ac" targetNamespace="http://schemas.microsoft.com/office/2006/metadata/properties" ma:root="true" ma:fieldsID="fe45f8cf68b585c69f4c7dd409a58a0b" ns2:_="" ns3:_="">
    <xsd:import namespace="bd94fe42-bbdc-4890-86f8-1cce7b488dc1"/>
    <xsd:import namespace="097e1a6a-fc06-45b2-8873-15e0270064ac"/>
    <xsd:element name="properties">
      <xsd:complexType>
        <xsd:sequence>
          <xsd:element name="documentManagement">
            <xsd:complexType>
              <xsd:all>
                <xsd:element ref="ns2:Industry"/>
                <xsd:element ref="ns2:Taxissue" minOccurs="0"/>
                <xsd:element ref="ns2:PIC"/>
                <xsd:element ref="ns2:MIC"/>
                <xsd:element ref="ns2:MediaServiceMetadata" minOccurs="0"/>
                <xsd:element ref="ns2:MediaServiceFastMetadata" minOccurs="0"/>
                <xsd:element ref="ns2:MediaServiceAutoKeyPoints" minOccurs="0"/>
                <xsd:element ref="ns2:MediaServiceKeyPoints" minOccurs="0"/>
                <xsd:element ref="ns2:Year"/>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94fe42-bbdc-4890-86f8-1cce7b488dc1" elementFormDefault="qualified">
    <xsd:import namespace="http://schemas.microsoft.com/office/2006/documentManagement/types"/>
    <xsd:import namespace="http://schemas.microsoft.com/office/infopath/2007/PartnerControls"/>
    <xsd:element name="Industry" ma:index="8" ma:displayName="Industry" ma:format="RadioButtons" ma:internalName="Industry">
      <xsd:simpleType>
        <xsd:restriction base="dms:Choice">
          <xsd:enumeration value="General"/>
          <xsd:enumeration value="Automotive"/>
          <xsd:enumeration value="Building and Construction"/>
          <xsd:enumeration value="Chemicals"/>
          <xsd:enumeration value="Banking and Capital Markets"/>
          <xsd:enumeration value="Energy"/>
          <xsd:enumeration value="Consumer Markets"/>
          <xsd:enumeration value="Healthcare"/>
          <xsd:enumeration value="Industrial manufacturing"/>
          <xsd:enumeration value="Infrastructure"/>
          <xsd:enumeration value="Insurance"/>
          <xsd:enumeration value="Retail"/>
          <xsd:enumeration value="Technology"/>
          <xsd:enumeration value="Transport and Logistics"/>
          <xsd:enumeration value="Real estate"/>
          <xsd:enumeration value="Goverment and Public Sector"/>
          <xsd:enumeration value="Asset Management"/>
          <xsd:enumeration value="Media"/>
          <xsd:enumeration value="Mining"/>
          <xsd:enumeration value="Telecom"/>
          <xsd:enumeration value="Private Business"/>
          <xsd:enumeration value="Sports"/>
          <xsd:enumeration value="Others"/>
        </xsd:restriction>
      </xsd:simpleType>
    </xsd:element>
    <xsd:element name="Taxissue" ma:index="9" nillable="true" ma:displayName="Technical area" ma:internalName="Taxissue" ma:requiredMultiChoice="true">
      <xsd:complexType>
        <xsd:complexContent>
          <xsd:extension base="dms:MultiChoice">
            <xsd:sequence>
              <xsd:element name="Value" maxOccurs="unbounded" minOccurs="0" nillable="true">
                <xsd:simpleType>
                  <xsd:restriction base="dms:Choice">
                    <xsd:enumeration value="Not specified"/>
                    <xsd:enumeration value="VAT"/>
                    <xsd:enumeration value="CIT"/>
                    <xsd:enumeration value="CAPT"/>
                    <xsd:enumeration value="FCT"/>
                    <xsd:enumeration value="DTA"/>
                    <xsd:enumeration value="IIT"/>
                    <xsd:enumeration value="Customs"/>
                    <xsd:enumeration value="GMS"/>
                    <xsd:enumeration value="Immigration"/>
                  </xsd:restriction>
                </xsd:simpleType>
              </xsd:element>
            </xsd:sequence>
          </xsd:extension>
        </xsd:complexContent>
      </xsd:complexType>
    </xsd:element>
    <xsd:element name="PIC" ma:index="10" ma:displayName="PIC" ma:format="Dropdown" ma:list="UserInfo" ma:SharePointGroup="0" ma:internalName="P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IC" ma:index="11" ma:displayName="MIC" ma:format="Dropdown" ma:list="UserInfo" ma:SharePointGroup="0" ma:internalName="M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Year" ma:index="16" ma:displayName="Year" ma:format="Dropdown" ma:internalName="Year">
      <xsd:simpleType>
        <xsd:restriction base="dms:Text">
          <xsd:maxLength value="4"/>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IC xmlns="bd94fe42-bbdc-4890-86f8-1cce7b488dc1">
      <UserInfo>
        <DisplayName>Tran, Van Trung</DisplayName>
        <AccountId>131</AccountId>
        <AccountType/>
      </UserInfo>
    </PIC>
    <MIC xmlns="bd94fe42-bbdc-4890-86f8-1cce7b488dc1">
      <UserInfo>
        <DisplayName>Chu, Minh Long</DisplayName>
        <AccountId>18</AccountId>
        <AccountType/>
      </UserInfo>
    </MIC>
    <Taxissue xmlns="bd94fe42-bbdc-4890-86f8-1cce7b488dc1">
      <Value>CAPT</Value>
    </Taxissue>
    <Industry xmlns="bd94fe42-bbdc-4890-86f8-1cce7b488dc1">General</Industry>
    <Year xmlns="bd94fe42-bbdc-4890-86f8-1cce7b488dc1">2021</Year>
  </documentManagement>
</p:properties>
</file>

<file path=customXml/itemProps1.xml><?xml version="1.0" encoding="utf-8"?>
<ds:datastoreItem xmlns:ds="http://schemas.openxmlformats.org/officeDocument/2006/customXml" ds:itemID="{C257ED83-C1ED-4ABB-9C6B-4CB815A05442}"/>
</file>

<file path=customXml/itemProps2.xml><?xml version="1.0" encoding="utf-8"?>
<ds:datastoreItem xmlns:ds="http://schemas.openxmlformats.org/officeDocument/2006/customXml" ds:itemID="{A6DAE060-14DF-41B5-92AC-2EB9E5FEC0CF}"/>
</file>

<file path=customXml/itemProps3.xml><?xml version="1.0" encoding="utf-8"?>
<ds:datastoreItem xmlns:ds="http://schemas.openxmlformats.org/officeDocument/2006/customXml" ds:itemID="{2CBC4D0E-993E-4F13-8887-FE09F3BCE7A8}"/>
</file>

<file path=docProps/app.xml><?xml version="1.0" encoding="utf-8"?>
<Properties xmlns="http://schemas.openxmlformats.org/officeDocument/2006/extended-properties" xmlns:vt="http://schemas.openxmlformats.org/officeDocument/2006/docPropsVTypes">
  <Template>Normal.dotm</Template>
  <TotalTime>1</TotalTime>
  <Pages>1</Pages>
  <Words>313</Words>
  <Characters>1785</Characters>
  <Application>Microsoft Office Word</Application>
  <DocSecurity>0</DocSecurity>
  <Lines>14</Lines>
  <Paragraphs>4</Paragraphs>
  <ScaleCrop>false</ScaleCrop>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Minh Long</dc:creator>
  <cp:keywords/>
  <dc:description/>
  <cp:lastModifiedBy>Chu, Minh Long</cp:lastModifiedBy>
  <cp:revision>4</cp:revision>
  <dcterms:created xsi:type="dcterms:W3CDTF">2021-10-29T03:11:00Z</dcterms:created>
  <dcterms:modified xsi:type="dcterms:W3CDTF">2021-10-29T03:12:00Z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0x01010027D393A4D99C844D9A4B971B2D400DEB</vt:lpwstr>
  </property>
</Properties>
</file>