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A17A71" w14:textId="77777777" w:rsidR="00125F1E" w:rsidRDefault="00125F1E" w:rsidP="008E7C15">
      <w:pPr>
        <w:pStyle w:val="ListParagraph"/>
        <w:ind w:left="0"/>
        <w:outlineLvl w:val="1"/>
        <w:rPr>
          <w:b/>
          <w:sz w:val="22"/>
        </w:rPr>
      </w:pPr>
      <w:bookmarkStart w:id="0" w:name="_Toc40044115"/>
      <w:r w:rsidRPr="008830C2">
        <w:rPr>
          <w:b/>
          <w:sz w:val="22"/>
        </w:rPr>
        <w:t xml:space="preserve">Vietnamese tax implications on the </w:t>
      </w:r>
      <w:r>
        <w:rPr>
          <w:b/>
          <w:sz w:val="22"/>
        </w:rPr>
        <w:t>capital transfer</w:t>
      </w:r>
      <w:bookmarkEnd w:id="0"/>
    </w:p>
    <w:p w14:paraId="0EE31BF1" w14:textId="77777777" w:rsidR="00125F1E" w:rsidRPr="008830C2" w:rsidRDefault="00125F1E" w:rsidP="00125F1E">
      <w:pPr>
        <w:pStyle w:val="ListParagraph"/>
        <w:ind w:left="0"/>
        <w:rPr>
          <w:b/>
          <w:sz w:val="22"/>
        </w:rPr>
      </w:pPr>
    </w:p>
    <w:p w14:paraId="39B3ACB1" w14:textId="4F1FABE0" w:rsidR="00125F1E" w:rsidRPr="007B44FC" w:rsidRDefault="00125F1E" w:rsidP="007B44FC">
      <w:pPr>
        <w:pStyle w:val="Heading2"/>
        <w:numPr>
          <w:ilvl w:val="0"/>
          <w:numId w:val="25"/>
        </w:numPr>
        <w:spacing w:before="0"/>
        <w:rPr>
          <w:iCs/>
          <w:szCs w:val="22"/>
        </w:rPr>
      </w:pPr>
      <w:bookmarkStart w:id="1" w:name="_Toc520887269"/>
      <w:bookmarkStart w:id="2" w:name="_Toc520970496"/>
      <w:bookmarkStart w:id="3" w:name="_Toc525819596"/>
      <w:bookmarkStart w:id="4" w:name="_Toc38625150"/>
      <w:bookmarkStart w:id="5" w:name="_Toc40044116"/>
      <w:bookmarkStart w:id="6" w:name="_Toc438070384"/>
      <w:bookmarkStart w:id="7" w:name="_Toc438713730"/>
      <w:r w:rsidRPr="007B44FC">
        <w:rPr>
          <w:iCs/>
          <w:szCs w:val="22"/>
        </w:rPr>
        <w:t>Capital Assignment Tax</w:t>
      </w:r>
      <w:bookmarkEnd w:id="1"/>
      <w:bookmarkEnd w:id="2"/>
      <w:bookmarkEnd w:id="3"/>
      <w:bookmarkEnd w:id="4"/>
      <w:bookmarkEnd w:id="5"/>
    </w:p>
    <w:p w14:paraId="3CF4C85C" w14:textId="77777777" w:rsidR="00125F1E" w:rsidRPr="008A1906" w:rsidRDefault="00125F1E" w:rsidP="00125F1E">
      <w:pPr>
        <w:pStyle w:val="ListBullet"/>
        <w:numPr>
          <w:ilvl w:val="0"/>
          <w:numId w:val="0"/>
        </w:numPr>
        <w:rPr>
          <w:i/>
        </w:rPr>
      </w:pPr>
      <w:r w:rsidRPr="008A1906">
        <w:t xml:space="preserve">Under the </w:t>
      </w:r>
      <w:r>
        <w:t>Vietnamese</w:t>
      </w:r>
      <w:r w:rsidRPr="008A1906">
        <w:t xml:space="preserve"> regulations, any enterprise that receives income from a capital transfer is required to declare and pay tax on the capital </w:t>
      </w:r>
      <w:r>
        <w:t>transfer</w:t>
      </w:r>
      <w:r w:rsidRPr="008A1906">
        <w:t xml:space="preserve"> transaction, herein known as </w:t>
      </w:r>
      <w:r>
        <w:t>CAT</w:t>
      </w:r>
      <w:r>
        <w:rPr>
          <w:rStyle w:val="FootnoteReference"/>
        </w:rPr>
        <w:footnoteReference w:id="1"/>
      </w:r>
      <w:r w:rsidRPr="008A1906">
        <w:t xml:space="preserve">. Given this, </w:t>
      </w:r>
      <w:r>
        <w:t>the transferors</w:t>
      </w:r>
      <w:r w:rsidRPr="008A1906">
        <w:t xml:space="preserve"> will be subject to CAT at the rate of 20% on any gain derived from the </w:t>
      </w:r>
      <w:r>
        <w:t>c</w:t>
      </w:r>
      <w:r w:rsidRPr="008A1906">
        <w:t xml:space="preserve">ontemplated </w:t>
      </w:r>
      <w:r>
        <w:t>capital transfer</w:t>
      </w:r>
      <w:r w:rsidRPr="008A1906">
        <w:t xml:space="preserve">. </w:t>
      </w:r>
    </w:p>
    <w:p w14:paraId="15B744E5" w14:textId="77777777" w:rsidR="00125F1E" w:rsidRPr="003E2D43" w:rsidRDefault="00125F1E" w:rsidP="00125F1E">
      <w:pPr>
        <w:pStyle w:val="ListBullet"/>
        <w:numPr>
          <w:ilvl w:val="0"/>
          <w:numId w:val="6"/>
        </w:numPr>
        <w:spacing w:before="240" w:after="240"/>
        <w:ind w:left="360"/>
        <w:rPr>
          <w:i/>
          <w:u w:val="single"/>
        </w:rPr>
      </w:pPr>
      <w:r w:rsidRPr="003E2D43">
        <w:rPr>
          <w:i/>
          <w:u w:val="single"/>
        </w:rPr>
        <w:t>Basis for CAT calculation</w:t>
      </w:r>
    </w:p>
    <w:p w14:paraId="32DAC601" w14:textId="77777777" w:rsidR="00125F1E" w:rsidRDefault="00125F1E" w:rsidP="00125F1E">
      <w:pPr>
        <w:pStyle w:val="ListBullet"/>
        <w:numPr>
          <w:ilvl w:val="0"/>
          <w:numId w:val="0"/>
        </w:numPr>
        <w:ind w:left="90"/>
        <w:rPr>
          <w:i/>
          <w:iCs/>
        </w:rPr>
      </w:pPr>
      <w:r w:rsidRPr="008A1906">
        <w:t>The CAT taxable income generated from the capital transfer is calculated as follows</w:t>
      </w:r>
      <w:r>
        <w:rPr>
          <w:rStyle w:val="FootnoteReference"/>
        </w:rPr>
        <w:footnoteReference w:id="2"/>
      </w:r>
      <w:r w:rsidRPr="008A1906">
        <w:t>:</w:t>
      </w:r>
      <w:r>
        <w:t xml:space="preserve"> </w:t>
      </w:r>
    </w:p>
    <w:p w14:paraId="0DEAF2C7" w14:textId="77777777" w:rsidR="00125F1E" w:rsidRDefault="00125F1E" w:rsidP="00125F1E">
      <w:pPr>
        <w:pStyle w:val="ListBullet"/>
        <w:numPr>
          <w:ilvl w:val="0"/>
          <w:numId w:val="0"/>
        </w:numPr>
        <w:ind w:left="90"/>
        <w:rPr>
          <w:i/>
          <w:iCs/>
        </w:rPr>
      </w:pPr>
      <w:r>
        <w:rPr>
          <w:i/>
          <w:noProof/>
        </w:rPr>
        <mc:AlternateContent>
          <mc:Choice Requires="wps">
            <w:drawing>
              <wp:anchor distT="0" distB="0" distL="114300" distR="114300" simplePos="0" relativeHeight="251662336" behindDoc="0" locked="0" layoutInCell="1" allowOverlap="1" wp14:anchorId="0E9364CF" wp14:editId="478F0EB3">
                <wp:simplePos x="0" y="0"/>
                <wp:positionH relativeFrom="margin">
                  <wp:align>right</wp:align>
                </wp:positionH>
                <wp:positionV relativeFrom="paragraph">
                  <wp:posOffset>75565</wp:posOffset>
                </wp:positionV>
                <wp:extent cx="1057275" cy="56197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105727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319094" w14:textId="77777777" w:rsidR="00125F1E" w:rsidRPr="002E1AB8" w:rsidRDefault="00125F1E" w:rsidP="00125F1E">
                            <w:pPr>
                              <w:jc w:val="center"/>
                              <w:rPr>
                                <w:i/>
                                <w:sz w:val="20"/>
                              </w:rPr>
                            </w:pPr>
                            <w:r w:rsidRPr="002E1AB8">
                              <w:rPr>
                                <w:i/>
                                <w:sz w:val="20"/>
                              </w:rPr>
                              <w:t>Transactional expenses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364CF" id="_x0000_t202" coordsize="21600,21600" o:spt="202" path="m,l,21600r21600,l21600,xe">
                <v:stroke joinstyle="miter"/>
                <v:path gradientshapeok="t" o:connecttype="rect"/>
              </v:shapetype>
              <v:shape id="Text Box 7" o:spid="_x0000_s1026" type="#_x0000_t202" style="position:absolute;left:0;text-align:left;margin-left:32.05pt;margin-top:5.95pt;width:83.25pt;height:44.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" fillcolor="white [3201]" strokeweight=".5pt">
                <v:textbox>
                  <w:txbxContent>
                    <w:p w14:paraId="50319094" w14:textId="77777777" w:rsidR="00125F1E" w:rsidRPr="002E1AB8" w:rsidRDefault="00125F1E" w:rsidP="00125F1E">
                      <w:pPr>
                        <w:jc w:val="center"/>
                        <w:rPr>
                          <w:i/>
                          <w:sz w:val="20"/>
                        </w:rPr>
                      </w:pPr>
                      <w:r w:rsidRPr="002E1AB8">
                        <w:rPr>
                          <w:i/>
                          <w:sz w:val="20"/>
                        </w:rPr>
                        <w:t>Transactional expenses</w:t>
                      </w:r>
                    </w:p>
                  </w:txbxContent>
                </v:textbox>
                <w10:wrap anchorx="margin"/>
              </v:shape>
            </w:pict>
          </mc:Fallback>
        </mc:AlternateContent>
      </w:r>
      <w:r>
        <w:rPr>
          <w:i/>
          <w:noProof/>
        </w:rPr>
        <mc:AlternateContent>
          <mc:Choice Requires="wps">
            <w:drawing>
              <wp:anchor distT="0" distB="0" distL="114300" distR="114300" simplePos="0" relativeHeight="251659264" behindDoc="0" locked="0" layoutInCell="1" allowOverlap="1" wp14:anchorId="5633B707" wp14:editId="190164C2">
                <wp:simplePos x="0" y="0"/>
                <wp:positionH relativeFrom="margin">
                  <wp:align>left</wp:align>
                </wp:positionH>
                <wp:positionV relativeFrom="paragraph">
                  <wp:posOffset>94615</wp:posOffset>
                </wp:positionV>
                <wp:extent cx="885825" cy="542925"/>
                <wp:effectExtent l="0" t="0" r="28575" b="28575"/>
                <wp:wrapNone/>
                <wp:docPr id="15" name="Text Box 15"/>
                <wp:cNvGraphicFramePr/>
                <a:graphic xmlns:a="http://schemas.openxmlformats.org/drawingml/2006/main">
                  <a:graphicData uri="http://schemas.microsoft.com/office/word/2010/wordprocessingShape">
                    <wps:wsp>
                      <wps:cNvSpPr txBox="1"/>
                      <wps:spPr>
                        <a:xfrm>
                          <a:off x="0" y="0"/>
                          <a:ext cx="885825" cy="542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9A618D" w14:textId="77777777" w:rsidR="00125F1E" w:rsidRPr="002E1AB8" w:rsidRDefault="00125F1E" w:rsidP="00125F1E">
                            <w:pPr>
                              <w:jc w:val="center"/>
                              <w:rPr>
                                <w:i/>
                                <w:sz w:val="20"/>
                              </w:rPr>
                            </w:pPr>
                            <w:r w:rsidRPr="002E1AB8">
                              <w:rPr>
                                <w:i/>
                                <w:sz w:val="20"/>
                              </w:rPr>
                              <w:t>Taxable income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3B707" id="Text Box 15" o:spid="_x0000_s1027" type="#_x0000_t202" style="position:absolute;left:0;text-align:left;margin-left:0;margin-top:7.45pt;width:69.75pt;height:42.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" fillcolor="white [3201]" strokeweight=".5pt">
                <v:textbox>
                  <w:txbxContent>
                    <w:p w14:paraId="289A618D" w14:textId="77777777" w:rsidR="00125F1E" w:rsidRPr="002E1AB8" w:rsidRDefault="00125F1E" w:rsidP="00125F1E">
                      <w:pPr>
                        <w:jc w:val="center"/>
                        <w:rPr>
                          <w:i/>
                          <w:sz w:val="20"/>
                        </w:rPr>
                      </w:pPr>
                      <w:r w:rsidRPr="002E1AB8">
                        <w:rPr>
                          <w:i/>
                          <w:sz w:val="20"/>
                        </w:rPr>
                        <w:t>Taxable income</w:t>
                      </w:r>
                    </w:p>
                  </w:txbxContent>
                </v:textbox>
                <w10:wrap anchorx="margin"/>
              </v:shape>
            </w:pict>
          </mc:Fallback>
        </mc:AlternateContent>
      </w:r>
      <w:r>
        <w:rPr>
          <w:i/>
          <w:noProof/>
        </w:rPr>
        <mc:AlternateContent>
          <mc:Choice Requires="wps">
            <w:drawing>
              <wp:anchor distT="0" distB="0" distL="114300" distR="114300" simplePos="0" relativeHeight="251661312" behindDoc="0" locked="0" layoutInCell="1" allowOverlap="1" wp14:anchorId="65831874" wp14:editId="714DF9E5">
                <wp:simplePos x="0" y="0"/>
                <wp:positionH relativeFrom="column">
                  <wp:posOffset>2338070</wp:posOffset>
                </wp:positionH>
                <wp:positionV relativeFrom="paragraph">
                  <wp:posOffset>85090</wp:posOffset>
                </wp:positionV>
                <wp:extent cx="1704975" cy="552450"/>
                <wp:effectExtent l="0" t="0" r="28575" b="19050"/>
                <wp:wrapNone/>
                <wp:docPr id="8" name="Text Box 8"/>
                <wp:cNvGraphicFramePr/>
                <a:graphic xmlns:a="http://schemas.openxmlformats.org/drawingml/2006/main">
                  <a:graphicData uri="http://schemas.microsoft.com/office/word/2010/wordprocessingShape">
                    <wps:wsp>
                      <wps:cNvSpPr txBox="1"/>
                      <wps:spPr>
                        <a:xfrm>
                          <a:off x="0" y="0"/>
                          <a:ext cx="1704975" cy="552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7A3225" w14:textId="77777777" w:rsidR="00125F1E" w:rsidRPr="002E1AB8" w:rsidRDefault="00125F1E" w:rsidP="00125F1E">
                            <w:pPr>
                              <w:jc w:val="center"/>
                              <w:rPr>
                                <w:i/>
                                <w:sz w:val="20"/>
                              </w:rPr>
                            </w:pPr>
                            <w:r w:rsidRPr="002E1AB8">
                              <w:rPr>
                                <w:i/>
                                <w:sz w:val="20"/>
                              </w:rPr>
                              <w:t>Original value of the transferred capital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31874" id="Text Box 8" o:spid="_x0000_s1028" type="#_x0000_t202" style="position:absolute;left:0;text-align:left;margin-left:184.1pt;margin-top:6.7pt;width:134.25pt;height:4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" fillcolor="white [3201]" strokeweight=".5pt">
                <v:textbox>
                  <w:txbxContent>
                    <w:p w14:paraId="387A3225" w14:textId="77777777" w:rsidR="00125F1E" w:rsidRPr="002E1AB8" w:rsidRDefault="00125F1E" w:rsidP="00125F1E">
                      <w:pPr>
                        <w:jc w:val="center"/>
                        <w:rPr>
                          <w:i/>
                          <w:sz w:val="20"/>
                        </w:rPr>
                      </w:pPr>
                      <w:r w:rsidRPr="002E1AB8">
                        <w:rPr>
                          <w:i/>
                          <w:sz w:val="20"/>
                        </w:rPr>
                        <w:t>Original value of the transferred capital</w:t>
                      </w:r>
                    </w:p>
                  </w:txbxContent>
                </v:textbox>
              </v:shape>
            </w:pict>
          </mc:Fallback>
        </mc:AlternateContent>
      </w:r>
      <w:r>
        <w:rPr>
          <w:i/>
          <w:noProof/>
        </w:rPr>
        <mc:AlternateContent>
          <mc:Choice Requires="wps">
            <w:drawing>
              <wp:anchor distT="0" distB="0" distL="114300" distR="114300" simplePos="0" relativeHeight="251660288" behindDoc="0" locked="0" layoutInCell="1" allowOverlap="1" wp14:anchorId="5778CBA3" wp14:editId="50291962">
                <wp:simplePos x="0" y="0"/>
                <wp:positionH relativeFrom="margin">
                  <wp:posOffset>1242695</wp:posOffset>
                </wp:positionH>
                <wp:positionV relativeFrom="paragraph">
                  <wp:posOffset>85090</wp:posOffset>
                </wp:positionV>
                <wp:extent cx="809625" cy="55245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809625" cy="552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757DD93" w14:textId="77777777" w:rsidR="00125F1E" w:rsidRPr="002E1AB8" w:rsidRDefault="00125F1E" w:rsidP="00125F1E">
                            <w:pPr>
                              <w:jc w:val="center"/>
                              <w:rPr>
                                <w:i/>
                                <w:sz w:val="20"/>
                              </w:rPr>
                            </w:pPr>
                            <w:r w:rsidRPr="002E1AB8">
                              <w:rPr>
                                <w:i/>
                                <w:sz w:val="20"/>
                              </w:rPr>
                              <w:t>Transfer price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8CBA3" id="Text Box 14" o:spid="_x0000_s1029" type="#_x0000_t202" style="position:absolute;left:0;text-align:left;margin-left:97.85pt;margin-top:6.7pt;width:63.75pt;height:4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" fillcolor="white [3201]" strokeweight=".5pt">
                <v:textbox>
                  <w:txbxContent>
                    <w:p w14:paraId="0757DD93" w14:textId="77777777" w:rsidR="00125F1E" w:rsidRPr="002E1AB8" w:rsidRDefault="00125F1E" w:rsidP="00125F1E">
                      <w:pPr>
                        <w:jc w:val="center"/>
                        <w:rPr>
                          <w:i/>
                          <w:sz w:val="20"/>
                        </w:rPr>
                      </w:pPr>
                      <w:r w:rsidRPr="002E1AB8">
                        <w:rPr>
                          <w:i/>
                          <w:sz w:val="20"/>
                        </w:rPr>
                        <w:t>Transfer price</w:t>
                      </w:r>
                    </w:p>
                  </w:txbxContent>
                </v:textbox>
                <w10:wrap anchorx="margin"/>
              </v:shape>
            </w:pict>
          </mc:Fallback>
        </mc:AlternateContent>
      </w:r>
      <w:r>
        <w:rPr>
          <w:i/>
          <w:iCs/>
        </w:rPr>
        <w:tab/>
      </w:r>
      <w:r>
        <w:rPr>
          <w:i/>
          <w:iCs/>
        </w:rPr>
        <w:tab/>
        <w:t xml:space="preserve">     </w:t>
      </w:r>
    </w:p>
    <w:p w14:paraId="09706AAD" w14:textId="77777777" w:rsidR="00125F1E" w:rsidRPr="002E1AB8" w:rsidRDefault="00125F1E" w:rsidP="00125F1E">
      <w:pPr>
        <w:pStyle w:val="ListBullet"/>
        <w:numPr>
          <w:ilvl w:val="0"/>
          <w:numId w:val="0"/>
        </w:numPr>
        <w:ind w:left="1224"/>
        <w:rPr>
          <w:i/>
          <w:iCs/>
        </w:rPr>
      </w:pPr>
      <w:r w:rsidRPr="002E1AB8">
        <w:rPr>
          <w:i/>
          <w:iCs/>
        </w:rPr>
        <w:t xml:space="preserve">     =                            -    -                                               -      -</w:t>
      </w:r>
    </w:p>
    <w:p w14:paraId="38B93308" w14:textId="77777777" w:rsidR="00125F1E" w:rsidRDefault="00125F1E" w:rsidP="00125F1E">
      <w:pPr>
        <w:pStyle w:val="ListBullet"/>
        <w:numPr>
          <w:ilvl w:val="0"/>
          <w:numId w:val="0"/>
        </w:numPr>
        <w:ind w:left="90"/>
        <w:rPr>
          <w:i/>
          <w:iCs/>
        </w:rPr>
      </w:pPr>
    </w:p>
    <w:p w14:paraId="33E79EFC" w14:textId="77777777" w:rsidR="00125F1E" w:rsidRPr="008A1906" w:rsidRDefault="00125F1E" w:rsidP="00125F1E">
      <w:pPr>
        <w:pStyle w:val="ListBullet"/>
        <w:numPr>
          <w:ilvl w:val="0"/>
          <w:numId w:val="0"/>
        </w:numPr>
        <w:spacing w:before="240"/>
        <w:ind w:left="86"/>
        <w:rPr>
          <w:i/>
        </w:rPr>
      </w:pPr>
      <w:r w:rsidRPr="008A1906">
        <w:rPr>
          <w:iCs/>
        </w:rPr>
        <w:t>Under which:</w:t>
      </w:r>
    </w:p>
    <w:p w14:paraId="57CB04A9" w14:textId="77777777" w:rsidR="00125F1E" w:rsidRDefault="00125F1E" w:rsidP="00125F1E">
      <w:pPr>
        <w:pStyle w:val="BodyText"/>
        <w:spacing w:before="240"/>
        <w:rPr>
          <w:i/>
        </w:rPr>
      </w:pPr>
      <w:r>
        <w:rPr>
          <w:i/>
        </w:rPr>
        <w:t>(</w:t>
      </w:r>
      <w:proofErr w:type="spellStart"/>
      <w:r>
        <w:rPr>
          <w:i/>
        </w:rPr>
        <w:t>i</w:t>
      </w:r>
      <w:proofErr w:type="spellEnd"/>
      <w:r>
        <w:rPr>
          <w:i/>
        </w:rPr>
        <w:t xml:space="preserve">) </w:t>
      </w:r>
      <w:r w:rsidRPr="00CE21D9">
        <w:rPr>
          <w:i/>
        </w:rPr>
        <w:t>The transfer price</w:t>
      </w:r>
      <w:r>
        <w:rPr>
          <w:i/>
        </w:rPr>
        <w:t>:</w:t>
      </w:r>
    </w:p>
    <w:p w14:paraId="227E9C71" w14:textId="36F7FAC9" w:rsidR="00125F1E" w:rsidRDefault="00125F1E" w:rsidP="00125F1E">
      <w:pPr>
        <w:pStyle w:val="BodyText"/>
        <w:numPr>
          <w:ilvl w:val="0"/>
          <w:numId w:val="8"/>
        </w:numPr>
      </w:pPr>
      <w:r>
        <w:t>The transfer price</w:t>
      </w:r>
      <w:r w:rsidRPr="00CE21D9">
        <w:t xml:space="preserve"> is determined as the price paid by </w:t>
      </w:r>
      <w:r>
        <w:t>foreign transferees to the transferors</w:t>
      </w:r>
      <w:r w:rsidRPr="00CE21D9">
        <w:t xml:space="preserve"> for the </w:t>
      </w:r>
      <w:r>
        <w:t>transferred capital</w:t>
      </w:r>
      <w:r w:rsidRPr="00CE21D9">
        <w:t xml:space="preserve">, which </w:t>
      </w:r>
      <w:r>
        <w:t xml:space="preserve">should be indicated in the Capital Transfer Agreement to be signed by and </w:t>
      </w:r>
      <w:r w:rsidRPr="00CE21D9">
        <w:t xml:space="preserve">between </w:t>
      </w:r>
      <w:r>
        <w:t>the transferors and the potential transferee</w:t>
      </w:r>
      <w:r w:rsidRPr="00CE21D9">
        <w:t>.</w:t>
      </w:r>
    </w:p>
    <w:p w14:paraId="6E4454BE" w14:textId="2DDE0BCC" w:rsidR="00125F1E" w:rsidRDefault="00125F1E" w:rsidP="00125F1E">
      <w:pPr>
        <w:pStyle w:val="BodyText"/>
        <w:numPr>
          <w:ilvl w:val="0"/>
          <w:numId w:val="8"/>
        </w:numPr>
      </w:pPr>
      <w:r>
        <w:t>T</w:t>
      </w:r>
      <w:r w:rsidRPr="00065D8A">
        <w:t xml:space="preserve">echnically, the transfer price should be determined on an arm’s length </w:t>
      </w:r>
      <w:r>
        <w:t>principle</w:t>
      </w:r>
      <w:r w:rsidRPr="00065D8A">
        <w:t xml:space="preserve">. Where the </w:t>
      </w:r>
      <w:r w:rsidR="007B44FC">
        <w:t>Capital Transfer Agreement</w:t>
      </w:r>
      <w:r>
        <w:t xml:space="preserve"> </w:t>
      </w:r>
      <w:r w:rsidRPr="00065D8A">
        <w:t xml:space="preserve">does not </w:t>
      </w:r>
      <w:r>
        <w:t>state</w:t>
      </w:r>
      <w:r w:rsidRPr="00065D8A">
        <w:t xml:space="preserve"> the transfer price or the </w:t>
      </w:r>
      <w:r>
        <w:t xml:space="preserve">Vietnamese </w:t>
      </w:r>
      <w:r w:rsidRPr="00065D8A">
        <w:t xml:space="preserve">tax authority has grounds </w:t>
      </w:r>
      <w:r>
        <w:t>to determine</w:t>
      </w:r>
      <w:r w:rsidRPr="00065D8A">
        <w:t xml:space="preserve"> that the capital transfer transaction is not carried out at arm’s length, the </w:t>
      </w:r>
      <w:r>
        <w:t xml:space="preserve">Vietnamese </w:t>
      </w:r>
      <w:r w:rsidRPr="00065D8A">
        <w:t xml:space="preserve">tax authority has the right to </w:t>
      </w:r>
      <w:r>
        <w:t>re-assess</w:t>
      </w:r>
      <w:r w:rsidRPr="00065D8A">
        <w:t xml:space="preserve"> and deem a market value of the transfer on the basis of prices of other capital transfer at the same time</w:t>
      </w:r>
      <w:r>
        <w:t>,</w:t>
      </w:r>
      <w:r w:rsidRPr="00065D8A">
        <w:t xml:space="preserve"> by the same economic organization or prices in similar capital </w:t>
      </w:r>
      <w:r>
        <w:t>transfer</w:t>
      </w:r>
      <w:r w:rsidRPr="00065D8A">
        <w:t xml:space="preserve"> contracts.</w:t>
      </w:r>
      <w:r>
        <w:t xml:space="preserve"> The transfer price assessed by a competent professional valuation organization will be used in case the transfer price imposed by the tax authority is not reasonable.</w:t>
      </w:r>
    </w:p>
    <w:p w14:paraId="4E73F7FB" w14:textId="77777777" w:rsidR="00125F1E" w:rsidRPr="00A26E64" w:rsidRDefault="00125F1E" w:rsidP="00125F1E">
      <w:pPr>
        <w:pStyle w:val="BodyText"/>
        <w:numPr>
          <w:ilvl w:val="0"/>
          <w:numId w:val="8"/>
        </w:numPr>
      </w:pPr>
      <w:r>
        <w:t>Based on the above, the transfer price should be set on an arm’s length basis to mitigate any risk of being challenged by the Vietnamese tax authority. The</w:t>
      </w:r>
      <w:r w:rsidRPr="00A26E64">
        <w:t xml:space="preserve"> basis for the determination of transfer price and the related supporting documents should be properly maintain</w:t>
      </w:r>
      <w:r>
        <w:t>ed</w:t>
      </w:r>
      <w:r w:rsidRPr="00A26E64">
        <w:t xml:space="preserve"> to avoid any challenge from the </w:t>
      </w:r>
      <w:r>
        <w:t xml:space="preserve">Vietnamese </w:t>
      </w:r>
      <w:r w:rsidRPr="00A26E64">
        <w:t xml:space="preserve">tax authority on the transfer price. </w:t>
      </w:r>
    </w:p>
    <w:p w14:paraId="51FD34DE" w14:textId="77777777" w:rsidR="00125F1E" w:rsidRDefault="00125F1E" w:rsidP="00125F1E">
      <w:pPr>
        <w:pStyle w:val="BodyText"/>
        <w:spacing w:before="240"/>
      </w:pPr>
      <w:r>
        <w:rPr>
          <w:i/>
        </w:rPr>
        <w:t xml:space="preserve"> (ii) </w:t>
      </w:r>
      <w:r w:rsidRPr="006F7D7C">
        <w:rPr>
          <w:i/>
        </w:rPr>
        <w:t xml:space="preserve">The original value of the </w:t>
      </w:r>
      <w:r>
        <w:rPr>
          <w:i/>
        </w:rPr>
        <w:t xml:space="preserve">transferred </w:t>
      </w:r>
      <w:r w:rsidRPr="006F7D7C">
        <w:rPr>
          <w:i/>
        </w:rPr>
        <w:t>capital</w:t>
      </w:r>
      <w:r>
        <w:rPr>
          <w:i/>
        </w:rPr>
        <w:t>:</w:t>
      </w:r>
      <w:r w:rsidRPr="00E479A3">
        <w:t xml:space="preserve"> </w:t>
      </w:r>
    </w:p>
    <w:p w14:paraId="79E21CEF" w14:textId="77777777" w:rsidR="00125F1E" w:rsidRDefault="00125F1E" w:rsidP="00125F1E">
      <w:pPr>
        <w:pStyle w:val="BodyText"/>
        <w:numPr>
          <w:ilvl w:val="0"/>
          <w:numId w:val="8"/>
        </w:numPr>
      </w:pPr>
      <w:r>
        <w:t xml:space="preserve">In case of transfer of contributed capital for enterprise establishment, the original value shall be the </w:t>
      </w:r>
      <w:r w:rsidRPr="00DD21E7">
        <w:t>accumulated value of contributed capital up to the date of capital transfer as</w:t>
      </w:r>
      <w:r>
        <w:t xml:space="preserve"> </w:t>
      </w:r>
      <w:r w:rsidRPr="00DD21E7">
        <w:t>stated on accounting books, invoices, and other documents and certified by investors or participants in the business cooperation contract or according to audit report provided by an independent audit company if the enterprise is a foreign-owned enterprise</w:t>
      </w:r>
      <w:r>
        <w:t>;</w:t>
      </w:r>
    </w:p>
    <w:p w14:paraId="727CF96D" w14:textId="77777777" w:rsidR="00125F1E" w:rsidRDefault="00125F1E" w:rsidP="00125F1E">
      <w:pPr>
        <w:pStyle w:val="BodyText"/>
        <w:numPr>
          <w:ilvl w:val="0"/>
          <w:numId w:val="8"/>
        </w:numPr>
      </w:pPr>
      <w:r>
        <w:t xml:space="preserve">In case of capital redemption from another investor, the original value shall be </w:t>
      </w:r>
      <w:r w:rsidRPr="00DD21E7">
        <w:t>the value of capital at the time of redemption (determined</w:t>
      </w:r>
      <w:r>
        <w:t xml:space="preserve"> by </w:t>
      </w:r>
      <w:r w:rsidRPr="00DD21E7">
        <w:t>capital transfer agreement).</w:t>
      </w:r>
    </w:p>
    <w:p w14:paraId="3F79CD7F" w14:textId="03EDCB26" w:rsidR="00125F1E" w:rsidRDefault="00125F1E" w:rsidP="00125F1E">
      <w:pPr>
        <w:pStyle w:val="BodyText"/>
      </w:pPr>
      <w:r>
        <w:t xml:space="preserve">Detailed analyses on </w:t>
      </w:r>
      <w:r>
        <w:t xml:space="preserve">the specific case of </w:t>
      </w:r>
      <w:r>
        <w:t>[….]</w:t>
      </w:r>
    </w:p>
    <w:p w14:paraId="15D4B9B0" w14:textId="77777777" w:rsidR="00125F1E" w:rsidRDefault="00125F1E" w:rsidP="00125F1E">
      <w:pPr>
        <w:pStyle w:val="ListBullet"/>
        <w:numPr>
          <w:ilvl w:val="0"/>
          <w:numId w:val="0"/>
        </w:numPr>
        <w:spacing w:before="240"/>
        <w:rPr>
          <w:i/>
        </w:rPr>
      </w:pPr>
      <w:r>
        <w:rPr>
          <w:i/>
        </w:rPr>
        <w:t xml:space="preserve">(iii) </w:t>
      </w:r>
      <w:r w:rsidRPr="00693CCC">
        <w:rPr>
          <w:i/>
        </w:rPr>
        <w:t>Transactional expenses</w:t>
      </w:r>
      <w:r>
        <w:rPr>
          <w:i/>
        </w:rPr>
        <w:t>:</w:t>
      </w:r>
    </w:p>
    <w:p w14:paraId="1CE4609E" w14:textId="77777777" w:rsidR="00125F1E" w:rsidRDefault="00125F1E" w:rsidP="00125F1E">
      <w:pPr>
        <w:pStyle w:val="ListBullet2"/>
      </w:pPr>
      <w:r w:rsidRPr="003E2D43">
        <w:t xml:space="preserve">Transactional expenses </w:t>
      </w:r>
      <w:r>
        <w:t>are the actual expenses incurred in relation to the capital transfer which are supported by legitimate invoices/supporting documents. For those</w:t>
      </w:r>
      <w:r w:rsidRPr="00AC69D7">
        <w:t xml:space="preserve"> </w:t>
      </w:r>
      <w:r>
        <w:t>expenses</w:t>
      </w:r>
      <w:r w:rsidRPr="00AC69D7">
        <w:t xml:space="preserve"> </w:t>
      </w:r>
      <w:r>
        <w:t>incurred</w:t>
      </w:r>
      <w:r w:rsidRPr="00AC69D7">
        <w:t xml:space="preserve"> overseas, </w:t>
      </w:r>
      <w:r w:rsidRPr="00AC69D7">
        <w:lastRenderedPageBreak/>
        <w:t>all original supporting documents/invoices must be notarized by an authorized body</w:t>
      </w:r>
      <w:r>
        <w:t xml:space="preserve">/an </w:t>
      </w:r>
      <w:r w:rsidRPr="00AC69D7">
        <w:t>independent auditor of the foreign country and must be translated into</w:t>
      </w:r>
      <w:r>
        <w:t xml:space="preserve"> Vietnamese. </w:t>
      </w:r>
    </w:p>
    <w:p w14:paraId="005B5269" w14:textId="77777777" w:rsidR="00125F1E" w:rsidRDefault="00125F1E" w:rsidP="00125F1E">
      <w:pPr>
        <w:pStyle w:val="ListBullet2"/>
      </w:pPr>
      <w:r>
        <w:t>Transactional expenses, under the Vietnamese regulations, might include:</w:t>
      </w:r>
    </w:p>
    <w:p w14:paraId="4A7544C9" w14:textId="77777777" w:rsidR="00125F1E" w:rsidRDefault="00125F1E" w:rsidP="00125F1E">
      <w:pPr>
        <w:pStyle w:val="ListBullet2"/>
        <w:numPr>
          <w:ilvl w:val="0"/>
          <w:numId w:val="9"/>
        </w:numPr>
        <w:spacing w:before="130" w:after="130" w:line="260" w:lineRule="atLeast"/>
        <w:jc w:val="left"/>
      </w:pPr>
      <w:r>
        <w:t xml:space="preserve">legal expenses necessarily incurred in connection with the </w:t>
      </w:r>
      <w:proofErr w:type="gramStart"/>
      <w:r>
        <w:t>transfer;</w:t>
      </w:r>
      <w:proofErr w:type="gramEnd"/>
    </w:p>
    <w:p w14:paraId="0FDCA72B" w14:textId="77777777" w:rsidR="00125F1E" w:rsidRDefault="00125F1E" w:rsidP="00125F1E">
      <w:pPr>
        <w:pStyle w:val="ListBullet2"/>
        <w:numPr>
          <w:ilvl w:val="0"/>
          <w:numId w:val="9"/>
        </w:numPr>
        <w:spacing w:before="130" w:after="130" w:line="260" w:lineRule="atLeast"/>
        <w:jc w:val="left"/>
      </w:pPr>
      <w:r>
        <w:t xml:space="preserve">expenses and levies payable upon implementation of transfer </w:t>
      </w:r>
      <w:proofErr w:type="gramStart"/>
      <w:r>
        <w:t>procedures;</w:t>
      </w:r>
      <w:proofErr w:type="gramEnd"/>
    </w:p>
    <w:p w14:paraId="1F05DDD0" w14:textId="77777777" w:rsidR="00125F1E" w:rsidRDefault="00125F1E" w:rsidP="00125F1E">
      <w:pPr>
        <w:pStyle w:val="ListBullet2"/>
        <w:numPr>
          <w:ilvl w:val="0"/>
          <w:numId w:val="9"/>
        </w:numPr>
        <w:spacing w:before="130" w:after="130" w:line="260" w:lineRule="atLeast"/>
        <w:jc w:val="left"/>
      </w:pPr>
      <w:r>
        <w:t>expenses relating to communications, negotiations and entering into capital transfer agreement; and</w:t>
      </w:r>
    </w:p>
    <w:p w14:paraId="3F1B2916" w14:textId="77777777" w:rsidR="00125F1E" w:rsidRPr="00B90DD0" w:rsidRDefault="00125F1E" w:rsidP="00125F1E">
      <w:pPr>
        <w:pStyle w:val="ListBullet2"/>
        <w:numPr>
          <w:ilvl w:val="0"/>
          <w:numId w:val="9"/>
        </w:numPr>
        <w:spacing w:before="130" w:after="130" w:line="260" w:lineRule="atLeast"/>
        <w:jc w:val="left"/>
        <w:rPr>
          <w:i/>
        </w:rPr>
      </w:pPr>
      <w:r>
        <w:t>other expenses with appropriate evidential documentation.</w:t>
      </w:r>
    </w:p>
    <w:p w14:paraId="1004177F" w14:textId="77777777" w:rsidR="00125F1E" w:rsidRPr="00A54F5A" w:rsidRDefault="00125F1E" w:rsidP="00125F1E">
      <w:pPr>
        <w:pStyle w:val="ListBullet2"/>
        <w:numPr>
          <w:ilvl w:val="0"/>
          <w:numId w:val="0"/>
        </w:numPr>
        <w:spacing w:before="130" w:after="130" w:line="260" w:lineRule="atLeast"/>
        <w:ind w:left="680"/>
        <w:jc w:val="left"/>
      </w:pPr>
      <w:r w:rsidRPr="00A54F5A">
        <w:t xml:space="preserve">For the </w:t>
      </w:r>
      <w:r>
        <w:t>c</w:t>
      </w:r>
      <w:r w:rsidRPr="00A54F5A">
        <w:t xml:space="preserve">ontemplated </w:t>
      </w:r>
      <w:r>
        <w:t>capital transfer</w:t>
      </w:r>
      <w:r w:rsidRPr="00A54F5A">
        <w:t>, it is recommended that legitimate invoices/supporting documents for all actual expenses incurred in relation to the capital transfer should be obtained and properly maintained for being deducted from the taxable income for CAT purpose.</w:t>
      </w:r>
    </w:p>
    <w:p w14:paraId="08062933" w14:textId="77777777" w:rsidR="00125F1E" w:rsidRDefault="00125F1E" w:rsidP="00125F1E">
      <w:pPr>
        <w:pStyle w:val="ListParagraph"/>
        <w:numPr>
          <w:ilvl w:val="0"/>
          <w:numId w:val="7"/>
        </w:numPr>
        <w:spacing w:before="240" w:after="120"/>
        <w:ind w:left="346" w:hanging="346"/>
        <w:contextualSpacing w:val="0"/>
        <w:rPr>
          <w:i/>
          <w:u w:val="single"/>
        </w:rPr>
      </w:pPr>
      <w:r w:rsidRPr="003E2D43">
        <w:rPr>
          <w:i/>
          <w:u w:val="single"/>
        </w:rPr>
        <w:t>Transactional currency</w:t>
      </w:r>
    </w:p>
    <w:p w14:paraId="6F6736A2" w14:textId="77777777" w:rsidR="00125F1E" w:rsidRDefault="00125F1E" w:rsidP="00125F1E">
      <w:pPr>
        <w:pStyle w:val="ListParagraph"/>
        <w:spacing w:before="120"/>
        <w:ind w:left="346"/>
        <w:contextualSpacing w:val="0"/>
        <w:jc w:val="both"/>
        <w:rPr>
          <w:szCs w:val="22"/>
        </w:rPr>
      </w:pPr>
      <w:r>
        <w:rPr>
          <w:szCs w:val="22"/>
        </w:rPr>
        <w:t>Pursuant to the applicable Vietnamese regulations:</w:t>
      </w:r>
    </w:p>
    <w:p w14:paraId="65A7CC07" w14:textId="77777777" w:rsidR="00125F1E" w:rsidRDefault="00125F1E" w:rsidP="00125F1E">
      <w:pPr>
        <w:pStyle w:val="ListParagraph"/>
        <w:numPr>
          <w:ilvl w:val="2"/>
          <w:numId w:val="7"/>
        </w:numPr>
        <w:tabs>
          <w:tab w:val="clear" w:pos="1020"/>
        </w:tabs>
        <w:spacing w:before="120"/>
        <w:ind w:left="630" w:hanging="270"/>
        <w:contextualSpacing w:val="0"/>
        <w:jc w:val="both"/>
        <w:rPr>
          <w:szCs w:val="22"/>
        </w:rPr>
      </w:pPr>
      <w:r w:rsidRPr="00A54F5A">
        <w:rPr>
          <w:szCs w:val="22"/>
        </w:rPr>
        <w:t>If the Vietnamese Company has its functional accounting currency in foreign currencies (e.g. US</w:t>
      </w:r>
      <w:r>
        <w:rPr>
          <w:szCs w:val="22"/>
        </w:rPr>
        <w:t>D</w:t>
      </w:r>
      <w:r w:rsidRPr="00A54F5A">
        <w:rPr>
          <w:szCs w:val="22"/>
        </w:rPr>
        <w:t xml:space="preserve">) in accordance with regulations of law on accounting, the transfer price and </w:t>
      </w:r>
      <w:r>
        <w:rPr>
          <w:szCs w:val="22"/>
        </w:rPr>
        <w:t>the original value</w:t>
      </w:r>
      <w:r w:rsidRPr="00A54F5A">
        <w:rPr>
          <w:szCs w:val="22"/>
        </w:rPr>
        <w:t xml:space="preserve"> of </w:t>
      </w:r>
      <w:r>
        <w:rPr>
          <w:szCs w:val="22"/>
        </w:rPr>
        <w:t>the transferred</w:t>
      </w:r>
      <w:r w:rsidRPr="00A54F5A">
        <w:rPr>
          <w:szCs w:val="22"/>
        </w:rPr>
        <w:t xml:space="preserve"> capital shall be expressed in a foreign currency (i.e. US</w:t>
      </w:r>
      <w:r>
        <w:rPr>
          <w:szCs w:val="22"/>
        </w:rPr>
        <w:t>D</w:t>
      </w:r>
      <w:r w:rsidRPr="00A54F5A">
        <w:rPr>
          <w:szCs w:val="22"/>
        </w:rPr>
        <w:t>) and no conversion is required.</w:t>
      </w:r>
    </w:p>
    <w:p w14:paraId="714B0706" w14:textId="77777777" w:rsidR="00125F1E" w:rsidRPr="00A54F5A" w:rsidRDefault="00125F1E" w:rsidP="00125F1E">
      <w:pPr>
        <w:pStyle w:val="ListParagraph"/>
        <w:numPr>
          <w:ilvl w:val="2"/>
          <w:numId w:val="7"/>
        </w:numPr>
        <w:tabs>
          <w:tab w:val="clear" w:pos="1020"/>
        </w:tabs>
        <w:spacing w:before="120"/>
        <w:ind w:left="630" w:hanging="270"/>
        <w:contextualSpacing w:val="0"/>
        <w:jc w:val="both"/>
        <w:rPr>
          <w:szCs w:val="22"/>
        </w:rPr>
      </w:pPr>
      <w:r w:rsidRPr="00A54F5A">
        <w:rPr>
          <w:szCs w:val="22"/>
        </w:rPr>
        <w:t xml:space="preserve">In case the Vietnamese Company has </w:t>
      </w:r>
      <w:r w:rsidRPr="00031B24">
        <w:rPr>
          <w:szCs w:val="22"/>
        </w:rPr>
        <w:t>its functional accounting currency in VND, the transfer price must be converted into VND according to the buying rate announced by the commercial bank, where the direct investment capital bank account of the Vietnamese Company is opened, at the time of transfer. This requirement of currency translation may give rise to a material taxable gain due to foreign</w:t>
      </w:r>
      <w:r w:rsidRPr="00A54F5A">
        <w:rPr>
          <w:szCs w:val="22"/>
        </w:rPr>
        <w:t xml:space="preserve"> exchange difference.</w:t>
      </w:r>
    </w:p>
    <w:p w14:paraId="66597341" w14:textId="3E8B9FD3" w:rsidR="00125F1E" w:rsidRPr="00A54F5A" w:rsidRDefault="00125F1E" w:rsidP="00125F1E">
      <w:pPr>
        <w:pStyle w:val="ListParagraph"/>
        <w:spacing w:before="120"/>
        <w:ind w:left="346"/>
        <w:contextualSpacing w:val="0"/>
        <w:jc w:val="both"/>
        <w:rPr>
          <w:i/>
          <w:u w:val="single"/>
        </w:rPr>
      </w:pPr>
      <w:r w:rsidRPr="00A54F5A">
        <w:rPr>
          <w:szCs w:val="22"/>
        </w:rPr>
        <w:t xml:space="preserve">As </w:t>
      </w:r>
      <w:r>
        <w:rPr>
          <w:szCs w:val="22"/>
        </w:rPr>
        <w:t>the Company</w:t>
      </w:r>
      <w:r w:rsidRPr="00A54F5A">
        <w:rPr>
          <w:szCs w:val="22"/>
        </w:rPr>
        <w:t xml:space="preserve"> uses VND </w:t>
      </w:r>
      <w:r w:rsidRPr="006C3257">
        <w:rPr>
          <w:szCs w:val="22"/>
        </w:rPr>
        <w:t xml:space="preserve">as its functional accounting currency, the transfer price will be converted into VND by using exchange rate announced by the commercial bank where </w:t>
      </w:r>
      <w:r>
        <w:rPr>
          <w:szCs w:val="22"/>
        </w:rPr>
        <w:t>the Company</w:t>
      </w:r>
      <w:r w:rsidRPr="006C3257">
        <w:rPr>
          <w:szCs w:val="22"/>
        </w:rPr>
        <w:t>'s capital account is opened at the time of transfer (to determine the transfer price).</w:t>
      </w:r>
    </w:p>
    <w:p w14:paraId="10A76B0B" w14:textId="77777777" w:rsidR="00125F1E" w:rsidRPr="003E2D43" w:rsidRDefault="00125F1E" w:rsidP="00125F1E">
      <w:pPr>
        <w:pStyle w:val="ListParagraph"/>
        <w:numPr>
          <w:ilvl w:val="0"/>
          <w:numId w:val="7"/>
        </w:numPr>
        <w:spacing w:before="240" w:line="276" w:lineRule="auto"/>
        <w:ind w:left="346" w:hanging="346"/>
        <w:contextualSpacing w:val="0"/>
        <w:rPr>
          <w:i/>
          <w:u w:val="single"/>
        </w:rPr>
      </w:pPr>
      <w:r w:rsidRPr="003E2D43">
        <w:rPr>
          <w:i/>
          <w:u w:val="single"/>
        </w:rPr>
        <w:t>CAT filing and payment requirements</w:t>
      </w:r>
    </w:p>
    <w:p w14:paraId="01C24417" w14:textId="77777777" w:rsidR="00125F1E" w:rsidRPr="00EC72EE" w:rsidRDefault="00125F1E" w:rsidP="00125F1E">
      <w:pPr>
        <w:pStyle w:val="BodyText"/>
        <w:spacing w:line="276" w:lineRule="auto"/>
        <w:rPr>
          <w:i/>
        </w:rPr>
      </w:pPr>
      <w:r w:rsidRPr="00EC72EE">
        <w:rPr>
          <w:i/>
        </w:rPr>
        <w:t>Responsibility to declare and pay CAT:</w:t>
      </w:r>
    </w:p>
    <w:p w14:paraId="14BAD796" w14:textId="32B55054" w:rsidR="00125F1E" w:rsidRDefault="00125F1E" w:rsidP="00125F1E">
      <w:pPr>
        <w:pStyle w:val="BodyText"/>
        <w:numPr>
          <w:ilvl w:val="2"/>
          <w:numId w:val="7"/>
        </w:numPr>
        <w:tabs>
          <w:tab w:val="clear" w:pos="1020"/>
        </w:tabs>
        <w:spacing w:line="276" w:lineRule="auto"/>
        <w:ind w:left="630" w:hanging="270"/>
      </w:pPr>
      <w:r>
        <w:rPr>
          <w:szCs w:val="22"/>
        </w:rPr>
        <w:t xml:space="preserve">If the potential transferee is </w:t>
      </w:r>
      <w:r>
        <w:t xml:space="preserve">foreign organization not conducting business in Vietnam under the Law on Investment or Law on Enterprises, </w:t>
      </w:r>
      <w:r w:rsidR="008E7C15">
        <w:t>the Company whose capital is being transferred</w:t>
      </w:r>
      <w:r>
        <w:t xml:space="preserve"> shall be responsible to declare and pay CAT to the</w:t>
      </w:r>
      <w:r w:rsidR="008E7C15">
        <w:t xml:space="preserve"> local tax department </w:t>
      </w:r>
      <w:r w:rsidRPr="00E416F3">
        <w:t xml:space="preserve">on behalf of </w:t>
      </w:r>
      <w:r>
        <w:t>the transferors</w:t>
      </w:r>
      <w:r>
        <w:rPr>
          <w:rStyle w:val="FootnoteReference"/>
        </w:rPr>
        <w:footnoteReference w:id="3"/>
      </w:r>
      <w:r w:rsidRPr="00E416F3">
        <w:t>.</w:t>
      </w:r>
    </w:p>
    <w:p w14:paraId="5EED55EE" w14:textId="77777777" w:rsidR="00125F1E" w:rsidRDefault="00125F1E" w:rsidP="00125F1E">
      <w:pPr>
        <w:pStyle w:val="BodyText"/>
        <w:numPr>
          <w:ilvl w:val="2"/>
          <w:numId w:val="7"/>
        </w:numPr>
        <w:tabs>
          <w:tab w:val="clear" w:pos="1020"/>
        </w:tabs>
        <w:spacing w:line="276" w:lineRule="auto"/>
        <w:ind w:left="630" w:hanging="270"/>
      </w:pPr>
      <w:r>
        <w:t>If the potential transferee is a Vietnamese organization, the transferee shall be responsible for CAT declaration and payment to the HTD on behalf of the transferors.</w:t>
      </w:r>
    </w:p>
    <w:p w14:paraId="52068465" w14:textId="77777777" w:rsidR="00125F1E" w:rsidRPr="00EC72EE" w:rsidRDefault="00125F1E" w:rsidP="00125F1E">
      <w:pPr>
        <w:pStyle w:val="BodyText"/>
        <w:spacing w:line="276" w:lineRule="auto"/>
        <w:rPr>
          <w:i/>
        </w:rPr>
      </w:pPr>
      <w:r w:rsidRPr="00EC72EE">
        <w:rPr>
          <w:i/>
        </w:rPr>
        <w:t>Deadline for CAT declaration and payment:</w:t>
      </w:r>
    </w:p>
    <w:p w14:paraId="5F11F6F9" w14:textId="77777777" w:rsidR="00125F1E" w:rsidRDefault="00125F1E" w:rsidP="00125F1E">
      <w:pPr>
        <w:pStyle w:val="BodyText"/>
        <w:numPr>
          <w:ilvl w:val="2"/>
          <w:numId w:val="7"/>
        </w:numPr>
        <w:tabs>
          <w:tab w:val="clear" w:pos="1020"/>
        </w:tabs>
        <w:spacing w:line="276" w:lineRule="auto"/>
        <w:ind w:left="630" w:hanging="270"/>
      </w:pPr>
      <w:r w:rsidRPr="00032255">
        <w:t>Pursuant to the current Vietnamese regulations on tax administration, the CAT declaration are to be submitted within ten (10) days after the capital transfer is approved by competent licensing authority or the commencement date of the agreement (in case the transfer is not required to obtain the approval from the competent authorities)</w:t>
      </w:r>
      <w:r w:rsidRPr="00EC72EE">
        <w:footnoteReference w:id="4"/>
      </w:r>
      <w:r w:rsidRPr="00032255">
        <w:t>· The deadline for CAT payment is the same time with the CAT declaration deadline</w:t>
      </w:r>
      <w:r>
        <w:t>.</w:t>
      </w:r>
    </w:p>
    <w:p w14:paraId="4F3C97F5" w14:textId="70D767B3" w:rsidR="00125F1E" w:rsidRDefault="00125F1E" w:rsidP="00125F1E">
      <w:pPr>
        <w:pStyle w:val="BodyText"/>
        <w:numPr>
          <w:ilvl w:val="2"/>
          <w:numId w:val="7"/>
        </w:numPr>
        <w:tabs>
          <w:tab w:val="clear" w:pos="1020"/>
        </w:tabs>
        <w:spacing w:line="276" w:lineRule="auto"/>
        <w:ind w:left="630" w:hanging="270"/>
      </w:pPr>
      <w:r>
        <w:t>For the contemplated capital transfer, a</w:t>
      </w:r>
      <w:r w:rsidRPr="00032255">
        <w:t xml:space="preserve">pparently the </w:t>
      </w:r>
      <w:r>
        <w:t xml:space="preserve">competent authority (i.e. the </w:t>
      </w:r>
      <w:r w:rsidRPr="00032255">
        <w:t>M</w:t>
      </w:r>
      <w:r>
        <w:t xml:space="preserve">inistry </w:t>
      </w:r>
      <w:r w:rsidRPr="00032255">
        <w:t>o</w:t>
      </w:r>
      <w:r>
        <w:t xml:space="preserve">f Finance (“MOF”)) </w:t>
      </w:r>
      <w:r w:rsidRPr="00032255">
        <w:t>usually issue an in</w:t>
      </w:r>
      <w:r>
        <w:t>-</w:t>
      </w:r>
      <w:r w:rsidRPr="00032255">
        <w:t xml:space="preserve">principle approval but the final approval is when the new shareholder </w:t>
      </w:r>
      <w:r w:rsidRPr="00032255">
        <w:lastRenderedPageBreak/>
        <w:t>is registered by the M</w:t>
      </w:r>
      <w:r>
        <w:t xml:space="preserve">OF, </w:t>
      </w:r>
      <w:r w:rsidRPr="00032255">
        <w:t>i</w:t>
      </w:r>
      <w:r>
        <w:t>.</w:t>
      </w:r>
      <w:r w:rsidRPr="00032255">
        <w:t>e</w:t>
      </w:r>
      <w:r>
        <w:t xml:space="preserve">. </w:t>
      </w:r>
      <w:r w:rsidRPr="00032255">
        <w:t xml:space="preserve">on completion of the </w:t>
      </w:r>
      <w:r>
        <w:t xml:space="preserve">capital transfer </w:t>
      </w:r>
      <w:r w:rsidRPr="00032255">
        <w:t>transaction</w:t>
      </w:r>
      <w:r>
        <w:t xml:space="preserve">. </w:t>
      </w:r>
      <w:r w:rsidRPr="00032255">
        <w:t xml:space="preserve">The current </w:t>
      </w:r>
      <w:r>
        <w:t xml:space="preserve">Vietnamese tax </w:t>
      </w:r>
      <w:r w:rsidRPr="00032255">
        <w:t>regulations are less than clear on</w:t>
      </w:r>
      <w:r>
        <w:t xml:space="preserve"> the deadline for CAT declaration and payment in this case. However, i</w:t>
      </w:r>
      <w:r w:rsidRPr="00032255">
        <w:t>t might be arguable that the 10</w:t>
      </w:r>
      <w:r>
        <w:t>-</w:t>
      </w:r>
      <w:r w:rsidRPr="00032255">
        <w:t>day period runs from the date when the final approval is made (i.e. when the new shareholder is registered by the M</w:t>
      </w:r>
      <w:r>
        <w:t>O</w:t>
      </w:r>
      <w:r w:rsidRPr="00032255">
        <w:t>F</w:t>
      </w:r>
      <w:r>
        <w:t>), on the basis</w:t>
      </w:r>
      <w:r w:rsidRPr="00032255">
        <w:t xml:space="preserve"> the transaction may not complete even after the </w:t>
      </w:r>
      <w:r>
        <w:t xml:space="preserve">MOF issues the in-principal </w:t>
      </w:r>
      <w:r w:rsidRPr="00032255">
        <w:t>approval</w:t>
      </w:r>
      <w:r>
        <w:t xml:space="preserve">), which is </w:t>
      </w:r>
      <w:r w:rsidRPr="00032255">
        <w:t>conditional upon other conditions precedent being completed</w:t>
      </w:r>
      <w:r>
        <w:t>. Note that this might be subject to explanation with the tax authority if being challenged.</w:t>
      </w:r>
    </w:p>
    <w:p w14:paraId="629E6240" w14:textId="77777777" w:rsidR="00125F1E" w:rsidRPr="001B17AF" w:rsidRDefault="00125F1E" w:rsidP="00125F1E">
      <w:pPr>
        <w:pStyle w:val="BodyText"/>
        <w:spacing w:line="276" w:lineRule="auto"/>
      </w:pPr>
      <w:r w:rsidRPr="00EC72EE">
        <w:rPr>
          <w:i/>
        </w:rPr>
        <w:t>D</w:t>
      </w:r>
      <w:r w:rsidRPr="00EC72EE">
        <w:rPr>
          <w:rFonts w:cs="Arial"/>
          <w:i/>
          <w:lang w:eastAsia="zh-CN"/>
        </w:rPr>
        <w:t>ossier for CAT declaration</w:t>
      </w:r>
      <w:r>
        <w:rPr>
          <w:rStyle w:val="FootnoteReference"/>
        </w:rPr>
        <w:footnoteReference w:id="5"/>
      </w:r>
      <w:r w:rsidRPr="001B17AF">
        <w:rPr>
          <w:rFonts w:cs="Arial"/>
          <w:lang w:eastAsia="zh-CN"/>
        </w:rPr>
        <w:t>:</w:t>
      </w:r>
    </w:p>
    <w:p w14:paraId="712C1FB1" w14:textId="77777777" w:rsidR="00125F1E" w:rsidRPr="00616CA6" w:rsidRDefault="00125F1E" w:rsidP="00125F1E">
      <w:pPr>
        <w:pStyle w:val="ListBullet"/>
        <w:numPr>
          <w:ilvl w:val="0"/>
          <w:numId w:val="13"/>
        </w:numPr>
        <w:spacing w:before="130" w:after="130" w:line="276" w:lineRule="auto"/>
        <w:ind w:left="981" w:hanging="351"/>
        <w:jc w:val="left"/>
        <w:rPr>
          <w:rFonts w:cs="Arial"/>
          <w:lang w:eastAsia="zh-CN"/>
        </w:rPr>
      </w:pPr>
      <w:r w:rsidRPr="00616CA6">
        <w:rPr>
          <w:rFonts w:cs="Arial"/>
          <w:lang w:eastAsia="zh-CN"/>
        </w:rPr>
        <w:t>A CAT declaration return (Form 05/TNDN issued with Circular</w:t>
      </w:r>
      <w:r>
        <w:rPr>
          <w:rFonts w:cs="Arial"/>
          <w:lang w:eastAsia="zh-CN"/>
        </w:rPr>
        <w:t xml:space="preserve"> </w:t>
      </w:r>
      <w:r w:rsidRPr="006C3A31">
        <w:rPr>
          <w:rFonts w:cs="Arial"/>
          <w:lang w:eastAsia="zh-CN"/>
        </w:rPr>
        <w:t>156/2013/TT-BTC</w:t>
      </w:r>
      <w:proofErr w:type="gramStart"/>
      <w:r w:rsidRPr="00616CA6">
        <w:rPr>
          <w:rFonts w:cs="Arial"/>
          <w:lang w:eastAsia="zh-CN"/>
        </w:rPr>
        <w:t>);</w:t>
      </w:r>
      <w:proofErr w:type="gramEnd"/>
    </w:p>
    <w:p w14:paraId="44C8BF76" w14:textId="77777777" w:rsidR="00125F1E" w:rsidRPr="00616CA6" w:rsidRDefault="00125F1E" w:rsidP="00125F1E">
      <w:pPr>
        <w:pStyle w:val="ListBullet"/>
        <w:numPr>
          <w:ilvl w:val="0"/>
          <w:numId w:val="13"/>
        </w:numPr>
        <w:spacing w:before="130" w:after="130" w:line="276" w:lineRule="auto"/>
        <w:ind w:left="981" w:hanging="351"/>
        <w:jc w:val="left"/>
        <w:rPr>
          <w:rFonts w:cs="Arial"/>
          <w:lang w:eastAsia="zh-CN"/>
        </w:rPr>
      </w:pPr>
      <w:r w:rsidRPr="00616CA6">
        <w:rPr>
          <w:rFonts w:cs="Arial"/>
          <w:lang w:eastAsia="zh-CN"/>
        </w:rPr>
        <w:t>A copy of the capital transfer agreement. In case the agreement is made in a foreign language, the following main contents must be translated into Vietnamese: the transferor; the transferee; the point of transfer; transfer contents; rights and obligations of each party; contractual value; time, mode and currency used for payment;</w:t>
      </w:r>
    </w:p>
    <w:p w14:paraId="6465FCF0" w14:textId="77777777" w:rsidR="00125F1E" w:rsidRPr="00616CA6" w:rsidRDefault="00125F1E" w:rsidP="00125F1E">
      <w:pPr>
        <w:pStyle w:val="ListBullet"/>
        <w:numPr>
          <w:ilvl w:val="0"/>
          <w:numId w:val="13"/>
        </w:numPr>
        <w:spacing w:before="130" w:after="130" w:line="276" w:lineRule="auto"/>
        <w:ind w:left="981" w:hanging="351"/>
        <w:jc w:val="left"/>
        <w:rPr>
          <w:rFonts w:cs="Arial"/>
          <w:lang w:eastAsia="zh-CN"/>
        </w:rPr>
      </w:pPr>
      <w:r w:rsidRPr="00616CA6">
        <w:rPr>
          <w:rFonts w:cs="Arial"/>
          <w:lang w:eastAsia="zh-CN"/>
        </w:rPr>
        <w:t xml:space="preserve">A copy of the decision approving the capital transfer issued by </w:t>
      </w:r>
      <w:r>
        <w:rPr>
          <w:rFonts w:cs="Arial"/>
          <w:lang w:eastAsia="zh-CN"/>
        </w:rPr>
        <w:t xml:space="preserve">the </w:t>
      </w:r>
      <w:proofErr w:type="gramStart"/>
      <w:r>
        <w:rPr>
          <w:rFonts w:cs="Arial"/>
          <w:lang w:eastAsia="zh-CN"/>
        </w:rPr>
        <w:t>MOF</w:t>
      </w:r>
      <w:r w:rsidRPr="00616CA6">
        <w:rPr>
          <w:rFonts w:cs="Arial"/>
          <w:lang w:eastAsia="zh-CN"/>
        </w:rPr>
        <w:t>;</w:t>
      </w:r>
      <w:proofErr w:type="gramEnd"/>
    </w:p>
    <w:p w14:paraId="37A572AE" w14:textId="3B597747" w:rsidR="00125F1E" w:rsidRPr="00F36976" w:rsidRDefault="00125F1E" w:rsidP="00125F1E">
      <w:pPr>
        <w:pStyle w:val="ListBullet"/>
        <w:numPr>
          <w:ilvl w:val="0"/>
          <w:numId w:val="13"/>
        </w:numPr>
        <w:spacing w:before="130" w:after="130" w:line="276" w:lineRule="auto"/>
        <w:ind w:left="981" w:hanging="351"/>
        <w:jc w:val="left"/>
        <w:rPr>
          <w:rFonts w:cs="Arial"/>
          <w:lang w:eastAsia="zh-CN"/>
        </w:rPr>
      </w:pPr>
      <w:r w:rsidRPr="00F36976">
        <w:rPr>
          <w:rFonts w:cs="Arial"/>
          <w:lang w:eastAsia="zh-CN"/>
        </w:rPr>
        <w:t>A copy of the capital contribution certificate. In pra</w:t>
      </w:r>
      <w:r>
        <w:rPr>
          <w:rFonts w:cs="Arial"/>
          <w:lang w:eastAsia="zh-CN"/>
        </w:rPr>
        <w:t>c</w:t>
      </w:r>
      <w:r w:rsidRPr="00F36976">
        <w:rPr>
          <w:rFonts w:cs="Arial"/>
          <w:lang w:eastAsia="zh-CN"/>
        </w:rPr>
        <w:t xml:space="preserve">tice, in order to prove for the contributed charter capital before transfer, the latest audited financial statement or </w:t>
      </w:r>
      <w:r>
        <w:rPr>
          <w:rFonts w:cs="Arial"/>
          <w:lang w:eastAsia="zh-CN"/>
        </w:rPr>
        <w:t xml:space="preserve">the </w:t>
      </w:r>
      <w:r w:rsidRPr="00F36976">
        <w:rPr>
          <w:rFonts w:cs="Arial"/>
          <w:lang w:eastAsia="zh-CN"/>
        </w:rPr>
        <w:t xml:space="preserve">latest </w:t>
      </w:r>
      <w:r>
        <w:rPr>
          <w:rFonts w:cs="Arial"/>
          <w:lang w:eastAsia="zh-CN"/>
        </w:rPr>
        <w:t>Business License</w:t>
      </w:r>
      <w:r w:rsidRPr="00F36976">
        <w:rPr>
          <w:rFonts w:cs="Arial"/>
          <w:lang w:eastAsia="zh-CN"/>
        </w:rPr>
        <w:t xml:space="preserve"> might be </w:t>
      </w:r>
      <w:proofErr w:type="gramStart"/>
      <w:r>
        <w:rPr>
          <w:rFonts w:cs="Arial"/>
          <w:lang w:eastAsia="zh-CN"/>
        </w:rPr>
        <w:t>used;</w:t>
      </w:r>
      <w:proofErr w:type="gramEnd"/>
      <w:r w:rsidRPr="00F36976">
        <w:rPr>
          <w:rFonts w:cs="Arial"/>
          <w:lang w:eastAsia="zh-CN"/>
        </w:rPr>
        <w:t xml:space="preserve"> </w:t>
      </w:r>
    </w:p>
    <w:p w14:paraId="612D61D7" w14:textId="77777777" w:rsidR="00125F1E" w:rsidRPr="000106BD" w:rsidRDefault="00125F1E" w:rsidP="00125F1E">
      <w:pPr>
        <w:pStyle w:val="ListBullet"/>
        <w:numPr>
          <w:ilvl w:val="0"/>
          <w:numId w:val="13"/>
        </w:numPr>
        <w:spacing w:before="130" w:after="130" w:line="276" w:lineRule="auto"/>
        <w:ind w:left="981" w:hanging="351"/>
        <w:jc w:val="left"/>
      </w:pPr>
      <w:r>
        <w:rPr>
          <w:rFonts w:cs="Arial"/>
          <w:lang w:eastAsia="zh-CN"/>
        </w:rPr>
        <w:t>Original s</w:t>
      </w:r>
      <w:r w:rsidRPr="006C3257">
        <w:rPr>
          <w:rFonts w:cs="Arial"/>
          <w:lang w:eastAsia="zh-CN"/>
        </w:rPr>
        <w:t xml:space="preserve">upporting documents </w:t>
      </w:r>
      <w:r>
        <w:rPr>
          <w:rFonts w:cs="Arial"/>
          <w:lang w:eastAsia="zh-CN"/>
        </w:rPr>
        <w:t>for</w:t>
      </w:r>
      <w:r w:rsidRPr="006C3257">
        <w:rPr>
          <w:rFonts w:cs="Arial"/>
          <w:lang w:eastAsia="zh-CN"/>
        </w:rPr>
        <w:t xml:space="preserve"> </w:t>
      </w:r>
      <w:r>
        <w:rPr>
          <w:rFonts w:cs="Arial"/>
          <w:lang w:eastAsia="zh-CN"/>
        </w:rPr>
        <w:t xml:space="preserve">transactional </w:t>
      </w:r>
      <w:r w:rsidRPr="006C3257">
        <w:rPr>
          <w:rFonts w:cs="Arial"/>
          <w:lang w:eastAsia="zh-CN"/>
        </w:rPr>
        <w:t>expenses</w:t>
      </w:r>
      <w:r>
        <w:rPr>
          <w:rFonts w:cs="Arial"/>
          <w:lang w:eastAsia="zh-CN"/>
        </w:rPr>
        <w:t xml:space="preserve"> </w:t>
      </w:r>
      <w:r w:rsidRPr="006C3257">
        <w:rPr>
          <w:rFonts w:cs="Arial"/>
          <w:lang w:eastAsia="zh-CN"/>
        </w:rPr>
        <w:t>(i.e</w:t>
      </w:r>
      <w:r>
        <w:rPr>
          <w:rFonts w:cs="Arial"/>
          <w:lang w:eastAsia="zh-CN"/>
        </w:rPr>
        <w:t>.</w:t>
      </w:r>
      <w:r w:rsidRPr="006C3257">
        <w:rPr>
          <w:rFonts w:cs="Arial"/>
          <w:lang w:eastAsia="zh-CN"/>
        </w:rPr>
        <w:t xml:space="preserve"> contracts, original invoices, etc.) (if any)</w:t>
      </w:r>
      <w:r>
        <w:rPr>
          <w:rFonts w:cs="Arial"/>
          <w:lang w:eastAsia="zh-CN"/>
        </w:rPr>
        <w:t>; and</w:t>
      </w:r>
    </w:p>
    <w:p w14:paraId="250F4CC6" w14:textId="2DFAD114" w:rsidR="00125F1E" w:rsidRPr="00616CA6" w:rsidRDefault="00125F1E" w:rsidP="00125F1E">
      <w:pPr>
        <w:pStyle w:val="ListBullet"/>
        <w:numPr>
          <w:ilvl w:val="0"/>
          <w:numId w:val="13"/>
        </w:numPr>
        <w:spacing w:before="130" w:after="130" w:line="276" w:lineRule="auto"/>
        <w:ind w:left="981" w:hanging="351"/>
        <w:jc w:val="left"/>
        <w:rPr>
          <w:rFonts w:cs="Arial"/>
          <w:lang w:eastAsia="zh-CN"/>
        </w:rPr>
      </w:pPr>
      <w:r>
        <w:rPr>
          <w:rFonts w:cs="Arial"/>
          <w:lang w:eastAsia="zh-CN"/>
        </w:rPr>
        <w:t>A copy of the updated Business License after the capital transfer is completed (required per our observation in practice.</w:t>
      </w:r>
    </w:p>
    <w:p w14:paraId="57010F56" w14:textId="77777777" w:rsidR="00125F1E" w:rsidRDefault="00125F1E" w:rsidP="00125F1E">
      <w:pPr>
        <w:pStyle w:val="ListBullet"/>
        <w:numPr>
          <w:ilvl w:val="0"/>
          <w:numId w:val="0"/>
        </w:numPr>
        <w:spacing w:before="130" w:after="130" w:line="276" w:lineRule="auto"/>
        <w:jc w:val="left"/>
        <w:rPr>
          <w:rFonts w:eastAsia="Times New Roman" w:cs="Arial"/>
          <w:color w:val="000000"/>
        </w:rPr>
      </w:pPr>
      <w:r>
        <w:rPr>
          <w:rFonts w:eastAsia="Times New Roman" w:cs="Arial"/>
          <w:color w:val="000000"/>
        </w:rPr>
        <w:t>Where additional documents are required, the tax authority will inform within the day of receiving the dossier in case of direct submission; or within three (03) days in case of submission via post or e-filing</w:t>
      </w:r>
      <w:r w:rsidRPr="00173E21">
        <w:rPr>
          <w:rFonts w:eastAsia="Times New Roman" w:cs="Arial"/>
          <w:color w:val="000000"/>
          <w:lang w:val="vi-VN"/>
        </w:rPr>
        <w:t>.</w:t>
      </w:r>
      <w:r>
        <w:rPr>
          <w:rFonts w:eastAsia="Times New Roman" w:cs="Arial"/>
          <w:color w:val="000000"/>
        </w:rPr>
        <w:t xml:space="preserve"> </w:t>
      </w:r>
    </w:p>
    <w:p w14:paraId="5EB6340D" w14:textId="77777777" w:rsidR="00125F1E" w:rsidRPr="000106BD" w:rsidRDefault="00125F1E" w:rsidP="00125F1E">
      <w:pPr>
        <w:pStyle w:val="ListBullet"/>
        <w:numPr>
          <w:ilvl w:val="0"/>
          <w:numId w:val="0"/>
        </w:numPr>
        <w:spacing w:before="130" w:after="130" w:line="276" w:lineRule="auto"/>
        <w:jc w:val="left"/>
      </w:pPr>
      <w:r w:rsidRPr="001B17AF">
        <w:rPr>
          <w:rFonts w:cs="Arial"/>
          <w:lang w:eastAsia="zh-CN"/>
        </w:rPr>
        <w:t>Note, CAT declaration is required even in case DTA exemption is notified to the local tax authority.</w:t>
      </w:r>
      <w:r w:rsidRPr="00C7197C">
        <w:rPr>
          <w:rFonts w:eastAsia="Times New Roman" w:cs="Arial"/>
          <w:color w:val="000000"/>
          <w:lang w:val="vi-VN"/>
        </w:rPr>
        <w:t xml:space="preserve"> </w:t>
      </w:r>
    </w:p>
    <w:p w14:paraId="0EF7C073" w14:textId="7853CA67" w:rsidR="00125F1E" w:rsidRPr="007B44FC" w:rsidRDefault="00125F1E" w:rsidP="007B44FC">
      <w:pPr>
        <w:pStyle w:val="Heading2"/>
        <w:numPr>
          <w:ilvl w:val="0"/>
          <w:numId w:val="25"/>
        </w:numPr>
        <w:spacing w:before="240"/>
        <w:rPr>
          <w:rFonts w:cs="Arial"/>
          <w:iCs/>
          <w:sz w:val="20"/>
        </w:rPr>
      </w:pPr>
      <w:bookmarkStart w:id="8" w:name="_Toc40044117"/>
      <w:r w:rsidRPr="007B44FC">
        <w:rPr>
          <w:rFonts w:cs="Arial"/>
          <w:iCs/>
          <w:sz w:val="20"/>
        </w:rPr>
        <w:t>Other taxes</w:t>
      </w:r>
      <w:bookmarkEnd w:id="8"/>
    </w:p>
    <w:p w14:paraId="76E154CB" w14:textId="11B8643E" w:rsidR="00125F1E" w:rsidRPr="0038169A" w:rsidRDefault="00125F1E" w:rsidP="008E7C15">
      <w:pPr>
        <w:tabs>
          <w:tab w:val="left" w:pos="360"/>
        </w:tabs>
        <w:spacing w:before="120" w:after="120"/>
        <w:rPr>
          <w:rFonts w:asciiTheme="majorHAnsi" w:hAnsiTheme="majorHAnsi" w:cstheme="majorHAnsi"/>
        </w:rPr>
      </w:pPr>
      <w:r w:rsidRPr="007123F7">
        <w:rPr>
          <w:rFonts w:cs="Arial"/>
          <w:sz w:val="20"/>
        </w:rPr>
        <w:t>Under the current</w:t>
      </w:r>
      <w:r>
        <w:rPr>
          <w:rFonts w:cs="Arial"/>
          <w:sz w:val="20"/>
        </w:rPr>
        <w:t xml:space="preserve"> Vietnamese</w:t>
      </w:r>
      <w:r w:rsidRPr="007123F7">
        <w:rPr>
          <w:rFonts w:cs="Arial"/>
          <w:sz w:val="20"/>
        </w:rPr>
        <w:t xml:space="preserve"> regulations, no Value Added Tax ("VAT</w:t>
      </w:r>
      <w:r>
        <w:rPr>
          <w:rFonts w:cs="Arial"/>
          <w:sz w:val="20"/>
        </w:rPr>
        <w:t>”</w:t>
      </w:r>
      <w:r w:rsidRPr="007123F7">
        <w:rPr>
          <w:rFonts w:cs="Arial"/>
          <w:sz w:val="20"/>
        </w:rPr>
        <w:t>) and other taxes will be imposed on the</w:t>
      </w:r>
      <w:r>
        <w:rPr>
          <w:rFonts w:cs="Arial"/>
          <w:sz w:val="20"/>
        </w:rPr>
        <w:t xml:space="preserve"> contemplated</w:t>
      </w:r>
      <w:r w:rsidRPr="007123F7">
        <w:rPr>
          <w:rFonts w:cs="Arial"/>
          <w:sz w:val="20"/>
        </w:rPr>
        <w:t xml:space="preserve"> transfer of capital.</w:t>
      </w:r>
    </w:p>
    <w:p w14:paraId="3D7EE2C3" w14:textId="77777777" w:rsidR="00125F1E" w:rsidRPr="009858C1" w:rsidRDefault="00125F1E" w:rsidP="00125F1E">
      <w:pPr>
        <w:pStyle w:val="BodyText"/>
        <w:widowControl w:val="0"/>
        <w:spacing w:line="276" w:lineRule="auto"/>
      </w:pPr>
    </w:p>
    <w:bookmarkEnd w:id="6"/>
    <w:bookmarkEnd w:id="7"/>
    <w:p w14:paraId="47CE25C9" w14:textId="77777777" w:rsidR="00125F1E" w:rsidRDefault="00125F1E" w:rsidP="00125F1E">
      <w:pPr>
        <w:rPr>
          <w:b/>
          <w:sz w:val="24"/>
        </w:rPr>
      </w:pPr>
    </w:p>
    <w:p w14:paraId="4A8C6CC8" w14:textId="77777777" w:rsidR="00125F1E" w:rsidRPr="00BC32B6" w:rsidRDefault="00125F1E" w:rsidP="00125F1E">
      <w:pPr>
        <w:rPr>
          <w:rFonts w:asciiTheme="majorHAnsi" w:hAnsiTheme="majorHAnsi" w:cstheme="majorHAnsi"/>
          <w:b/>
          <w:sz w:val="20"/>
        </w:rPr>
      </w:pPr>
    </w:p>
    <w:p w14:paraId="6337B548" w14:textId="77777777" w:rsidR="001D02DA" w:rsidRDefault="001D02DA"/>
    <w:sectPr w:rsidR="001D02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46785" w14:textId="77777777" w:rsidR="00125F1E" w:rsidRDefault="00125F1E" w:rsidP="00125F1E">
      <w:r>
        <w:separator/>
      </w:r>
    </w:p>
  </w:endnote>
  <w:endnote w:type="continuationSeparator" w:id="0">
    <w:p w14:paraId="2EBE28D7" w14:textId="77777777" w:rsidR="00125F1E" w:rsidRDefault="00125F1E" w:rsidP="00125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9999999">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819B69" w14:textId="77777777" w:rsidR="00125F1E" w:rsidRDefault="00125F1E" w:rsidP="00125F1E">
      <w:r>
        <w:separator/>
      </w:r>
    </w:p>
  </w:footnote>
  <w:footnote w:type="continuationSeparator" w:id="0">
    <w:p w14:paraId="53E4527F" w14:textId="77777777" w:rsidR="00125F1E" w:rsidRDefault="00125F1E" w:rsidP="00125F1E">
      <w:r>
        <w:continuationSeparator/>
      </w:r>
    </w:p>
  </w:footnote>
  <w:footnote w:id="1">
    <w:p w14:paraId="7CEB5BA7" w14:textId="77777777" w:rsidR="00125F1E" w:rsidRPr="00C42B39" w:rsidRDefault="00125F1E" w:rsidP="00125F1E">
      <w:pPr>
        <w:pStyle w:val="FootnoteText"/>
        <w:rPr>
          <w:sz w:val="16"/>
        </w:rPr>
      </w:pPr>
      <w:r w:rsidRPr="00C42B39">
        <w:rPr>
          <w:rStyle w:val="FootnoteReference"/>
          <w:sz w:val="16"/>
        </w:rPr>
        <w:footnoteRef/>
      </w:r>
      <w:r w:rsidRPr="00C42B39">
        <w:rPr>
          <w:sz w:val="16"/>
        </w:rPr>
        <w:t xml:space="preserve"> Clause 2 Article 2 Circular 78/2014/TT-BTC</w:t>
      </w:r>
    </w:p>
  </w:footnote>
  <w:footnote w:id="2">
    <w:p w14:paraId="6C281E2F" w14:textId="77777777" w:rsidR="00125F1E" w:rsidRDefault="00125F1E" w:rsidP="00125F1E">
      <w:pPr>
        <w:pStyle w:val="FootnoteText"/>
      </w:pPr>
      <w:r w:rsidRPr="00C42B39">
        <w:rPr>
          <w:rStyle w:val="FootnoteReference"/>
          <w:sz w:val="16"/>
        </w:rPr>
        <w:footnoteRef/>
      </w:r>
      <w:r w:rsidRPr="00C42B39">
        <w:rPr>
          <w:sz w:val="16"/>
        </w:rPr>
        <w:t xml:space="preserve"> Clause 2 Article 14 Circular 78/2014/TT-BTC, amended by Article 8 Circular 96/2015/TT-BTC</w:t>
      </w:r>
    </w:p>
  </w:footnote>
  <w:footnote w:id="3">
    <w:p w14:paraId="5A1AEF7A" w14:textId="77777777" w:rsidR="00125F1E" w:rsidRPr="007123F7" w:rsidRDefault="00125F1E" w:rsidP="00125F1E">
      <w:pPr>
        <w:pStyle w:val="FootnoteText"/>
        <w:rPr>
          <w:sz w:val="16"/>
          <w:szCs w:val="16"/>
        </w:rPr>
      </w:pPr>
      <w:r w:rsidRPr="007123F7">
        <w:rPr>
          <w:rStyle w:val="FootnoteReference"/>
          <w:sz w:val="16"/>
          <w:szCs w:val="16"/>
        </w:rPr>
        <w:footnoteRef/>
      </w:r>
      <w:r w:rsidRPr="007123F7">
        <w:rPr>
          <w:sz w:val="16"/>
          <w:szCs w:val="16"/>
        </w:rPr>
        <w:t xml:space="preserve"> Item c Clause 2 Article 14 Circular 78/2014/TT-BTC</w:t>
      </w:r>
    </w:p>
  </w:footnote>
  <w:footnote w:id="4">
    <w:p w14:paraId="566205A4" w14:textId="77777777" w:rsidR="00125F1E" w:rsidRDefault="00125F1E" w:rsidP="00125F1E">
      <w:pPr>
        <w:pStyle w:val="FootnoteText"/>
      </w:pPr>
      <w:r w:rsidRPr="007123F7">
        <w:rPr>
          <w:rStyle w:val="FootnoteReference"/>
          <w:sz w:val="16"/>
          <w:szCs w:val="16"/>
        </w:rPr>
        <w:footnoteRef/>
      </w:r>
      <w:r w:rsidRPr="007123F7">
        <w:rPr>
          <w:sz w:val="16"/>
          <w:szCs w:val="16"/>
        </w:rPr>
        <w:t xml:space="preserve"> Item b Clause 7 Article 12 Circular 156/2013/TT-BTC, amended by Article 16 Circular 151/2014/TT-BTC</w:t>
      </w:r>
    </w:p>
  </w:footnote>
  <w:footnote w:id="5">
    <w:p w14:paraId="097F5B1E" w14:textId="77777777" w:rsidR="00125F1E" w:rsidRDefault="00125F1E" w:rsidP="00125F1E">
      <w:pPr>
        <w:pStyle w:val="FootnoteText"/>
      </w:pPr>
      <w:r w:rsidRPr="007123F7">
        <w:rPr>
          <w:rStyle w:val="FootnoteReference"/>
          <w:sz w:val="16"/>
          <w:szCs w:val="16"/>
        </w:rPr>
        <w:footnoteRef/>
      </w:r>
      <w:r w:rsidRPr="007123F7">
        <w:rPr>
          <w:sz w:val="16"/>
          <w:szCs w:val="16"/>
        </w:rPr>
        <w:t xml:space="preserve"> Clause </w:t>
      </w:r>
      <w:r>
        <w:rPr>
          <w:sz w:val="16"/>
          <w:szCs w:val="16"/>
        </w:rPr>
        <w:t>8</w:t>
      </w:r>
      <w:r w:rsidRPr="007123F7">
        <w:rPr>
          <w:sz w:val="16"/>
          <w:szCs w:val="16"/>
        </w:rPr>
        <w:t xml:space="preserve"> Article 12 Circular 156/2013/TT-BTC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D6666"/>
    <w:multiLevelType w:val="hybridMultilevel"/>
    <w:tmpl w:val="28442818"/>
    <w:lvl w:ilvl="0" w:tplc="9AAC2928">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668DE"/>
    <w:multiLevelType w:val="multilevel"/>
    <w:tmpl w:val="B6A692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8F578E"/>
    <w:multiLevelType w:val="hybridMultilevel"/>
    <w:tmpl w:val="5E3CBE60"/>
    <w:lvl w:ilvl="0" w:tplc="53EE3958">
      <w:start w:val="4"/>
      <w:numFmt w:val="bullet"/>
      <w:lvlText w:val=""/>
      <w:lvlJc w:val="left"/>
      <w:pPr>
        <w:ind w:left="810" w:hanging="360"/>
      </w:pPr>
      <w:rPr>
        <w:rFonts w:ascii="Symbol" w:eastAsia="MS PGothic" w:hAnsi="Symbol" w:cs="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D1175E3"/>
    <w:multiLevelType w:val="hybridMultilevel"/>
    <w:tmpl w:val="301E4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470FB"/>
    <w:multiLevelType w:val="hybridMultilevel"/>
    <w:tmpl w:val="BABA27D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Courier New" w:hint="default"/>
      </w:rPr>
    </w:lvl>
    <w:lvl w:ilvl="8" w:tplc="04090005">
      <w:start w:val="1"/>
      <w:numFmt w:val="bullet"/>
      <w:lvlText w:val=""/>
      <w:lvlJc w:val="left"/>
      <w:pPr>
        <w:ind w:left="5400" w:hanging="360"/>
      </w:pPr>
      <w:rPr>
        <w:rFonts w:ascii="Wingdings" w:hAnsi="Wingdings" w:hint="default"/>
      </w:rPr>
    </w:lvl>
  </w:abstractNum>
  <w:abstractNum w:abstractNumId="5" w15:restartNumberingAfterBreak="0">
    <w:nsid w:val="1225427A"/>
    <w:multiLevelType w:val="hybridMultilevel"/>
    <w:tmpl w:val="42E4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DC066A"/>
    <w:multiLevelType w:val="multilevel"/>
    <w:tmpl w:val="72A46288"/>
    <w:lvl w:ilvl="0">
      <w:start w:val="1"/>
      <w:numFmt w:val="upperRoman"/>
      <w:lvlText w:val="%1."/>
      <w:lvlJc w:val="left"/>
      <w:pPr>
        <w:tabs>
          <w:tab w:val="num" w:pos="0"/>
        </w:tabs>
        <w:ind w:left="0" w:hanging="964"/>
      </w:pPr>
      <w:rPr>
        <w:rFonts w:hint="default"/>
        <w:sz w:val="28"/>
        <w:szCs w:val="28"/>
      </w:rPr>
    </w:lvl>
    <w:lvl w:ilvl="1">
      <w:start w:val="1"/>
      <w:numFmt w:val="decimal"/>
      <w:lvlText w:val="%2."/>
      <w:lvlJc w:val="left"/>
      <w:pPr>
        <w:tabs>
          <w:tab w:val="num" w:pos="0"/>
        </w:tabs>
        <w:ind w:left="0" w:hanging="964"/>
      </w:pPr>
      <w:rPr>
        <w:rFonts w:hint="default"/>
        <w:b/>
        <w:sz w:val="22"/>
        <w:szCs w:val="22"/>
      </w:rPr>
    </w:lvl>
    <w:lvl w:ilvl="2">
      <w:start w:val="1"/>
      <w:numFmt w:val="decimal"/>
      <w:lvlText w:val="%2.%3."/>
      <w:lvlJc w:val="left"/>
      <w:pPr>
        <w:tabs>
          <w:tab w:val="num" w:pos="0"/>
        </w:tabs>
        <w:ind w:left="0" w:hanging="964"/>
      </w:pPr>
      <w:rPr>
        <w:rFonts w:hint="default"/>
        <w:sz w:val="24"/>
      </w:rPr>
    </w:lvl>
    <w:lvl w:ilvl="3">
      <w:start w:val="1"/>
      <w:numFmt w:val="decimal"/>
      <w:lvlText w:val="%2.%3.%4"/>
      <w:lvlJc w:val="left"/>
      <w:pPr>
        <w:tabs>
          <w:tab w:val="num" w:pos="20"/>
        </w:tabs>
        <w:ind w:left="0" w:hanging="9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410234"/>
    <w:multiLevelType w:val="hybridMultilevel"/>
    <w:tmpl w:val="6F601CC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8" w15:restartNumberingAfterBreak="0">
    <w:nsid w:val="1BFB3185"/>
    <w:multiLevelType w:val="hybridMultilevel"/>
    <w:tmpl w:val="98244B8C"/>
    <w:lvl w:ilvl="0" w:tplc="0409000D">
      <w:start w:val="1"/>
      <w:numFmt w:val="bullet"/>
      <w:lvlText w:val=""/>
      <w:lvlJc w:val="left"/>
      <w:pPr>
        <w:ind w:left="90" w:hanging="360"/>
      </w:pPr>
      <w:rPr>
        <w:rFonts w:ascii="Wingdings" w:hAnsi="Wingdings"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start w:val="1"/>
      <w:numFmt w:val="bullet"/>
      <w:lvlText w:val=""/>
      <w:lvlJc w:val="left"/>
      <w:pPr>
        <w:ind w:left="2250" w:hanging="360"/>
      </w:pPr>
      <w:rPr>
        <w:rFonts w:ascii="Symbol" w:hAnsi="Symbol" w:hint="default"/>
      </w:rPr>
    </w:lvl>
    <w:lvl w:ilvl="4" w:tplc="04090003">
      <w:start w:val="1"/>
      <w:numFmt w:val="bullet"/>
      <w:lvlText w:val="o"/>
      <w:lvlJc w:val="left"/>
      <w:pPr>
        <w:ind w:left="2970" w:hanging="360"/>
      </w:pPr>
      <w:rPr>
        <w:rFonts w:ascii="Courier New" w:hAnsi="Courier New" w:cs="Courier New" w:hint="default"/>
      </w:rPr>
    </w:lvl>
    <w:lvl w:ilvl="5" w:tplc="04090005">
      <w:start w:val="1"/>
      <w:numFmt w:val="bullet"/>
      <w:lvlText w:val=""/>
      <w:lvlJc w:val="left"/>
      <w:pPr>
        <w:ind w:left="3690" w:hanging="360"/>
      </w:pPr>
      <w:rPr>
        <w:rFonts w:ascii="Wingdings" w:hAnsi="Wingdings" w:hint="default"/>
      </w:rPr>
    </w:lvl>
    <w:lvl w:ilvl="6" w:tplc="04090001">
      <w:start w:val="1"/>
      <w:numFmt w:val="bullet"/>
      <w:lvlText w:val=""/>
      <w:lvlJc w:val="left"/>
      <w:pPr>
        <w:ind w:left="4410" w:hanging="360"/>
      </w:pPr>
      <w:rPr>
        <w:rFonts w:ascii="Symbol" w:hAnsi="Symbol" w:hint="default"/>
      </w:rPr>
    </w:lvl>
    <w:lvl w:ilvl="7" w:tplc="04090003">
      <w:start w:val="1"/>
      <w:numFmt w:val="bullet"/>
      <w:lvlText w:val="o"/>
      <w:lvlJc w:val="left"/>
      <w:pPr>
        <w:ind w:left="5130" w:hanging="360"/>
      </w:pPr>
      <w:rPr>
        <w:rFonts w:ascii="Courier New" w:hAnsi="Courier New" w:cs="Courier New" w:hint="default"/>
      </w:rPr>
    </w:lvl>
    <w:lvl w:ilvl="8" w:tplc="04090005">
      <w:start w:val="1"/>
      <w:numFmt w:val="bullet"/>
      <w:lvlText w:val=""/>
      <w:lvlJc w:val="left"/>
      <w:pPr>
        <w:ind w:left="5850" w:hanging="360"/>
      </w:pPr>
      <w:rPr>
        <w:rFonts w:ascii="Wingdings" w:hAnsi="Wingdings" w:hint="default"/>
      </w:rPr>
    </w:lvl>
  </w:abstractNum>
  <w:abstractNum w:abstractNumId="9" w15:restartNumberingAfterBreak="0">
    <w:nsid w:val="1DA16908"/>
    <w:multiLevelType w:val="hybridMultilevel"/>
    <w:tmpl w:val="461E6BEA"/>
    <w:lvl w:ilvl="0" w:tplc="04090001">
      <w:start w:val="1"/>
      <w:numFmt w:val="bullet"/>
      <w:lvlText w:val=""/>
      <w:lvlJc w:val="left"/>
      <w:pPr>
        <w:tabs>
          <w:tab w:val="num" w:pos="1193"/>
        </w:tabs>
        <w:ind w:left="1193" w:hanging="340"/>
      </w:pPr>
      <w:rPr>
        <w:rFonts w:ascii="Symbol" w:hAnsi="Symbol" w:hint="default"/>
        <w:color w:val="auto"/>
        <w:sz w:val="24"/>
        <w:szCs w:val="22"/>
      </w:rPr>
    </w:lvl>
    <w:lvl w:ilvl="1" w:tplc="04090003" w:tentative="1">
      <w:start w:val="1"/>
      <w:numFmt w:val="bullet"/>
      <w:lvlText w:val="o"/>
      <w:lvlJc w:val="left"/>
      <w:pPr>
        <w:tabs>
          <w:tab w:val="num" w:pos="2293"/>
        </w:tabs>
        <w:ind w:left="2293" w:hanging="360"/>
      </w:pPr>
      <w:rPr>
        <w:rFonts w:ascii="Courier New" w:hAnsi="Courier New" w:hint="default"/>
      </w:rPr>
    </w:lvl>
    <w:lvl w:ilvl="2" w:tplc="04090005" w:tentative="1">
      <w:start w:val="1"/>
      <w:numFmt w:val="bullet"/>
      <w:lvlText w:val=""/>
      <w:lvlJc w:val="left"/>
      <w:pPr>
        <w:tabs>
          <w:tab w:val="num" w:pos="3013"/>
        </w:tabs>
        <w:ind w:left="3013" w:hanging="360"/>
      </w:pPr>
      <w:rPr>
        <w:rFonts w:ascii="Wingdings" w:hAnsi="Wingdings" w:hint="default"/>
      </w:rPr>
    </w:lvl>
    <w:lvl w:ilvl="3" w:tplc="04090001" w:tentative="1">
      <w:start w:val="1"/>
      <w:numFmt w:val="bullet"/>
      <w:lvlText w:val=""/>
      <w:lvlJc w:val="left"/>
      <w:pPr>
        <w:tabs>
          <w:tab w:val="num" w:pos="3733"/>
        </w:tabs>
        <w:ind w:left="3733" w:hanging="360"/>
      </w:pPr>
      <w:rPr>
        <w:rFonts w:ascii="Symbol" w:hAnsi="Symbol" w:hint="default"/>
      </w:rPr>
    </w:lvl>
    <w:lvl w:ilvl="4" w:tplc="04090003" w:tentative="1">
      <w:start w:val="1"/>
      <w:numFmt w:val="bullet"/>
      <w:lvlText w:val="o"/>
      <w:lvlJc w:val="left"/>
      <w:pPr>
        <w:tabs>
          <w:tab w:val="num" w:pos="4453"/>
        </w:tabs>
        <w:ind w:left="4453" w:hanging="360"/>
      </w:pPr>
      <w:rPr>
        <w:rFonts w:ascii="Courier New" w:hAnsi="Courier New" w:hint="default"/>
      </w:rPr>
    </w:lvl>
    <w:lvl w:ilvl="5" w:tplc="04090005" w:tentative="1">
      <w:start w:val="1"/>
      <w:numFmt w:val="bullet"/>
      <w:lvlText w:val=""/>
      <w:lvlJc w:val="left"/>
      <w:pPr>
        <w:tabs>
          <w:tab w:val="num" w:pos="5173"/>
        </w:tabs>
        <w:ind w:left="5173" w:hanging="360"/>
      </w:pPr>
      <w:rPr>
        <w:rFonts w:ascii="Wingdings" w:hAnsi="Wingdings" w:hint="default"/>
      </w:rPr>
    </w:lvl>
    <w:lvl w:ilvl="6" w:tplc="04090001" w:tentative="1">
      <w:start w:val="1"/>
      <w:numFmt w:val="bullet"/>
      <w:lvlText w:val=""/>
      <w:lvlJc w:val="left"/>
      <w:pPr>
        <w:tabs>
          <w:tab w:val="num" w:pos="5893"/>
        </w:tabs>
        <w:ind w:left="5893" w:hanging="360"/>
      </w:pPr>
      <w:rPr>
        <w:rFonts w:ascii="Symbol" w:hAnsi="Symbol" w:hint="default"/>
      </w:rPr>
    </w:lvl>
    <w:lvl w:ilvl="7" w:tplc="04090003" w:tentative="1">
      <w:start w:val="1"/>
      <w:numFmt w:val="bullet"/>
      <w:lvlText w:val="o"/>
      <w:lvlJc w:val="left"/>
      <w:pPr>
        <w:tabs>
          <w:tab w:val="num" w:pos="6613"/>
        </w:tabs>
        <w:ind w:left="6613" w:hanging="360"/>
      </w:pPr>
      <w:rPr>
        <w:rFonts w:ascii="Courier New" w:hAnsi="Courier New" w:hint="default"/>
      </w:rPr>
    </w:lvl>
    <w:lvl w:ilvl="8" w:tplc="04090005" w:tentative="1">
      <w:start w:val="1"/>
      <w:numFmt w:val="bullet"/>
      <w:lvlText w:val=""/>
      <w:lvlJc w:val="left"/>
      <w:pPr>
        <w:tabs>
          <w:tab w:val="num" w:pos="7333"/>
        </w:tabs>
        <w:ind w:left="7333" w:hanging="360"/>
      </w:pPr>
      <w:rPr>
        <w:rFonts w:ascii="Wingdings" w:hAnsi="Wingdings" w:hint="default"/>
      </w:rPr>
    </w:lvl>
  </w:abstractNum>
  <w:abstractNum w:abstractNumId="10" w15:restartNumberingAfterBreak="0">
    <w:nsid w:val="27D85237"/>
    <w:multiLevelType w:val="hybridMultilevel"/>
    <w:tmpl w:val="369A2EFA"/>
    <w:lvl w:ilvl="0" w:tplc="6066AABA">
      <w:start w:val="4"/>
      <w:numFmt w:val="bullet"/>
      <w:lvlText w:val="-"/>
      <w:lvlJc w:val="left"/>
      <w:pPr>
        <w:ind w:left="810" w:hanging="360"/>
      </w:pPr>
      <w:rPr>
        <w:rFonts w:ascii="Arial" w:eastAsia="SimSun" w:hAnsi="Arial" w:cs="Arial" w:hint="default"/>
        <w:color w:val="00000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CD3D22"/>
    <w:multiLevelType w:val="multilevel"/>
    <w:tmpl w:val="FE6E6706"/>
    <w:lvl w:ilvl="0">
      <w:start w:val="1"/>
      <w:numFmt w:val="bullet"/>
      <w:lvlText w:val=""/>
      <w:lvlJc w:val="left"/>
      <w:pPr>
        <w:tabs>
          <w:tab w:val="num" w:pos="340"/>
        </w:tabs>
        <w:ind w:left="340" w:hanging="340"/>
      </w:pPr>
      <w:rPr>
        <w:rFonts w:ascii="Symbol" w:hAnsi="Symbol" w:hint="default"/>
      </w:rPr>
    </w:lvl>
    <w:lvl w:ilvl="1">
      <w:start w:val="1"/>
      <w:numFmt w:val="bullet"/>
      <w:lvlText w:val="—"/>
      <w:lvlJc w:val="left"/>
      <w:pPr>
        <w:tabs>
          <w:tab w:val="num" w:pos="680"/>
        </w:tabs>
        <w:ind w:left="680" w:hanging="340"/>
      </w:pPr>
      <w:rPr>
        <w:rFonts w:ascii="Arial" w:hAnsi="Arial" w:cs="Arial" w:hint="default"/>
        <w:sz w:val="24"/>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Arial" w:hAnsi="Arial" w:cs="Arial" w:hint="default"/>
      </w:rPr>
    </w:lvl>
    <w:lvl w:ilvl="4">
      <w:start w:val="1"/>
      <w:numFmt w:val="bullet"/>
      <w:lvlText w:val="-"/>
      <w:lvlJc w:val="left"/>
      <w:pPr>
        <w:tabs>
          <w:tab w:val="num" w:pos="1701"/>
        </w:tabs>
        <w:ind w:left="1701" w:hanging="340"/>
      </w:pPr>
      <w:rPr>
        <w:rFonts w:ascii="9999999" w:hAnsi="9999999" w:hint="default"/>
      </w:rPr>
    </w:lvl>
    <w:lvl w:ilvl="5">
      <w:start w:val="1"/>
      <w:numFmt w:val="bullet"/>
      <w:lvlText w:val="—"/>
      <w:lvlJc w:val="left"/>
      <w:pPr>
        <w:tabs>
          <w:tab w:val="num" w:pos="2041"/>
        </w:tabs>
        <w:ind w:left="2041" w:hanging="340"/>
      </w:pPr>
      <w:rPr>
        <w:rFonts w:ascii="Arial" w:hAnsi="Arial" w:cs="Arial" w:hint="default"/>
      </w:rPr>
    </w:lvl>
    <w:lvl w:ilvl="6">
      <w:start w:val="1"/>
      <w:numFmt w:val="bullet"/>
      <w:lvlText w:val="-"/>
      <w:lvlJc w:val="left"/>
      <w:pPr>
        <w:tabs>
          <w:tab w:val="num" w:pos="2381"/>
        </w:tabs>
        <w:ind w:left="2381" w:hanging="340"/>
      </w:pPr>
      <w:rPr>
        <w:rFonts w:ascii="9999999" w:hAnsi="9999999" w:hint="default"/>
      </w:rPr>
    </w:lvl>
    <w:lvl w:ilvl="7">
      <w:start w:val="1"/>
      <w:numFmt w:val="bullet"/>
      <w:lvlText w:val="—"/>
      <w:lvlJc w:val="left"/>
      <w:pPr>
        <w:tabs>
          <w:tab w:val="num" w:pos="2721"/>
        </w:tabs>
        <w:ind w:left="2721" w:hanging="340"/>
      </w:pPr>
      <w:rPr>
        <w:rFonts w:ascii="Arial" w:hAnsi="Arial" w:cs="Arial" w:hint="default"/>
      </w:rPr>
    </w:lvl>
    <w:lvl w:ilvl="8">
      <w:start w:val="1"/>
      <w:numFmt w:val="bullet"/>
      <w:lvlText w:val="-"/>
      <w:lvlJc w:val="left"/>
      <w:pPr>
        <w:tabs>
          <w:tab w:val="num" w:pos="3061"/>
        </w:tabs>
        <w:ind w:left="3061" w:hanging="340"/>
      </w:pPr>
      <w:rPr>
        <w:rFonts w:ascii="9999999" w:hAnsi="9999999" w:hint="default"/>
      </w:rPr>
    </w:lvl>
  </w:abstractNum>
  <w:abstractNum w:abstractNumId="12" w15:restartNumberingAfterBreak="0">
    <w:nsid w:val="324F3065"/>
    <w:multiLevelType w:val="hybridMultilevel"/>
    <w:tmpl w:val="C4B4CBDE"/>
    <w:lvl w:ilvl="0" w:tplc="04090003">
      <w:start w:val="1"/>
      <w:numFmt w:val="bullet"/>
      <w:lvlText w:val="o"/>
      <w:lvlJc w:val="left"/>
      <w:pPr>
        <w:ind w:left="1494" w:hanging="360"/>
      </w:pPr>
      <w:rPr>
        <w:rFonts w:ascii="Courier New" w:hAnsi="Courier New" w:cs="Courier New" w:hint="default"/>
      </w:rPr>
    </w:lvl>
    <w:lvl w:ilvl="1" w:tplc="04090003">
      <w:start w:val="1"/>
      <w:numFmt w:val="bullet"/>
      <w:lvlText w:val="o"/>
      <w:lvlJc w:val="left"/>
      <w:pPr>
        <w:ind w:left="2214" w:hanging="360"/>
      </w:pPr>
      <w:rPr>
        <w:rFonts w:ascii="Courier New" w:hAnsi="Courier New" w:cs="Courier New" w:hint="default"/>
      </w:rPr>
    </w:lvl>
    <w:lvl w:ilvl="2" w:tplc="04090005">
      <w:start w:val="1"/>
      <w:numFmt w:val="bullet"/>
      <w:lvlText w:val=""/>
      <w:lvlJc w:val="left"/>
      <w:pPr>
        <w:ind w:left="2934" w:hanging="360"/>
      </w:pPr>
      <w:rPr>
        <w:rFonts w:ascii="Wingdings" w:hAnsi="Wingdings" w:hint="default"/>
      </w:rPr>
    </w:lvl>
    <w:lvl w:ilvl="3" w:tplc="04090001">
      <w:start w:val="1"/>
      <w:numFmt w:val="bullet"/>
      <w:lvlText w:val=""/>
      <w:lvlJc w:val="left"/>
      <w:pPr>
        <w:ind w:left="3654" w:hanging="360"/>
      </w:pPr>
      <w:rPr>
        <w:rFonts w:ascii="Symbol" w:hAnsi="Symbol" w:hint="default"/>
      </w:rPr>
    </w:lvl>
    <w:lvl w:ilvl="4" w:tplc="04090003">
      <w:start w:val="1"/>
      <w:numFmt w:val="bullet"/>
      <w:lvlText w:val="o"/>
      <w:lvlJc w:val="left"/>
      <w:pPr>
        <w:ind w:left="4374" w:hanging="360"/>
      </w:pPr>
      <w:rPr>
        <w:rFonts w:ascii="Courier New" w:hAnsi="Courier New" w:cs="Courier New" w:hint="default"/>
      </w:rPr>
    </w:lvl>
    <w:lvl w:ilvl="5" w:tplc="04090005">
      <w:start w:val="1"/>
      <w:numFmt w:val="bullet"/>
      <w:lvlText w:val=""/>
      <w:lvlJc w:val="left"/>
      <w:pPr>
        <w:ind w:left="5094" w:hanging="360"/>
      </w:pPr>
      <w:rPr>
        <w:rFonts w:ascii="Wingdings" w:hAnsi="Wingdings" w:hint="default"/>
      </w:rPr>
    </w:lvl>
    <w:lvl w:ilvl="6" w:tplc="04090001">
      <w:start w:val="1"/>
      <w:numFmt w:val="bullet"/>
      <w:lvlText w:val=""/>
      <w:lvlJc w:val="left"/>
      <w:pPr>
        <w:ind w:left="5814" w:hanging="360"/>
      </w:pPr>
      <w:rPr>
        <w:rFonts w:ascii="Symbol" w:hAnsi="Symbol" w:hint="default"/>
      </w:rPr>
    </w:lvl>
    <w:lvl w:ilvl="7" w:tplc="04090003">
      <w:start w:val="1"/>
      <w:numFmt w:val="bullet"/>
      <w:lvlText w:val="o"/>
      <w:lvlJc w:val="left"/>
      <w:pPr>
        <w:ind w:left="6534" w:hanging="360"/>
      </w:pPr>
      <w:rPr>
        <w:rFonts w:ascii="Courier New" w:hAnsi="Courier New" w:cs="Courier New" w:hint="default"/>
      </w:rPr>
    </w:lvl>
    <w:lvl w:ilvl="8" w:tplc="04090005">
      <w:start w:val="1"/>
      <w:numFmt w:val="bullet"/>
      <w:lvlText w:val=""/>
      <w:lvlJc w:val="left"/>
      <w:pPr>
        <w:ind w:left="7254" w:hanging="360"/>
      </w:pPr>
      <w:rPr>
        <w:rFonts w:ascii="Wingdings" w:hAnsi="Wingdings" w:hint="default"/>
      </w:rPr>
    </w:lvl>
  </w:abstractNum>
  <w:abstractNum w:abstractNumId="13" w15:restartNumberingAfterBreak="0">
    <w:nsid w:val="35AB12FA"/>
    <w:multiLevelType w:val="multilevel"/>
    <w:tmpl w:val="6E08895C"/>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0"/>
        </w:tabs>
        <w:ind w:left="0" w:hanging="964"/>
      </w:pPr>
      <w:rPr>
        <w:sz w:val="20"/>
        <w:szCs w:val="20"/>
      </w:rPr>
    </w:lvl>
    <w:lvl w:ilvl="3">
      <w:start w:val="1"/>
      <w:numFmt w:val="decimal"/>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F915B8A"/>
    <w:multiLevelType w:val="hybridMultilevel"/>
    <w:tmpl w:val="EC64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3695A"/>
    <w:multiLevelType w:val="hybridMultilevel"/>
    <w:tmpl w:val="D098D4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0303D5E"/>
    <w:multiLevelType w:val="hybridMultilevel"/>
    <w:tmpl w:val="092E959A"/>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7" w15:restartNumberingAfterBreak="0">
    <w:nsid w:val="5CF323FC"/>
    <w:multiLevelType w:val="hybridMultilevel"/>
    <w:tmpl w:val="3FEE17EA"/>
    <w:lvl w:ilvl="0" w:tplc="B9C40E24">
      <w:start w:val="1"/>
      <w:numFmt w:val="lowerLetter"/>
      <w:lvlText w:val="(%1)"/>
      <w:lvlJc w:val="center"/>
      <w:pPr>
        <w:ind w:left="0" w:hanging="360"/>
      </w:pPr>
      <w:rPr>
        <w:rFonts w:hint="default"/>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62D00DFF"/>
    <w:multiLevelType w:val="hybridMultilevel"/>
    <w:tmpl w:val="606474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2D2343"/>
    <w:multiLevelType w:val="hybridMultilevel"/>
    <w:tmpl w:val="15EE91B4"/>
    <w:lvl w:ilvl="0" w:tplc="0A189E52">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0" w15:restartNumberingAfterBreak="0">
    <w:nsid w:val="6C4030FF"/>
    <w:multiLevelType w:val="singleLevel"/>
    <w:tmpl w:val="C05AE3E8"/>
    <w:lvl w:ilvl="0">
      <w:start w:val="1"/>
      <w:numFmt w:val="bullet"/>
      <w:pStyle w:val="ListBullet2"/>
      <w:lvlText w:val="-"/>
      <w:lvlJc w:val="left"/>
      <w:pPr>
        <w:tabs>
          <w:tab w:val="num" w:pos="680"/>
        </w:tabs>
        <w:ind w:left="680" w:hanging="340"/>
      </w:pPr>
      <w:rPr>
        <w:rFonts w:ascii="Times New Roman" w:hAnsi="Times New Roman" w:hint="default"/>
      </w:rPr>
    </w:lvl>
  </w:abstractNum>
  <w:abstractNum w:abstractNumId="21" w15:restartNumberingAfterBreak="0">
    <w:nsid w:val="6CE72A3E"/>
    <w:multiLevelType w:val="hybridMultilevel"/>
    <w:tmpl w:val="EFB6B966"/>
    <w:lvl w:ilvl="0" w:tplc="71C85F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DE36C5A"/>
    <w:multiLevelType w:val="hybridMultilevel"/>
    <w:tmpl w:val="05A60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E1319F"/>
    <w:multiLevelType w:val="hybridMultilevel"/>
    <w:tmpl w:val="A8067E8A"/>
    <w:lvl w:ilvl="0" w:tplc="0409000D">
      <w:start w:val="1"/>
      <w:numFmt w:val="bullet"/>
      <w:lvlText w:val=""/>
      <w:lvlJc w:val="left"/>
      <w:pPr>
        <w:ind w:left="1040" w:hanging="360"/>
      </w:pPr>
      <w:rPr>
        <w:rFonts w:ascii="Wingdings" w:hAnsi="Wingdings"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4" w15:restartNumberingAfterBreak="0">
    <w:nsid w:val="7D8D4F07"/>
    <w:multiLevelType w:val="hybridMultilevel"/>
    <w:tmpl w:val="0256F6E8"/>
    <w:lvl w:ilvl="0" w:tplc="7FD471D6">
      <w:numFmt w:val="bullet"/>
      <w:lvlText w:val="-"/>
      <w:lvlJc w:val="left"/>
      <w:pPr>
        <w:ind w:left="720" w:hanging="360"/>
      </w:pPr>
      <w:rPr>
        <w:rFonts w:ascii="Arial" w:eastAsia="MS Mincho" w:hAnsi="Arial" w:cs="Arial"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0"/>
  </w:num>
  <w:num w:numId="3">
    <w:abstractNumId w:val="6"/>
  </w:num>
  <w:num w:numId="4">
    <w:abstractNumId w:val="17"/>
  </w:num>
  <w:num w:numId="5">
    <w:abstractNumId w:val="13"/>
  </w:num>
  <w:num w:numId="6">
    <w:abstractNumId w:val="22"/>
  </w:num>
  <w:num w:numId="7">
    <w:abstractNumId w:val="11"/>
  </w:num>
  <w:num w:numId="8">
    <w:abstractNumId w:val="24"/>
  </w:num>
  <w:num w:numId="9">
    <w:abstractNumId w:val="23"/>
  </w:num>
  <w:num w:numId="10">
    <w:abstractNumId w:val="1"/>
  </w:num>
  <w:num w:numId="11">
    <w:abstractNumId w:val="14"/>
  </w:num>
  <w:num w:numId="12">
    <w:abstractNumId w:val="10"/>
  </w:num>
  <w:num w:numId="13">
    <w:abstractNumId w:val="7"/>
  </w:num>
  <w:num w:numId="14">
    <w:abstractNumId w:val="4"/>
  </w:num>
  <w:num w:numId="15">
    <w:abstractNumId w:val="8"/>
  </w:num>
  <w:num w:numId="16">
    <w:abstractNumId w:val="16"/>
  </w:num>
  <w:num w:numId="17">
    <w:abstractNumId w:val="12"/>
  </w:num>
  <w:num w:numId="18">
    <w:abstractNumId w:val="2"/>
  </w:num>
  <w:num w:numId="19">
    <w:abstractNumId w:val="18"/>
  </w:num>
  <w:num w:numId="20">
    <w:abstractNumId w:val="19"/>
  </w:num>
  <w:num w:numId="21">
    <w:abstractNumId w:val="9"/>
  </w:num>
  <w:num w:numId="22">
    <w:abstractNumId w:val="15"/>
  </w:num>
  <w:num w:numId="23">
    <w:abstractNumId w:val="5"/>
  </w:num>
  <w:num w:numId="24">
    <w:abstractNumId w:val="21"/>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1E"/>
    <w:rsid w:val="00125F1E"/>
    <w:rsid w:val="001D02DA"/>
    <w:rsid w:val="007B44FC"/>
    <w:rsid w:val="008E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1BFDC"/>
  <w15:chartTrackingRefBased/>
  <w15:docId w15:val="{8B817182-7D1D-44D6-88B9-850B12FB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F1E"/>
    <w:pPr>
      <w:spacing w:after="0" w:line="240" w:lineRule="auto"/>
    </w:pPr>
    <w:rPr>
      <w:rFonts w:ascii="Arial" w:eastAsia="SimSun" w:hAnsi="Arial" w:cs="Times New Roman"/>
      <w:szCs w:val="20"/>
    </w:rPr>
  </w:style>
  <w:style w:type="paragraph" w:styleId="Heading1">
    <w:name w:val="heading 1"/>
    <w:basedOn w:val="Heading2"/>
    <w:next w:val="BodyText"/>
    <w:link w:val="Heading1Char"/>
    <w:qFormat/>
    <w:rsid w:val="00125F1E"/>
    <w:pPr>
      <w:pageBreakBefore/>
      <w:numPr>
        <w:ilvl w:val="0"/>
      </w:numPr>
      <w:spacing w:before="0" w:line="360" w:lineRule="exact"/>
      <w:outlineLvl w:val="0"/>
    </w:pPr>
    <w:rPr>
      <w:sz w:val="24"/>
    </w:rPr>
  </w:style>
  <w:style w:type="paragraph" w:styleId="Heading2">
    <w:name w:val="heading 2"/>
    <w:basedOn w:val="BodyText"/>
    <w:next w:val="BodyText"/>
    <w:link w:val="Heading2Char"/>
    <w:qFormat/>
    <w:rsid w:val="00125F1E"/>
    <w:pPr>
      <w:keepNext/>
      <w:numPr>
        <w:ilvl w:val="1"/>
        <w:numId w:val="5"/>
      </w:numPr>
      <w:spacing w:before="400" w:after="0" w:line="320" w:lineRule="exact"/>
      <w:jc w:val="left"/>
      <w:outlineLvl w:val="1"/>
    </w:pPr>
    <w:rPr>
      <w:b/>
      <w:sz w:val="22"/>
    </w:rPr>
  </w:style>
  <w:style w:type="paragraph" w:styleId="Heading3">
    <w:name w:val="heading 3"/>
    <w:basedOn w:val="Heading4"/>
    <w:next w:val="BodyText"/>
    <w:link w:val="Heading3Char"/>
    <w:qFormat/>
    <w:rsid w:val="00125F1E"/>
    <w:pPr>
      <w:keepLines w:val="0"/>
      <w:numPr>
        <w:ilvl w:val="2"/>
        <w:numId w:val="5"/>
      </w:numPr>
      <w:spacing w:before="400" w:line="280" w:lineRule="exact"/>
      <w:outlineLvl w:val="2"/>
    </w:pPr>
    <w:rPr>
      <w:rFonts w:ascii="Arial" w:eastAsia="SimSun" w:hAnsi="Arial" w:cs="Times New Roman"/>
      <w:b/>
      <w:i w:val="0"/>
      <w:iCs w:val="0"/>
      <w:color w:val="000000" w:themeColor="text1"/>
      <w:sz w:val="24"/>
    </w:rPr>
  </w:style>
  <w:style w:type="paragraph" w:styleId="Heading4">
    <w:name w:val="heading 4"/>
    <w:basedOn w:val="Normal"/>
    <w:next w:val="Normal"/>
    <w:link w:val="Heading4Char"/>
    <w:uiPriority w:val="9"/>
    <w:semiHidden/>
    <w:unhideWhenUsed/>
    <w:qFormat/>
    <w:rsid w:val="00125F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5F1E"/>
    <w:rPr>
      <w:rFonts w:ascii="Arial" w:eastAsia="SimSun" w:hAnsi="Arial" w:cs="Times New Roman"/>
      <w:b/>
      <w:sz w:val="24"/>
      <w:szCs w:val="20"/>
    </w:rPr>
  </w:style>
  <w:style w:type="character" w:customStyle="1" w:styleId="Heading2Char">
    <w:name w:val="Heading 2 Char"/>
    <w:basedOn w:val="DefaultParagraphFont"/>
    <w:link w:val="Heading2"/>
    <w:rsid w:val="00125F1E"/>
    <w:rPr>
      <w:rFonts w:ascii="Arial" w:eastAsia="SimSun" w:hAnsi="Arial" w:cs="Times New Roman"/>
      <w:b/>
      <w:szCs w:val="20"/>
    </w:rPr>
  </w:style>
  <w:style w:type="character" w:customStyle="1" w:styleId="Heading3Char">
    <w:name w:val="Heading 3 Char"/>
    <w:basedOn w:val="DefaultParagraphFont"/>
    <w:link w:val="Heading3"/>
    <w:rsid w:val="00125F1E"/>
    <w:rPr>
      <w:rFonts w:ascii="Arial" w:eastAsia="SimSun" w:hAnsi="Arial" w:cs="Times New Roman"/>
      <w:b/>
      <w:color w:val="000000" w:themeColor="text1"/>
      <w:sz w:val="24"/>
      <w:szCs w:val="20"/>
    </w:rPr>
  </w:style>
  <w:style w:type="paragraph" w:styleId="BodyText">
    <w:name w:val="Body Text"/>
    <w:aliases w:val="block,Body Text x,Body,bt,body,body text,b,b-heading 1/heading 2,BD,bd,Body text,t1,taten_body,Body Text 1,NoticeText-List,heading1body-heading2body,Letter Body,Memo Body,b-heading,b14,body text x,Body Text1,body text1,bl...,Body t...,Fax Body"/>
    <w:basedOn w:val="Normal"/>
    <w:link w:val="BodyTextChar"/>
    <w:qFormat/>
    <w:rsid w:val="00125F1E"/>
    <w:pPr>
      <w:spacing w:before="120" w:after="120"/>
      <w:jc w:val="both"/>
    </w:pPr>
    <w:rPr>
      <w:sz w:val="20"/>
    </w:rPr>
  </w:style>
  <w:style w:type="character" w:customStyle="1" w:styleId="BodyTextChar">
    <w:name w:val="Body Text Char"/>
    <w:aliases w:val="block Char,Body Text x Char,Body Char,bt Char,body Char,body text Char,b Char,b-heading 1/heading 2 Char,BD Char,bd Char,Body text Char,t1 Char,taten_body Char,Body Text 1 Char,NoticeText-List Char,heading1body-heading2body Char,b14 Char"/>
    <w:basedOn w:val="DefaultParagraphFont"/>
    <w:link w:val="BodyText"/>
    <w:rsid w:val="00125F1E"/>
    <w:rPr>
      <w:rFonts w:ascii="Arial" w:eastAsia="SimSun" w:hAnsi="Arial" w:cs="Times New Roman"/>
      <w:sz w:val="20"/>
      <w:szCs w:val="20"/>
    </w:rPr>
  </w:style>
  <w:style w:type="paragraph" w:styleId="ListBullet">
    <w:name w:val="List Bullet"/>
    <w:basedOn w:val="BodyText"/>
    <w:qFormat/>
    <w:rsid w:val="00125F1E"/>
    <w:pPr>
      <w:numPr>
        <w:numId w:val="1"/>
      </w:numPr>
    </w:pPr>
  </w:style>
  <w:style w:type="paragraph" w:styleId="ListBullet2">
    <w:name w:val="List Bullet 2"/>
    <w:basedOn w:val="ListBullet"/>
    <w:qFormat/>
    <w:rsid w:val="00125F1E"/>
    <w:pPr>
      <w:numPr>
        <w:numId w:val="2"/>
      </w:numPr>
    </w:pPr>
  </w:style>
  <w:style w:type="paragraph" w:styleId="FootnoteText">
    <w:name w:val="footnote text"/>
    <w:aliases w:val="ft,fn,Footnote Text AG,FT"/>
    <w:basedOn w:val="Normal"/>
    <w:link w:val="FootnoteTextChar"/>
    <w:uiPriority w:val="99"/>
    <w:rsid w:val="00125F1E"/>
    <w:rPr>
      <w:sz w:val="18"/>
    </w:rPr>
  </w:style>
  <w:style w:type="character" w:customStyle="1" w:styleId="FootnoteTextChar">
    <w:name w:val="Footnote Text Char"/>
    <w:aliases w:val="ft Char,fn Char,Footnote Text AG Char,FT Char"/>
    <w:basedOn w:val="DefaultParagraphFont"/>
    <w:link w:val="FootnoteText"/>
    <w:uiPriority w:val="99"/>
    <w:rsid w:val="00125F1E"/>
    <w:rPr>
      <w:rFonts w:ascii="Arial" w:eastAsia="SimSun" w:hAnsi="Arial" w:cs="Times New Roman"/>
      <w:sz w:val="18"/>
      <w:szCs w:val="20"/>
    </w:rPr>
  </w:style>
  <w:style w:type="paragraph" w:styleId="ListParagraph">
    <w:name w:val="List Paragraph"/>
    <w:basedOn w:val="Normal"/>
    <w:link w:val="ListParagraphChar"/>
    <w:uiPriority w:val="1"/>
    <w:unhideWhenUsed/>
    <w:qFormat/>
    <w:rsid w:val="00125F1E"/>
    <w:pPr>
      <w:ind w:left="720"/>
      <w:contextualSpacing/>
    </w:pPr>
    <w:rPr>
      <w:sz w:val="20"/>
    </w:rPr>
  </w:style>
  <w:style w:type="character" w:styleId="FootnoteReference">
    <w:name w:val="footnote reference"/>
    <w:aliases w:val="fr,Style 49,EY Footnote Reference,Footnote Reference new"/>
    <w:basedOn w:val="DefaultParagraphFont"/>
    <w:uiPriority w:val="99"/>
    <w:unhideWhenUsed/>
    <w:rsid w:val="00125F1E"/>
    <w:rPr>
      <w:vertAlign w:val="superscript"/>
    </w:rPr>
  </w:style>
  <w:style w:type="character" w:customStyle="1" w:styleId="ListParagraphChar">
    <w:name w:val="List Paragraph Char"/>
    <w:link w:val="ListParagraph"/>
    <w:uiPriority w:val="1"/>
    <w:locked/>
    <w:rsid w:val="00125F1E"/>
    <w:rPr>
      <w:rFonts w:ascii="Arial" w:eastAsia="SimSun" w:hAnsi="Arial" w:cs="Times New Roman"/>
      <w:sz w:val="20"/>
      <w:szCs w:val="20"/>
    </w:rPr>
  </w:style>
  <w:style w:type="character" w:styleId="CommentReference">
    <w:name w:val="annotation reference"/>
    <w:basedOn w:val="DefaultParagraphFont"/>
    <w:uiPriority w:val="99"/>
    <w:semiHidden/>
    <w:unhideWhenUsed/>
    <w:rsid w:val="00125F1E"/>
    <w:rPr>
      <w:sz w:val="16"/>
      <w:szCs w:val="16"/>
    </w:rPr>
  </w:style>
  <w:style w:type="paragraph" w:styleId="CommentText">
    <w:name w:val="annotation text"/>
    <w:basedOn w:val="Normal"/>
    <w:link w:val="CommentTextChar"/>
    <w:semiHidden/>
    <w:unhideWhenUsed/>
    <w:rsid w:val="00125F1E"/>
    <w:rPr>
      <w:sz w:val="20"/>
    </w:rPr>
  </w:style>
  <w:style w:type="character" w:customStyle="1" w:styleId="CommentTextChar">
    <w:name w:val="Comment Text Char"/>
    <w:basedOn w:val="DefaultParagraphFont"/>
    <w:link w:val="CommentText"/>
    <w:semiHidden/>
    <w:rsid w:val="00125F1E"/>
    <w:rPr>
      <w:rFonts w:ascii="Arial" w:eastAsia="SimSun" w:hAnsi="Arial" w:cs="Times New Roman"/>
      <w:sz w:val="20"/>
      <w:szCs w:val="20"/>
    </w:rPr>
  </w:style>
  <w:style w:type="character" w:customStyle="1" w:styleId="Heading4Char">
    <w:name w:val="Heading 4 Char"/>
    <w:basedOn w:val="DefaultParagraphFont"/>
    <w:link w:val="Heading4"/>
    <w:uiPriority w:val="9"/>
    <w:semiHidden/>
    <w:rsid w:val="00125F1E"/>
    <w:rPr>
      <w:rFonts w:asciiTheme="majorHAnsi" w:eastAsiaTheme="majorEastAsia" w:hAnsiTheme="majorHAnsi" w:cstheme="majorBidi"/>
      <w:i/>
      <w:iCs/>
      <w:color w:val="2F5496" w:themeColor="accent1" w:themeShade="BF"/>
      <w:szCs w:val="20"/>
    </w:rPr>
  </w:style>
  <w:style w:type="paragraph" w:styleId="BalloonText">
    <w:name w:val="Balloon Text"/>
    <w:basedOn w:val="Normal"/>
    <w:link w:val="BalloonTextChar"/>
    <w:uiPriority w:val="99"/>
    <w:semiHidden/>
    <w:unhideWhenUsed/>
    <w:rsid w:val="00125F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5F1E"/>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393A4D99C844D9A4B971B2D400DEB" ma:contentTypeVersion="12" ma:contentTypeDescription="Create a new document." ma:contentTypeScope="" ma:versionID="3aba055997ffeadd4291d08e12ec2159">
  <xsd:schema xmlns:xsd="http://www.w3.org/2001/XMLSchema" xmlns:xs="http://www.w3.org/2001/XMLSchema" xmlns:p="http://schemas.microsoft.com/office/2006/metadata/properties" xmlns:ns2="bd94fe42-bbdc-4890-86f8-1cce7b488dc1" xmlns:ns3="097e1a6a-fc06-45b2-8873-15e0270064ac" targetNamespace="http://schemas.microsoft.com/office/2006/metadata/properties" ma:root="true" ma:fieldsID="fe45f8cf68b585c69f4c7dd409a58a0b" ns2:_="" ns3:_="">
    <xsd:import namespace="bd94fe42-bbdc-4890-86f8-1cce7b488dc1"/>
    <xsd:import namespace="097e1a6a-fc06-45b2-8873-15e0270064ac"/>
    <xsd:element name="properties">
      <xsd:complexType>
        <xsd:sequence>
          <xsd:element name="documentManagement">
            <xsd:complexType>
              <xsd:all>
                <xsd:element ref="ns2:Industry"/>
                <xsd:element ref="ns2:Taxissue" minOccurs="0"/>
                <xsd:element ref="ns2:PIC"/>
                <xsd:element ref="ns2:MIC"/>
                <xsd:element ref="ns2:MediaServiceMetadata" minOccurs="0"/>
                <xsd:element ref="ns2:MediaServiceFastMetadata" minOccurs="0"/>
                <xsd:element ref="ns2:MediaServiceAutoKeyPoints" minOccurs="0"/>
                <xsd:element ref="ns2:MediaServiceKeyPoints" minOccurs="0"/>
                <xsd:element ref="ns2:Year"/>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4fe42-bbdc-4890-86f8-1cce7b488dc1" elementFormDefault="qualified">
    <xsd:import namespace="http://schemas.microsoft.com/office/2006/documentManagement/types"/>
    <xsd:import namespace="http://schemas.microsoft.com/office/infopath/2007/PartnerControls"/>
    <xsd:element name="Industry" ma:index="8" ma:displayName="Industry" ma:format="RadioButtons" ma:internalName="Industry">
      <xsd:simpleType>
        <xsd:restriction base="dms:Choice">
          <xsd:enumeration value="General"/>
          <xsd:enumeration value="Automotive"/>
          <xsd:enumeration value="Building and Construction"/>
          <xsd:enumeration value="Chemicals"/>
          <xsd:enumeration value="Banking and Capital Markets"/>
          <xsd:enumeration value="Energy"/>
          <xsd:enumeration value="Consumer Markets"/>
          <xsd:enumeration value="Healthcare"/>
          <xsd:enumeration value="Industrial manufacturing"/>
          <xsd:enumeration value="Infrastructure"/>
          <xsd:enumeration value="Insurance"/>
          <xsd:enumeration value="Retail"/>
          <xsd:enumeration value="Technology"/>
          <xsd:enumeration value="Transport and Logistics"/>
          <xsd:enumeration value="Real estate"/>
          <xsd:enumeration value="Goverment and Public Sector"/>
          <xsd:enumeration value="Asset Management"/>
          <xsd:enumeration value="Media"/>
          <xsd:enumeration value="Mining"/>
          <xsd:enumeration value="Telecom"/>
          <xsd:enumeration value="Private Business"/>
          <xsd:enumeration value="Sports"/>
          <xsd:enumeration value="Others"/>
        </xsd:restriction>
      </xsd:simpleType>
    </xsd:element>
    <xsd:element name="Taxissue" ma:index="9" nillable="true" ma:displayName="Technical area" ma:internalName="Taxissue" ma:requiredMultiChoice="true">
      <xsd:complexType>
        <xsd:complexContent>
          <xsd:extension base="dms:MultiChoice">
            <xsd:sequence>
              <xsd:element name="Value" maxOccurs="unbounded" minOccurs="0" nillable="true">
                <xsd:simpleType>
                  <xsd:restriction base="dms:Choice">
                    <xsd:enumeration value="Not specified"/>
                    <xsd:enumeration value="VAT"/>
                    <xsd:enumeration value="CIT"/>
                    <xsd:enumeration value="CAPT"/>
                    <xsd:enumeration value="FCT"/>
                    <xsd:enumeration value="DTA"/>
                    <xsd:enumeration value="IIT"/>
                    <xsd:enumeration value="Customs"/>
                    <xsd:enumeration value="GMS"/>
                    <xsd:enumeration value="Immigration"/>
                  </xsd:restriction>
                </xsd:simpleType>
              </xsd:element>
            </xsd:sequence>
          </xsd:extension>
        </xsd:complexContent>
      </xsd:complexType>
    </xsd:element>
    <xsd:element name="PIC" ma:index="10" ma:displayName="PIC" ma:format="Dropdown" ma:list="UserInfo" ma:SharePointGroup="0" ma:internalName="P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IC" ma:index="11" ma:displayName="MIC" ma:format="Dropdown" ma:list="UserInfo" ma:SharePointGroup="0" ma:internalName="MIC">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Year" ma:index="16" ma:displayName="Year" ma:format="Dropdown" ma:internalName="Year">
      <xsd:simpleType>
        <xsd:restriction base="dms:Text">
          <xsd:maxLength value="4"/>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IC xmlns="bd94fe42-bbdc-4890-86f8-1cce7b488dc1">
      <UserInfo>
        <DisplayName>Nguyen, Huong Giang</DisplayName>
        <AccountId>21</AccountId>
        <AccountType/>
      </UserInfo>
    </PIC>
    <MIC xmlns="bd94fe42-bbdc-4890-86f8-1cce7b488dc1">
      <UserInfo>
        <DisplayName>Nguyen, Nhu Trang</DisplayName>
        <AccountId>83</AccountId>
        <AccountType/>
      </UserInfo>
    </MIC>
    <Year xmlns="bd94fe42-bbdc-4890-86f8-1cce7b488dc1">2021</Year>
    <Taxissue xmlns="bd94fe42-bbdc-4890-86f8-1cce7b488dc1">
      <Value>CAPT</Value>
    </Taxissue>
    <Industry xmlns="bd94fe42-bbdc-4890-86f8-1cce7b488dc1">General</Industry>
  </documentManagement>
</p:properties>
</file>

<file path=customXml/itemProps1.xml><?xml version="1.0" encoding="utf-8"?>
<ds:datastoreItem xmlns:ds="http://schemas.openxmlformats.org/officeDocument/2006/customXml" ds:itemID="{296A6D36-84F6-4465-A330-E06BCA5446AC}"/>
</file>

<file path=customXml/itemProps2.xml><?xml version="1.0" encoding="utf-8"?>
<ds:datastoreItem xmlns:ds="http://schemas.openxmlformats.org/officeDocument/2006/customXml" ds:itemID="{A451A1D8-5202-42A5-B6C1-46B18242C77E}"/>
</file>

<file path=customXml/itemProps3.xml><?xml version="1.0" encoding="utf-8"?>
<ds:datastoreItem xmlns:ds="http://schemas.openxmlformats.org/officeDocument/2006/customXml" ds:itemID="{8B187907-2587-4D88-A519-33B4B1BB59BC}"/>
</file>

<file path=docProps/app.xml><?xml version="1.0" encoding="utf-8"?>
<Properties xmlns="http://schemas.openxmlformats.org/officeDocument/2006/extended-properties" xmlns:vt="http://schemas.openxmlformats.org/officeDocument/2006/docPropsVTypes">
  <Template>Normal</Template>
  <TotalTime>30</TotalTime>
  <Pages>3</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 Giang</dc:creator>
  <cp:keywords/>
  <dc:description/>
  <cp:lastModifiedBy>Nguyen, Huong Giang</cp:lastModifiedBy>
  <cp:revision>1</cp:revision>
  <dcterms:created xsi:type="dcterms:W3CDTF">2022-01-11T08:23:00Z</dcterms:created>
  <dcterms:modified xsi:type="dcterms:W3CDTF">2022-01-11T08:53:00Z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0x01010027D393A4D99C844D9A4B971B2D400DEB</vt:lpwstr>
  </property>
</Properties>
</file>