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18CDB" w14:textId="77777777" w:rsidR="00695B0E" w:rsidRDefault="00695B0E">
      <w:pPr>
        <w:pStyle w:val="BodyText"/>
        <w:rPr>
          <w:rFonts w:ascii="Times New Roman"/>
          <w:sz w:val="20"/>
        </w:rPr>
      </w:pPr>
    </w:p>
    <w:p w14:paraId="5FA18CDC" w14:textId="77777777" w:rsidR="00695B0E" w:rsidRDefault="00695B0E">
      <w:pPr>
        <w:pStyle w:val="BodyText"/>
        <w:rPr>
          <w:rFonts w:ascii="Times New Roman"/>
          <w:sz w:val="20"/>
        </w:rPr>
      </w:pPr>
    </w:p>
    <w:p w14:paraId="5FA18CDD" w14:textId="77777777" w:rsidR="00695B0E" w:rsidRDefault="00695B0E">
      <w:pPr>
        <w:pStyle w:val="BodyText"/>
        <w:spacing w:before="4"/>
        <w:rPr>
          <w:rFonts w:ascii="Times New Roman"/>
          <w:sz w:val="20"/>
        </w:rPr>
      </w:pPr>
    </w:p>
    <w:p w14:paraId="5FA18CDE" w14:textId="77777777" w:rsidR="00695B0E" w:rsidRDefault="00917819">
      <w:pPr>
        <w:pStyle w:val="BodyText"/>
        <w:ind w:left="115"/>
        <w:rPr>
          <w:rFonts w:ascii="Times New Roman"/>
          <w:sz w:val="20"/>
        </w:rPr>
      </w:pPr>
      <w:r>
        <w:rPr>
          <w:rFonts w:ascii="Times New Roman"/>
          <w:noProof/>
          <w:sz w:val="20"/>
        </w:rPr>
        <w:drawing>
          <wp:inline distT="0" distB="0" distL="0" distR="0" wp14:anchorId="5FA18D3B" wp14:editId="5FA18D3C">
            <wp:extent cx="903650" cy="336042"/>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903650" cy="336042"/>
                    </a:xfrm>
                    <a:prstGeom prst="rect">
                      <a:avLst/>
                    </a:prstGeom>
                  </pic:spPr>
                </pic:pic>
              </a:graphicData>
            </a:graphic>
          </wp:inline>
        </w:drawing>
      </w:r>
    </w:p>
    <w:p w14:paraId="5FA18CDF" w14:textId="77777777" w:rsidR="00695B0E" w:rsidRDefault="00695B0E">
      <w:pPr>
        <w:pStyle w:val="BodyText"/>
        <w:rPr>
          <w:rFonts w:ascii="Times New Roman"/>
          <w:sz w:val="20"/>
        </w:rPr>
      </w:pPr>
    </w:p>
    <w:p w14:paraId="5FA18CFF" w14:textId="77777777" w:rsidR="00695B0E" w:rsidRDefault="00695B0E">
      <w:pPr>
        <w:pStyle w:val="BodyText"/>
        <w:spacing w:before="5"/>
        <w:rPr>
          <w:rFonts w:ascii="Times New Roman"/>
          <w:sz w:val="14"/>
        </w:rPr>
      </w:pPr>
    </w:p>
    <w:p w14:paraId="5FA18D00" w14:textId="4B1A4EFF" w:rsidR="00695B0E" w:rsidRDefault="00917819">
      <w:pPr>
        <w:pStyle w:val="Heading1"/>
        <w:ind w:right="415"/>
      </w:pPr>
      <w:r>
        <w:t xml:space="preserve">Vietnamese tax implications on </w:t>
      </w:r>
      <w:r w:rsidR="00844C76" w:rsidRPr="00844C76">
        <w:t>flash-title- transfer transactions</w:t>
      </w:r>
      <w:r w:rsidR="00844C76">
        <w:t xml:space="preserve"> inside bonded warehouse</w:t>
      </w:r>
    </w:p>
    <w:p w14:paraId="5FA18D01" w14:textId="77777777" w:rsidR="00695B0E" w:rsidRDefault="00695B0E">
      <w:pPr>
        <w:pStyle w:val="BodyText"/>
        <w:spacing w:before="8"/>
        <w:rPr>
          <w:b/>
          <w:sz w:val="20"/>
        </w:rPr>
      </w:pPr>
    </w:p>
    <w:p w14:paraId="5FA18D02" w14:textId="1C691209" w:rsidR="00695B0E" w:rsidRDefault="00B35573">
      <w:pPr>
        <w:pStyle w:val="BodyText"/>
        <w:ind w:left="1411" w:right="389" w:hanging="1"/>
      </w:pPr>
      <w:r>
        <w:rPr>
          <w:b/>
        </w:rPr>
        <w:t>Client VN</w:t>
      </w:r>
      <w:r w:rsidR="00917819">
        <w:t xml:space="preserve"> is contemplating to participate in a toll manufacturing model with </w:t>
      </w:r>
      <w:r w:rsidRPr="00B35573">
        <w:rPr>
          <w:b/>
          <w:bCs/>
        </w:rPr>
        <w:t>Client</w:t>
      </w:r>
      <w:r>
        <w:t xml:space="preserve"> </w:t>
      </w:r>
      <w:r w:rsidRPr="00B35573">
        <w:rPr>
          <w:b/>
          <w:bCs/>
        </w:rPr>
        <w:t>TW</w:t>
      </w:r>
      <w:r>
        <w:t xml:space="preserve"> (</w:t>
      </w:r>
      <w:r w:rsidRPr="00B35573">
        <w:rPr>
          <w:b/>
          <w:bCs/>
        </w:rPr>
        <w:t>Parent</w:t>
      </w:r>
      <w:r>
        <w:rPr>
          <w:b/>
          <w:bCs/>
        </w:rPr>
        <w:t xml:space="preserve"> of </w:t>
      </w:r>
      <w:r>
        <w:rPr>
          <w:b/>
        </w:rPr>
        <w:t>Client VN</w:t>
      </w:r>
      <w:r>
        <w:rPr>
          <w:b/>
        </w:rPr>
        <w:t>)</w:t>
      </w:r>
      <w:r w:rsidR="00917819">
        <w:t xml:space="preserve"> whereby the transaction flow is as follows:</w:t>
      </w:r>
    </w:p>
    <w:p w14:paraId="5FA18D03" w14:textId="4AB3A1E2" w:rsidR="00695B0E" w:rsidRDefault="00917819">
      <w:pPr>
        <w:pStyle w:val="ListParagraph"/>
        <w:numPr>
          <w:ilvl w:val="0"/>
          <w:numId w:val="2"/>
        </w:numPr>
        <w:tabs>
          <w:tab w:val="left" w:pos="2131"/>
          <w:tab w:val="left" w:pos="2132"/>
        </w:tabs>
        <w:spacing w:before="121"/>
        <w:ind w:right="563"/>
      </w:pPr>
      <w:r>
        <w:t xml:space="preserve">The materials will be imported and stored at the Vietnamese bonded- warehouse by the overseas supplier of </w:t>
      </w:r>
      <w:r w:rsidR="001801E4" w:rsidRPr="001801E4">
        <w:rPr>
          <w:b/>
          <w:bCs/>
        </w:rPr>
        <w:t>ABC</w:t>
      </w:r>
      <w:r w:rsidRPr="001801E4">
        <w:rPr>
          <w:b/>
          <w:bCs/>
        </w:rPr>
        <w:t xml:space="preserve"> Singapore</w:t>
      </w:r>
      <w:r>
        <w:t xml:space="preserve"> (“</w:t>
      </w:r>
      <w:r w:rsidR="001801E4" w:rsidRPr="001801E4">
        <w:rPr>
          <w:b/>
          <w:bCs/>
        </w:rPr>
        <w:t xml:space="preserve">ABC </w:t>
      </w:r>
      <w:r w:rsidRPr="001801E4">
        <w:rPr>
          <w:b/>
          <w:bCs/>
        </w:rPr>
        <w:t>SG</w:t>
      </w:r>
      <w:r>
        <w:t>”);</w:t>
      </w:r>
    </w:p>
    <w:p w14:paraId="5FA18D04" w14:textId="02782736" w:rsidR="00695B0E" w:rsidRDefault="00917819">
      <w:pPr>
        <w:pStyle w:val="ListParagraph"/>
        <w:numPr>
          <w:ilvl w:val="0"/>
          <w:numId w:val="2"/>
        </w:numPr>
        <w:tabs>
          <w:tab w:val="left" w:pos="2131"/>
          <w:tab w:val="left" w:pos="2132"/>
        </w:tabs>
        <w:spacing w:before="119"/>
        <w:ind w:right="463"/>
      </w:pPr>
      <w:r>
        <w:t xml:space="preserve">Whenever </w:t>
      </w:r>
      <w:r w:rsidR="00B35573" w:rsidRPr="00B2070B">
        <w:rPr>
          <w:b/>
          <w:bCs/>
        </w:rPr>
        <w:t>Client</w:t>
      </w:r>
      <w:r w:rsidRPr="00B2070B">
        <w:rPr>
          <w:b/>
          <w:bCs/>
        </w:rPr>
        <w:t xml:space="preserve"> TW</w:t>
      </w:r>
      <w:r>
        <w:t xml:space="preserve"> places an order of materials to </w:t>
      </w:r>
      <w:r w:rsidR="001801E4" w:rsidRPr="001801E4">
        <w:rPr>
          <w:b/>
          <w:bCs/>
        </w:rPr>
        <w:t>ABC SG</w:t>
      </w:r>
      <w:r>
        <w:t xml:space="preserve">, the title of the materials will be transferred from </w:t>
      </w:r>
      <w:r w:rsidR="001801E4" w:rsidRPr="001801E4">
        <w:rPr>
          <w:b/>
          <w:bCs/>
        </w:rPr>
        <w:t>ABC SG</w:t>
      </w:r>
      <w:r w:rsidR="001801E4">
        <w:t xml:space="preserve"> </w:t>
      </w:r>
      <w:r>
        <w:t xml:space="preserve">to </w:t>
      </w:r>
      <w:r w:rsidR="00B35573" w:rsidRPr="00B2070B">
        <w:rPr>
          <w:b/>
          <w:bCs/>
        </w:rPr>
        <w:t>Client</w:t>
      </w:r>
      <w:r w:rsidRPr="00B2070B">
        <w:rPr>
          <w:b/>
          <w:bCs/>
        </w:rPr>
        <w:t xml:space="preserve"> TW</w:t>
      </w:r>
      <w:r>
        <w:t xml:space="preserve"> </w:t>
      </w:r>
      <w:r>
        <w:rPr>
          <w:spacing w:val="-3"/>
        </w:rPr>
        <w:t xml:space="preserve">in </w:t>
      </w:r>
      <w:r>
        <w:t>the Vietnamese bonded-warehouse. At that time there will be two flash-title- transfer transactions</w:t>
      </w:r>
      <w:r>
        <w:rPr>
          <w:spacing w:val="-6"/>
        </w:rPr>
        <w:t xml:space="preserve"> </w:t>
      </w:r>
      <w:r>
        <w:t>occurred:</w:t>
      </w:r>
    </w:p>
    <w:p w14:paraId="5FA18D07" w14:textId="1DAB4654" w:rsidR="00695B0E" w:rsidRPr="007675C6" w:rsidRDefault="001801E4" w:rsidP="007675C6">
      <w:pPr>
        <w:pStyle w:val="ListParagraph"/>
        <w:numPr>
          <w:ilvl w:val="1"/>
          <w:numId w:val="2"/>
        </w:numPr>
        <w:tabs>
          <w:tab w:val="left" w:pos="2851"/>
          <w:tab w:val="left" w:pos="2852"/>
        </w:tabs>
        <w:spacing w:before="94"/>
      </w:pPr>
      <w:r w:rsidRPr="001801E4">
        <w:rPr>
          <w:b/>
          <w:bCs/>
        </w:rPr>
        <w:t>ABC SG</w:t>
      </w:r>
      <w:r w:rsidR="00917819">
        <w:t xml:space="preserve">’s supplier will transfer the title of goods to </w:t>
      </w:r>
      <w:r w:rsidRPr="001801E4">
        <w:rPr>
          <w:b/>
          <w:bCs/>
        </w:rPr>
        <w:t>ABC SG</w:t>
      </w:r>
      <w:r w:rsidR="00917819">
        <w:t>;</w:t>
      </w:r>
    </w:p>
    <w:p w14:paraId="5FA18D09" w14:textId="77777777" w:rsidR="00695B0E" w:rsidRDefault="00695B0E">
      <w:pPr>
        <w:pStyle w:val="BodyText"/>
        <w:spacing w:before="5"/>
        <w:rPr>
          <w:i/>
          <w:sz w:val="11"/>
        </w:rPr>
      </w:pPr>
    </w:p>
    <w:p w14:paraId="5FA18D0A" w14:textId="61AEEAD8" w:rsidR="00695B0E" w:rsidRDefault="001801E4">
      <w:pPr>
        <w:pStyle w:val="ListParagraph"/>
        <w:numPr>
          <w:ilvl w:val="1"/>
          <w:numId w:val="2"/>
        </w:numPr>
        <w:tabs>
          <w:tab w:val="left" w:pos="2851"/>
          <w:tab w:val="left" w:pos="2852"/>
        </w:tabs>
        <w:spacing w:before="94"/>
      </w:pPr>
      <w:r w:rsidRPr="001801E4">
        <w:rPr>
          <w:b/>
          <w:bCs/>
        </w:rPr>
        <w:t>ABC SG</w:t>
      </w:r>
      <w:r w:rsidR="00917819">
        <w:t xml:space="preserve"> will transfer immediately the title of goods to </w:t>
      </w:r>
      <w:r w:rsidR="00B35573" w:rsidRPr="00B2070B">
        <w:rPr>
          <w:b/>
          <w:bCs/>
        </w:rPr>
        <w:t>Client</w:t>
      </w:r>
      <w:r w:rsidR="00917819" w:rsidRPr="00B2070B">
        <w:rPr>
          <w:b/>
          <w:bCs/>
          <w:spacing w:val="-20"/>
        </w:rPr>
        <w:t xml:space="preserve"> </w:t>
      </w:r>
      <w:r w:rsidR="00917819" w:rsidRPr="00B2070B">
        <w:rPr>
          <w:b/>
          <w:bCs/>
        </w:rPr>
        <w:t>TW</w:t>
      </w:r>
      <w:r w:rsidR="00917819">
        <w:t>.</w:t>
      </w:r>
    </w:p>
    <w:p w14:paraId="5FA18D0B" w14:textId="7560EEC6" w:rsidR="00695B0E" w:rsidRDefault="00B35573" w:rsidP="00276CDA">
      <w:pPr>
        <w:pStyle w:val="ListParagraph"/>
        <w:numPr>
          <w:ilvl w:val="0"/>
          <w:numId w:val="2"/>
        </w:numPr>
        <w:tabs>
          <w:tab w:val="left" w:pos="2131"/>
          <w:tab w:val="left" w:pos="2132"/>
        </w:tabs>
        <w:spacing w:before="121"/>
        <w:ind w:right="563"/>
      </w:pPr>
      <w:r w:rsidRPr="00B2070B">
        <w:rPr>
          <w:b/>
          <w:bCs/>
        </w:rPr>
        <w:t>Client</w:t>
      </w:r>
      <w:r w:rsidR="00917819" w:rsidRPr="00B2070B">
        <w:rPr>
          <w:b/>
          <w:bCs/>
        </w:rPr>
        <w:t xml:space="preserve"> TW</w:t>
      </w:r>
      <w:r w:rsidR="00917819">
        <w:t xml:space="preserve">, as the owner of the goods, will consign the materials to </w:t>
      </w:r>
      <w:r w:rsidRPr="00B2070B">
        <w:rPr>
          <w:b/>
          <w:bCs/>
        </w:rPr>
        <w:t>Client</w:t>
      </w:r>
      <w:r w:rsidR="00917819" w:rsidRPr="00B2070B">
        <w:rPr>
          <w:b/>
          <w:bCs/>
        </w:rPr>
        <w:t xml:space="preserve"> VN</w:t>
      </w:r>
      <w:r w:rsidR="00917819">
        <w:t xml:space="preserve"> for toll</w:t>
      </w:r>
      <w:r w:rsidR="00917819" w:rsidRPr="00276CDA">
        <w:t xml:space="preserve"> </w:t>
      </w:r>
      <w:r w:rsidR="00917819">
        <w:t>manufacturing.</w:t>
      </w:r>
    </w:p>
    <w:p w14:paraId="5FA18D0C" w14:textId="77777777" w:rsidR="00695B0E" w:rsidRDefault="00917819">
      <w:pPr>
        <w:pStyle w:val="BodyText"/>
        <w:spacing w:before="123"/>
        <w:ind w:left="1771"/>
      </w:pPr>
      <w:r>
        <w:t>The transactions are illustrated as below:</w:t>
      </w:r>
    </w:p>
    <w:p w14:paraId="5FA18D0D" w14:textId="77777777" w:rsidR="00695B0E" w:rsidRDefault="00917819">
      <w:pPr>
        <w:pStyle w:val="BodyText"/>
        <w:spacing w:before="10"/>
        <w:rPr>
          <w:sz w:val="25"/>
        </w:rPr>
      </w:pPr>
      <w:r>
        <w:rPr>
          <w:noProof/>
        </w:rPr>
        <w:drawing>
          <wp:anchor distT="0" distB="0" distL="0" distR="0" simplePos="0" relativeHeight="251658240" behindDoc="0" locked="0" layoutInCell="1" allowOverlap="1" wp14:anchorId="5FA18D3D" wp14:editId="5FA18D3E">
            <wp:simplePos x="0" y="0"/>
            <wp:positionH relativeFrom="page">
              <wp:posOffset>1835712</wp:posOffset>
            </wp:positionH>
            <wp:positionV relativeFrom="paragraph">
              <wp:posOffset>213841</wp:posOffset>
            </wp:positionV>
            <wp:extent cx="4972408" cy="2460117"/>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8" cstate="print"/>
                    <a:stretch>
                      <a:fillRect/>
                    </a:stretch>
                  </pic:blipFill>
                  <pic:spPr>
                    <a:xfrm>
                      <a:off x="0" y="0"/>
                      <a:ext cx="4972408" cy="2460117"/>
                    </a:xfrm>
                    <a:prstGeom prst="rect">
                      <a:avLst/>
                    </a:prstGeom>
                  </pic:spPr>
                </pic:pic>
              </a:graphicData>
            </a:graphic>
          </wp:anchor>
        </w:drawing>
      </w:r>
    </w:p>
    <w:p w14:paraId="5FA18D0E" w14:textId="77777777" w:rsidR="00695B0E" w:rsidRDefault="00695B0E">
      <w:pPr>
        <w:pStyle w:val="BodyText"/>
        <w:spacing w:before="5"/>
        <w:rPr>
          <w:sz w:val="30"/>
        </w:rPr>
      </w:pPr>
    </w:p>
    <w:p w14:paraId="5FA18D0F" w14:textId="320B29F2" w:rsidR="00695B0E" w:rsidRDefault="00917819">
      <w:pPr>
        <w:pStyle w:val="BodyText"/>
        <w:ind w:left="1411" w:right="723" w:hanging="1"/>
      </w:pPr>
      <w:r>
        <w:t xml:space="preserve">KPMG provided high level comments on the income tax implications for </w:t>
      </w:r>
      <w:r w:rsidR="001801E4" w:rsidRPr="001801E4">
        <w:rPr>
          <w:b/>
          <w:bCs/>
        </w:rPr>
        <w:t>Client VN</w:t>
      </w:r>
      <w:r w:rsidRPr="001801E4">
        <w:rPr>
          <w:b/>
          <w:bCs/>
        </w:rPr>
        <w:t>/</w:t>
      </w:r>
      <w:r w:rsidR="00B35573" w:rsidRPr="001801E4">
        <w:rPr>
          <w:b/>
          <w:bCs/>
        </w:rPr>
        <w:t>Client</w:t>
      </w:r>
      <w:r w:rsidRPr="001801E4">
        <w:rPr>
          <w:b/>
          <w:bCs/>
        </w:rPr>
        <w:t xml:space="preserve"> TW</w:t>
      </w:r>
      <w:r>
        <w:t xml:space="preserve"> of the flash-title-transfer transactions in the Vietnamese bonded-warehouse.</w:t>
      </w:r>
    </w:p>
    <w:p w14:paraId="5FA18D10" w14:textId="77777777" w:rsidR="00695B0E" w:rsidRDefault="00917819">
      <w:pPr>
        <w:pStyle w:val="BodyText"/>
        <w:spacing w:before="119"/>
        <w:ind w:left="1412" w:right="387" w:hanging="1"/>
      </w:pPr>
      <w:r>
        <w:t>Our comments here below were provided from local tax perspectives only without considering legal aspects of the transaction.</w:t>
      </w:r>
    </w:p>
    <w:p w14:paraId="5FA18D11" w14:textId="77777777" w:rsidR="00695B0E" w:rsidRDefault="00917819">
      <w:pPr>
        <w:pStyle w:val="Heading1"/>
        <w:spacing w:before="118"/>
        <w:ind w:left="1412" w:firstLine="0"/>
      </w:pPr>
      <w:r>
        <w:t>Tax implications on the flash-title-transfer transactions</w:t>
      </w:r>
    </w:p>
    <w:p w14:paraId="5FA18D12" w14:textId="77777777" w:rsidR="00695B0E" w:rsidRDefault="00917819">
      <w:pPr>
        <w:pStyle w:val="ListParagraph"/>
        <w:numPr>
          <w:ilvl w:val="0"/>
          <w:numId w:val="1"/>
        </w:numPr>
        <w:tabs>
          <w:tab w:val="left" w:pos="1752"/>
        </w:tabs>
        <w:spacing w:before="125" w:line="237" w:lineRule="auto"/>
        <w:ind w:right="256"/>
      </w:pPr>
      <w:r>
        <w:t xml:space="preserve">Under the Law on Corporate Income Tax (“CIT”), the foreign companies carrying out business and generating income </w:t>
      </w:r>
      <w:r>
        <w:rPr>
          <w:spacing w:val="-3"/>
        </w:rPr>
        <w:t xml:space="preserve">in </w:t>
      </w:r>
      <w:r>
        <w:t xml:space="preserve">Vietnam shall be subject to CIT </w:t>
      </w:r>
      <w:r>
        <w:lastRenderedPageBreak/>
        <w:t>in Vietnam,</w:t>
      </w:r>
      <w:r>
        <w:rPr>
          <w:spacing w:val="4"/>
        </w:rPr>
        <w:t xml:space="preserve"> </w:t>
      </w:r>
      <w:r>
        <w:t>specifically:</w:t>
      </w:r>
    </w:p>
    <w:p w14:paraId="5FA18D13" w14:textId="77777777" w:rsidR="00695B0E" w:rsidRDefault="00917819">
      <w:pPr>
        <w:pStyle w:val="ListParagraph"/>
        <w:numPr>
          <w:ilvl w:val="1"/>
          <w:numId w:val="1"/>
        </w:numPr>
        <w:tabs>
          <w:tab w:val="left" w:pos="2131"/>
          <w:tab w:val="left" w:pos="2132"/>
        </w:tabs>
        <w:spacing w:before="128" w:line="230" w:lineRule="auto"/>
        <w:ind w:right="450"/>
      </w:pPr>
      <w:r>
        <w:t xml:space="preserve">Foreign companies having Permanent Establishments (“PE”) in Vietnam shall pay tax on taxable incomes arising </w:t>
      </w:r>
      <w:r>
        <w:rPr>
          <w:spacing w:val="-3"/>
        </w:rPr>
        <w:t xml:space="preserve">in </w:t>
      </w:r>
      <w:r>
        <w:t>Vietnam that are not related to the PE's operations;</w:t>
      </w:r>
      <w:r>
        <w:rPr>
          <w:spacing w:val="-9"/>
        </w:rPr>
        <w:t xml:space="preserve"> </w:t>
      </w:r>
      <w:r>
        <w:t>and</w:t>
      </w:r>
    </w:p>
    <w:p w14:paraId="5FA18D14" w14:textId="77777777" w:rsidR="00695B0E" w:rsidRDefault="00917819">
      <w:pPr>
        <w:pStyle w:val="ListParagraph"/>
        <w:numPr>
          <w:ilvl w:val="1"/>
          <w:numId w:val="1"/>
        </w:numPr>
        <w:tabs>
          <w:tab w:val="left" w:pos="2131"/>
          <w:tab w:val="left" w:pos="2132"/>
        </w:tabs>
        <w:spacing w:before="138" w:line="220" w:lineRule="auto"/>
        <w:ind w:right="830" w:hanging="360"/>
        <w:rPr>
          <w:sz w:val="14"/>
        </w:rPr>
      </w:pPr>
      <w:r>
        <w:rPr>
          <w:u w:val="single"/>
        </w:rPr>
        <w:t xml:space="preserve">Foreign companies not having PE </w:t>
      </w:r>
      <w:r>
        <w:rPr>
          <w:spacing w:val="-3"/>
          <w:u w:val="single"/>
        </w:rPr>
        <w:t xml:space="preserve">in </w:t>
      </w:r>
      <w:r>
        <w:rPr>
          <w:u w:val="single"/>
        </w:rPr>
        <w:t xml:space="preserve">Vietnam shall pay tax on taxable incomes generated </w:t>
      </w:r>
      <w:r>
        <w:rPr>
          <w:spacing w:val="-3"/>
          <w:u w:val="single"/>
        </w:rPr>
        <w:t xml:space="preserve">in </w:t>
      </w:r>
      <w:r>
        <w:rPr>
          <w:u w:val="single"/>
        </w:rPr>
        <w:t>Vietnam</w:t>
      </w:r>
      <w:r>
        <w:t>.</w:t>
      </w:r>
      <w:hyperlink w:anchor="_bookmark0" w:history="1">
        <w:r>
          <w:rPr>
            <w:position w:val="8"/>
            <w:sz w:val="14"/>
          </w:rPr>
          <w:t>1</w:t>
        </w:r>
      </w:hyperlink>
    </w:p>
    <w:p w14:paraId="5FA18D15" w14:textId="0E45C0D8" w:rsidR="00695B0E" w:rsidRDefault="00917819">
      <w:pPr>
        <w:pStyle w:val="ListParagraph"/>
        <w:numPr>
          <w:ilvl w:val="0"/>
          <w:numId w:val="1"/>
        </w:numPr>
        <w:tabs>
          <w:tab w:val="left" w:pos="1752"/>
        </w:tabs>
        <w:spacing w:before="119"/>
        <w:ind w:left="1751" w:right="488"/>
      </w:pPr>
      <w:r>
        <w:t xml:space="preserve">Given this, the flash-title-transfer transactions in </w:t>
      </w:r>
      <w:r w:rsidR="00B35573" w:rsidRPr="00B2070B">
        <w:rPr>
          <w:b/>
          <w:bCs/>
        </w:rPr>
        <w:t>Client</w:t>
      </w:r>
      <w:r w:rsidR="00662DB2">
        <w:rPr>
          <w:b/>
          <w:bCs/>
        </w:rPr>
        <w:t xml:space="preserve"> VN</w:t>
      </w:r>
      <w:r w:rsidRPr="00B2070B">
        <w:rPr>
          <w:b/>
          <w:bCs/>
        </w:rPr>
        <w:t>’s</w:t>
      </w:r>
      <w:r>
        <w:t xml:space="preserve"> case will be considered trading activities of foreign companies (i.e. </w:t>
      </w:r>
      <w:r w:rsidR="00C2207E" w:rsidRPr="00C2207E">
        <w:rPr>
          <w:b/>
          <w:bCs/>
        </w:rPr>
        <w:t xml:space="preserve">ABC </w:t>
      </w:r>
      <w:r w:rsidRPr="00C2207E">
        <w:rPr>
          <w:b/>
          <w:bCs/>
        </w:rPr>
        <w:t>SG</w:t>
      </w:r>
      <w:r>
        <w:t xml:space="preserve"> and </w:t>
      </w:r>
      <w:r w:rsidR="00C2207E" w:rsidRPr="00C2207E">
        <w:rPr>
          <w:b/>
          <w:bCs/>
        </w:rPr>
        <w:t>ABC SG</w:t>
      </w:r>
      <w:r>
        <w:t xml:space="preserve">’s supplier) to generate income </w:t>
      </w:r>
      <w:r>
        <w:rPr>
          <w:spacing w:val="-3"/>
        </w:rPr>
        <w:t xml:space="preserve">in </w:t>
      </w:r>
      <w:r>
        <w:t>Vietnam and hence, will be subject to income tax in</w:t>
      </w:r>
      <w:r>
        <w:rPr>
          <w:spacing w:val="-1"/>
        </w:rPr>
        <w:t xml:space="preserve"> </w:t>
      </w:r>
      <w:r>
        <w:t>Vietnam.</w:t>
      </w:r>
    </w:p>
    <w:p w14:paraId="5FA18D16" w14:textId="77777777" w:rsidR="00695B0E" w:rsidRDefault="00917819">
      <w:pPr>
        <w:pStyle w:val="BodyText"/>
        <w:spacing w:before="117"/>
        <w:ind w:left="1752" w:right="279"/>
      </w:pPr>
      <w:r>
        <w:t>There has been a number of official letters (“OL”) of Ministry of Finance and Department of Taxation confirming such tax treatment for similar cases (i.e. OL</w:t>
      </w:r>
    </w:p>
    <w:p w14:paraId="5FA18D17" w14:textId="77777777" w:rsidR="00695B0E" w:rsidRDefault="00C2207E">
      <w:pPr>
        <w:pStyle w:val="BodyText"/>
        <w:spacing w:before="3"/>
      </w:pPr>
      <w:r>
        <w:pict w14:anchorId="5FA18D3F">
          <v:shape id="_x0000_s1027" style="position:absolute;margin-left:130.55pt;margin-top:15.05pt;width:2in;height:.1pt;z-index:-251657216;mso-wrap-distance-left:0;mso-wrap-distance-right:0;mso-position-horizontal-relative:page" coordorigin="2611,301" coordsize="2880,0" path="m2611,301r2880,e" filled="f" strokeweight=".48pt">
            <v:path arrowok="t"/>
            <w10:wrap type="topAndBottom" anchorx="page"/>
          </v:shape>
        </w:pict>
      </w:r>
    </w:p>
    <w:p w14:paraId="5FA18D18" w14:textId="77777777" w:rsidR="00695B0E" w:rsidRDefault="00917819">
      <w:pPr>
        <w:spacing w:before="62"/>
        <w:ind w:left="1411"/>
        <w:rPr>
          <w:sz w:val="18"/>
        </w:rPr>
      </w:pPr>
      <w:bookmarkStart w:id="0" w:name="_bookmark0"/>
      <w:bookmarkEnd w:id="0"/>
      <w:r>
        <w:rPr>
          <w:position w:val="6"/>
          <w:sz w:val="12"/>
        </w:rPr>
        <w:t xml:space="preserve">1 </w:t>
      </w:r>
      <w:r>
        <w:rPr>
          <w:sz w:val="18"/>
        </w:rPr>
        <w:t>Article 2, Law on Corporate Income Tax No. 14/2008/QH12 on tax payer</w:t>
      </w:r>
    </w:p>
    <w:p w14:paraId="5FA18D19" w14:textId="77777777" w:rsidR="00695B0E" w:rsidRDefault="00695B0E">
      <w:pPr>
        <w:rPr>
          <w:sz w:val="18"/>
        </w:rPr>
        <w:sectPr w:rsidR="00695B0E">
          <w:headerReference w:type="default" r:id="rId9"/>
          <w:footerReference w:type="default" r:id="rId10"/>
          <w:pgSz w:w="11910" w:h="16840"/>
          <w:pgMar w:top="1920" w:right="980" w:bottom="1240" w:left="1200" w:header="1306" w:footer="1056" w:gutter="0"/>
          <w:pgNumType w:start="2"/>
          <w:cols w:space="720"/>
        </w:sectPr>
      </w:pPr>
    </w:p>
    <w:p w14:paraId="5FA18D1D" w14:textId="77777777" w:rsidR="00695B0E" w:rsidRDefault="00917819">
      <w:pPr>
        <w:pStyle w:val="BodyText"/>
        <w:spacing w:before="94"/>
        <w:ind w:left="1752" w:right="867" w:hanging="1"/>
      </w:pPr>
      <w:r>
        <w:lastRenderedPageBreak/>
        <w:t>No. 2389/TCT-CS for Canon Singapore’s case, OL No. 3997/TCT-CS for Sagawa’s case and OL No. 1474/TCT-DNL for Sabic’s case);</w:t>
      </w:r>
    </w:p>
    <w:p w14:paraId="5FA18D1E" w14:textId="77777777" w:rsidR="00695B0E" w:rsidRDefault="00917819">
      <w:pPr>
        <w:pStyle w:val="BodyText"/>
        <w:spacing w:before="123"/>
        <w:ind w:left="1752" w:right="1012"/>
      </w:pPr>
      <w:r>
        <w:t>The risk of exposing to income tax of this flash-title-transfer transaction, therefore, is considered high.</w:t>
      </w:r>
    </w:p>
    <w:p w14:paraId="5FA18D1F" w14:textId="77777777" w:rsidR="00695B0E" w:rsidRDefault="00917819">
      <w:pPr>
        <w:pStyle w:val="ListParagraph"/>
        <w:numPr>
          <w:ilvl w:val="0"/>
          <w:numId w:val="1"/>
        </w:numPr>
        <w:tabs>
          <w:tab w:val="left" w:pos="1752"/>
        </w:tabs>
        <w:ind w:right="307" w:hanging="342"/>
      </w:pPr>
      <w:r>
        <w:t>There is no clear mechanism on how to declare and pay taxes on this type of transactions under the current tax regulations. However, the taxing mechanism was guided/mentioned under the above</w:t>
      </w:r>
      <w:r>
        <w:rPr>
          <w:spacing w:val="-7"/>
        </w:rPr>
        <w:t xml:space="preserve"> </w:t>
      </w:r>
      <w:r>
        <w:t>OLs;</w:t>
      </w:r>
    </w:p>
    <w:p w14:paraId="5FA18D20" w14:textId="77777777" w:rsidR="00695B0E" w:rsidRDefault="00917819">
      <w:pPr>
        <w:pStyle w:val="ListParagraph"/>
        <w:numPr>
          <w:ilvl w:val="0"/>
          <w:numId w:val="1"/>
        </w:numPr>
        <w:tabs>
          <w:tab w:val="left" w:pos="1752"/>
        </w:tabs>
        <w:spacing w:line="237" w:lineRule="auto"/>
        <w:ind w:right="258"/>
        <w:rPr>
          <w:sz w:val="14"/>
        </w:rPr>
      </w:pPr>
      <w:r>
        <w:t xml:space="preserve">In practice, the policy makers are becoming well aware of this kind of business model and may insist to tax by carrying out tax audits at the bonded warehouse management or the logistics companies, on the basis that the bonded warehouse managers are required to notify </w:t>
      </w:r>
      <w:r>
        <w:rPr>
          <w:u w:val="single"/>
        </w:rPr>
        <w:t>the Customs Office regarding the transfer of ownership of goods stored at the bonded warehouse for management and supervision</w:t>
      </w:r>
      <w:r>
        <w:t xml:space="preserve"> under the Customs</w:t>
      </w:r>
      <w:r>
        <w:rPr>
          <w:spacing w:val="-6"/>
        </w:rPr>
        <w:t xml:space="preserve"> </w:t>
      </w:r>
      <w:r>
        <w:t>regulations.</w:t>
      </w:r>
      <w:hyperlink w:anchor="_bookmark1" w:history="1">
        <w:r>
          <w:rPr>
            <w:position w:val="8"/>
            <w:sz w:val="14"/>
          </w:rPr>
          <w:t>2</w:t>
        </w:r>
      </w:hyperlink>
    </w:p>
    <w:p w14:paraId="5FA18D21" w14:textId="77777777" w:rsidR="00695B0E" w:rsidRDefault="00917819">
      <w:pPr>
        <w:pStyle w:val="ListParagraph"/>
        <w:numPr>
          <w:ilvl w:val="0"/>
          <w:numId w:val="1"/>
        </w:numPr>
        <w:tabs>
          <w:tab w:val="left" w:pos="1752"/>
        </w:tabs>
        <w:spacing w:before="126" w:line="237" w:lineRule="auto"/>
        <w:ind w:right="423" w:hanging="342"/>
        <w:rPr>
          <w:sz w:val="14"/>
        </w:rPr>
      </w:pPr>
      <w:r>
        <w:t>The “</w:t>
      </w:r>
      <w:r>
        <w:rPr>
          <w:i/>
        </w:rPr>
        <w:t>substance over form principle</w:t>
      </w:r>
      <w:r>
        <w:t xml:space="preserve">” was enacted under the Law on Tax Administration 2019 which is effective from 01 July 2020, being the principle applied </w:t>
      </w:r>
      <w:r>
        <w:rPr>
          <w:spacing w:val="-3"/>
        </w:rPr>
        <w:t xml:space="preserve">in </w:t>
      </w:r>
      <w:r>
        <w:t>tax administration to analyze transactions and business activities of taxpayers to determine the corresponding tax</w:t>
      </w:r>
      <w:r>
        <w:rPr>
          <w:spacing w:val="-12"/>
        </w:rPr>
        <w:t xml:space="preserve"> </w:t>
      </w:r>
      <w:r>
        <w:t>obligations.</w:t>
      </w:r>
      <w:hyperlink w:anchor="_bookmark2" w:history="1">
        <w:r>
          <w:rPr>
            <w:position w:val="8"/>
            <w:sz w:val="14"/>
          </w:rPr>
          <w:t>3</w:t>
        </w:r>
      </w:hyperlink>
    </w:p>
    <w:p w14:paraId="5FA18D22" w14:textId="77777777" w:rsidR="00695B0E" w:rsidRDefault="00917819">
      <w:pPr>
        <w:pStyle w:val="ListParagraph"/>
        <w:numPr>
          <w:ilvl w:val="0"/>
          <w:numId w:val="1"/>
        </w:numPr>
        <w:tabs>
          <w:tab w:val="left" w:pos="1752"/>
        </w:tabs>
        <w:spacing w:before="122" w:line="237" w:lineRule="auto"/>
        <w:ind w:left="1751" w:right="316"/>
      </w:pPr>
      <w:r>
        <w:t xml:space="preserve">Given the above, the absence of taxing mechanism would not reduce the level of tax risk since (i) the transaction is taxable </w:t>
      </w:r>
      <w:r>
        <w:rPr>
          <w:spacing w:val="-3"/>
        </w:rPr>
        <w:t xml:space="preserve">in </w:t>
      </w:r>
      <w:r>
        <w:t>principle and (ii) a number of OLs have confirmed taxing mechanism in practice. Since the responsibilities to withhold, declare and pay taxes rests with income payment organization</w:t>
      </w:r>
      <w:r>
        <w:rPr>
          <w:spacing w:val="-33"/>
        </w:rPr>
        <w:t xml:space="preserve"> </w:t>
      </w:r>
      <w:r>
        <w:t>(i.e.</w:t>
      </w:r>
    </w:p>
    <w:p w14:paraId="5FA18D23" w14:textId="63F5CE7F" w:rsidR="00695B0E" w:rsidRDefault="00B35573">
      <w:pPr>
        <w:pStyle w:val="BodyText"/>
        <w:spacing w:before="5"/>
        <w:ind w:left="1752" w:right="805"/>
      </w:pPr>
      <w:r w:rsidRPr="00B2070B">
        <w:rPr>
          <w:b/>
          <w:bCs/>
        </w:rPr>
        <w:t>Client</w:t>
      </w:r>
      <w:r w:rsidR="00917819" w:rsidRPr="00B2070B">
        <w:rPr>
          <w:b/>
          <w:bCs/>
        </w:rPr>
        <w:t xml:space="preserve"> TW</w:t>
      </w:r>
      <w:r w:rsidR="00917819">
        <w:t>) in practice, it is recommended that a private ruling should be obtained from the local tax authorities to confirm the tax position of the transaction and the mechanism to declare and pay taxes in Vietnam.</w:t>
      </w:r>
    </w:p>
    <w:p w14:paraId="5FA18D24" w14:textId="77777777" w:rsidR="00695B0E" w:rsidRDefault="00695B0E">
      <w:pPr>
        <w:pStyle w:val="BodyText"/>
        <w:rPr>
          <w:sz w:val="20"/>
        </w:rPr>
      </w:pPr>
    </w:p>
    <w:p w14:paraId="5FA18D25" w14:textId="77777777" w:rsidR="00695B0E" w:rsidRDefault="00695B0E">
      <w:pPr>
        <w:pStyle w:val="BodyText"/>
        <w:rPr>
          <w:sz w:val="20"/>
        </w:rPr>
      </w:pPr>
    </w:p>
    <w:p w14:paraId="5FA18D26" w14:textId="77777777" w:rsidR="00695B0E" w:rsidRDefault="00695B0E">
      <w:pPr>
        <w:pStyle w:val="BodyText"/>
        <w:rPr>
          <w:sz w:val="20"/>
        </w:rPr>
      </w:pPr>
    </w:p>
    <w:p w14:paraId="5FA18D27" w14:textId="77777777" w:rsidR="00695B0E" w:rsidRDefault="00695B0E">
      <w:pPr>
        <w:pStyle w:val="BodyText"/>
        <w:rPr>
          <w:sz w:val="20"/>
        </w:rPr>
      </w:pPr>
    </w:p>
    <w:p w14:paraId="5FA18D28" w14:textId="77777777" w:rsidR="00695B0E" w:rsidRDefault="00695B0E">
      <w:pPr>
        <w:pStyle w:val="BodyText"/>
        <w:rPr>
          <w:sz w:val="20"/>
        </w:rPr>
      </w:pPr>
    </w:p>
    <w:p w14:paraId="5FA18D29" w14:textId="77777777" w:rsidR="00695B0E" w:rsidRDefault="00695B0E">
      <w:pPr>
        <w:pStyle w:val="BodyText"/>
        <w:rPr>
          <w:sz w:val="20"/>
        </w:rPr>
      </w:pPr>
    </w:p>
    <w:p w14:paraId="5FA18D2A" w14:textId="77777777" w:rsidR="00695B0E" w:rsidRDefault="00695B0E">
      <w:pPr>
        <w:pStyle w:val="BodyText"/>
        <w:rPr>
          <w:sz w:val="20"/>
        </w:rPr>
      </w:pPr>
    </w:p>
    <w:p w14:paraId="5FA18D2B" w14:textId="77777777" w:rsidR="00695B0E" w:rsidRDefault="00695B0E">
      <w:pPr>
        <w:pStyle w:val="BodyText"/>
        <w:rPr>
          <w:sz w:val="20"/>
        </w:rPr>
      </w:pPr>
    </w:p>
    <w:p w14:paraId="5FA18D2C" w14:textId="77777777" w:rsidR="00695B0E" w:rsidRDefault="00695B0E">
      <w:pPr>
        <w:pStyle w:val="BodyText"/>
        <w:rPr>
          <w:sz w:val="20"/>
        </w:rPr>
      </w:pPr>
    </w:p>
    <w:p w14:paraId="5FA18D2D" w14:textId="77777777" w:rsidR="00695B0E" w:rsidRDefault="00695B0E">
      <w:pPr>
        <w:pStyle w:val="BodyText"/>
        <w:rPr>
          <w:sz w:val="20"/>
        </w:rPr>
      </w:pPr>
    </w:p>
    <w:p w14:paraId="5FA18D2E" w14:textId="77777777" w:rsidR="00695B0E" w:rsidRDefault="00695B0E">
      <w:pPr>
        <w:pStyle w:val="BodyText"/>
        <w:rPr>
          <w:sz w:val="20"/>
        </w:rPr>
      </w:pPr>
    </w:p>
    <w:p w14:paraId="5FA18D2F" w14:textId="77777777" w:rsidR="00695B0E" w:rsidRDefault="00695B0E">
      <w:pPr>
        <w:pStyle w:val="BodyText"/>
        <w:rPr>
          <w:sz w:val="20"/>
        </w:rPr>
      </w:pPr>
    </w:p>
    <w:p w14:paraId="5FA18D30" w14:textId="77777777" w:rsidR="00695B0E" w:rsidRDefault="00695B0E">
      <w:pPr>
        <w:pStyle w:val="BodyText"/>
        <w:rPr>
          <w:sz w:val="20"/>
        </w:rPr>
      </w:pPr>
    </w:p>
    <w:p w14:paraId="5FA18D31" w14:textId="77777777" w:rsidR="00695B0E" w:rsidRDefault="00695B0E">
      <w:pPr>
        <w:pStyle w:val="BodyText"/>
        <w:rPr>
          <w:sz w:val="20"/>
        </w:rPr>
      </w:pPr>
    </w:p>
    <w:p w14:paraId="5FA18D32" w14:textId="77777777" w:rsidR="00695B0E" w:rsidRDefault="00695B0E">
      <w:pPr>
        <w:pStyle w:val="BodyText"/>
        <w:rPr>
          <w:sz w:val="20"/>
        </w:rPr>
      </w:pPr>
    </w:p>
    <w:p w14:paraId="5FA18D33" w14:textId="77777777" w:rsidR="00695B0E" w:rsidRDefault="00695B0E">
      <w:pPr>
        <w:pStyle w:val="BodyText"/>
        <w:rPr>
          <w:sz w:val="20"/>
        </w:rPr>
      </w:pPr>
    </w:p>
    <w:p w14:paraId="5FA18D34" w14:textId="77777777" w:rsidR="00695B0E" w:rsidRDefault="00695B0E">
      <w:pPr>
        <w:pStyle w:val="BodyText"/>
        <w:rPr>
          <w:sz w:val="20"/>
        </w:rPr>
      </w:pPr>
    </w:p>
    <w:p w14:paraId="5FA18D35" w14:textId="77777777" w:rsidR="00695B0E" w:rsidRDefault="00695B0E">
      <w:pPr>
        <w:pStyle w:val="BodyText"/>
        <w:rPr>
          <w:sz w:val="20"/>
        </w:rPr>
      </w:pPr>
    </w:p>
    <w:p w14:paraId="5FA18D36" w14:textId="77777777" w:rsidR="00695B0E" w:rsidRDefault="00695B0E">
      <w:pPr>
        <w:pStyle w:val="BodyText"/>
        <w:rPr>
          <w:sz w:val="20"/>
        </w:rPr>
      </w:pPr>
    </w:p>
    <w:p w14:paraId="5FA18D37" w14:textId="77777777" w:rsidR="00695B0E" w:rsidRDefault="00695B0E">
      <w:pPr>
        <w:pStyle w:val="BodyText"/>
        <w:rPr>
          <w:sz w:val="20"/>
        </w:rPr>
      </w:pPr>
    </w:p>
    <w:p w14:paraId="5FA18D38" w14:textId="77777777" w:rsidR="00695B0E" w:rsidRDefault="00C2207E">
      <w:pPr>
        <w:pStyle w:val="BodyText"/>
        <w:spacing w:before="11"/>
        <w:rPr>
          <w:sz w:val="23"/>
        </w:rPr>
      </w:pPr>
      <w:r>
        <w:pict w14:anchorId="5FA18D40">
          <v:shape id="_x0000_s1026" style="position:absolute;margin-left:130.55pt;margin-top:16pt;width:2in;height:.1pt;z-index:-251656192;mso-wrap-distance-left:0;mso-wrap-distance-right:0;mso-position-horizontal-relative:page" coordorigin="2611,320" coordsize="2880,0" path="m2611,320r2880,e" filled="f" strokeweight=".48pt">
            <v:path arrowok="t"/>
            <w10:wrap type="topAndBottom" anchorx="page"/>
          </v:shape>
        </w:pict>
      </w:r>
    </w:p>
    <w:p w14:paraId="5FA18D39" w14:textId="77777777" w:rsidR="00695B0E" w:rsidRDefault="00917819">
      <w:pPr>
        <w:spacing w:before="62"/>
        <w:ind w:left="1411" w:right="415"/>
        <w:rPr>
          <w:sz w:val="18"/>
        </w:rPr>
      </w:pPr>
      <w:bookmarkStart w:id="1" w:name="_bookmark1"/>
      <w:bookmarkEnd w:id="1"/>
      <w:r>
        <w:rPr>
          <w:position w:val="6"/>
          <w:sz w:val="12"/>
        </w:rPr>
        <w:t xml:space="preserve">2 </w:t>
      </w:r>
      <w:r>
        <w:rPr>
          <w:sz w:val="18"/>
        </w:rPr>
        <w:t>Clause 9, Article 91, Circular No 38/2015/TT-BTC dated 25 March 2015, amend by Clause 59, Article 1, Circular No 39/2018/TT-BTC dated 20 April 2018 on Customs procedures</w:t>
      </w:r>
    </w:p>
    <w:p w14:paraId="5FA18D3A" w14:textId="77777777" w:rsidR="00695B0E" w:rsidRDefault="00917819">
      <w:pPr>
        <w:spacing w:line="206" w:lineRule="exact"/>
        <w:ind w:left="1411"/>
        <w:rPr>
          <w:sz w:val="18"/>
        </w:rPr>
      </w:pPr>
      <w:bookmarkStart w:id="2" w:name="_bookmark2"/>
      <w:bookmarkEnd w:id="2"/>
      <w:r>
        <w:rPr>
          <w:position w:val="6"/>
          <w:sz w:val="12"/>
        </w:rPr>
        <w:t xml:space="preserve">3 </w:t>
      </w:r>
      <w:r>
        <w:rPr>
          <w:sz w:val="18"/>
        </w:rPr>
        <w:t>Point 25, Article 3, Law on Tax Administration No 38/2019/QH14</w:t>
      </w:r>
    </w:p>
    <w:sectPr w:rsidR="00695B0E">
      <w:pgSz w:w="11910" w:h="16840"/>
      <w:pgMar w:top="1920" w:right="980" w:bottom="1240" w:left="1200" w:header="1306"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618B4" w14:textId="77777777" w:rsidR="005B5233" w:rsidRDefault="005B5233">
      <w:r>
        <w:separator/>
      </w:r>
    </w:p>
  </w:endnote>
  <w:endnote w:type="continuationSeparator" w:id="0">
    <w:p w14:paraId="2AAC2A1F" w14:textId="77777777" w:rsidR="005B5233" w:rsidRDefault="005B5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8D44" w14:textId="6C2D4796" w:rsidR="00695B0E" w:rsidRDefault="00C2207E">
    <w:pPr>
      <w:pStyle w:val="BodyText"/>
      <w:spacing w:line="14" w:lineRule="auto"/>
      <w:rPr>
        <w:sz w:val="20"/>
      </w:rPr>
    </w:pPr>
    <w:r>
      <w:pict w14:anchorId="5FA18D4C">
        <v:shapetype id="_x0000_t202" coordsize="21600,21600" o:spt="202" path="m,l,21600r21600,l21600,xe">
          <v:stroke joinstyle="miter"/>
          <v:path gradientshapeok="t" o:connecttype="rect"/>
        </v:shapetype>
        <v:shape id="_x0000_s2050" type="#_x0000_t202" style="position:absolute;margin-left:326.6pt;margin-top:778.15pt;width:122.5pt;height:8.75pt;z-index:-251853824;mso-position-horizontal-relative:page;mso-position-vertical-relative:page" filled="f" stroked="f">
          <v:textbox inset="0,0,0,0">
            <w:txbxContent>
              <w:p w14:paraId="5FA18D51" w14:textId="77777777" w:rsidR="00695B0E" w:rsidRDefault="00917819">
                <w:pPr>
                  <w:spacing w:before="16"/>
                  <w:ind w:left="20"/>
                  <w:rPr>
                    <w:b/>
                    <w:sz w:val="12"/>
                  </w:rPr>
                </w:pPr>
                <w:r>
                  <w:rPr>
                    <w:sz w:val="12"/>
                  </w:rPr>
                  <w:t xml:space="preserve">Document classification: </w:t>
                </w:r>
                <w:r>
                  <w:rPr>
                    <w:b/>
                    <w:sz w:val="12"/>
                  </w:rPr>
                  <w:t>KPMG Confidential</w:t>
                </w:r>
              </w:p>
            </w:txbxContent>
          </v:textbox>
          <w10:wrap anchorx="page" anchory="page"/>
        </v:shape>
      </w:pict>
    </w:r>
    <w:r>
      <w:pict w14:anchorId="5FA18D4D">
        <v:shape id="_x0000_s2049" type="#_x0000_t202" style="position:absolute;margin-left:517.8pt;margin-top:778.15pt;width:9.35pt;height:8.75pt;z-index:-251852800;mso-position-horizontal-relative:page;mso-position-vertical-relative:page" filled="f" stroked="f">
          <v:textbox inset="0,0,0,0">
            <w:txbxContent>
              <w:p w14:paraId="5FA18D52" w14:textId="77777777" w:rsidR="00695B0E" w:rsidRDefault="00917819">
                <w:pPr>
                  <w:spacing w:before="16"/>
                  <w:ind w:left="60"/>
                  <w:rPr>
                    <w:sz w:val="12"/>
                  </w:rPr>
                </w:pPr>
                <w:r>
                  <w:fldChar w:fldCharType="begin"/>
                </w:r>
                <w:r>
                  <w:rPr>
                    <w:w w:val="99"/>
                    <w:sz w:val="12"/>
                  </w:rPr>
                  <w:instrText xml:space="preserve"> PAGE </w:instrText>
                </w:r>
                <w:r>
                  <w:fldChar w:fldCharType="separate"/>
                </w:r>
                <w:r>
                  <w:t>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D79D3" w14:textId="77777777" w:rsidR="005B5233" w:rsidRDefault="005B5233">
      <w:r>
        <w:separator/>
      </w:r>
    </w:p>
  </w:footnote>
  <w:footnote w:type="continuationSeparator" w:id="0">
    <w:p w14:paraId="4F1AD952" w14:textId="77777777" w:rsidR="005B5233" w:rsidRDefault="005B5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8D43" w14:textId="3B75B537" w:rsidR="00695B0E" w:rsidRDefault="00695B0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9400C"/>
    <w:multiLevelType w:val="hybridMultilevel"/>
    <w:tmpl w:val="BCD6F1B8"/>
    <w:lvl w:ilvl="0" w:tplc="A5589B7E">
      <w:numFmt w:val="bullet"/>
      <w:lvlText w:val="-"/>
      <w:lvlJc w:val="left"/>
      <w:pPr>
        <w:ind w:left="1231" w:hanging="360"/>
      </w:pPr>
      <w:rPr>
        <w:rFonts w:ascii="Arial" w:eastAsia="Arial" w:hAnsi="Arial" w:cs="Arial" w:hint="default"/>
        <w:w w:val="100"/>
        <w:sz w:val="22"/>
        <w:szCs w:val="22"/>
        <w:lang w:val="en-US" w:eastAsia="en-US" w:bidi="en-US"/>
      </w:rPr>
    </w:lvl>
    <w:lvl w:ilvl="1" w:tplc="DC8432E4">
      <w:numFmt w:val="bullet"/>
      <w:lvlText w:val="•"/>
      <w:lvlJc w:val="left"/>
      <w:pPr>
        <w:ind w:left="1700" w:hanging="360"/>
      </w:pPr>
      <w:rPr>
        <w:rFonts w:hint="default"/>
        <w:lang w:val="en-US" w:eastAsia="en-US" w:bidi="en-US"/>
      </w:rPr>
    </w:lvl>
    <w:lvl w:ilvl="2" w:tplc="C9348CD8">
      <w:numFmt w:val="bullet"/>
      <w:lvlText w:val="•"/>
      <w:lvlJc w:val="left"/>
      <w:pPr>
        <w:ind w:left="2160" w:hanging="360"/>
      </w:pPr>
      <w:rPr>
        <w:rFonts w:hint="default"/>
        <w:lang w:val="en-US" w:eastAsia="en-US" w:bidi="en-US"/>
      </w:rPr>
    </w:lvl>
    <w:lvl w:ilvl="3" w:tplc="CA5E12F2">
      <w:numFmt w:val="bullet"/>
      <w:lvlText w:val="•"/>
      <w:lvlJc w:val="left"/>
      <w:pPr>
        <w:ind w:left="2620" w:hanging="360"/>
      </w:pPr>
      <w:rPr>
        <w:rFonts w:hint="default"/>
        <w:lang w:val="en-US" w:eastAsia="en-US" w:bidi="en-US"/>
      </w:rPr>
    </w:lvl>
    <w:lvl w:ilvl="4" w:tplc="514E71C8">
      <w:numFmt w:val="bullet"/>
      <w:lvlText w:val="•"/>
      <w:lvlJc w:val="left"/>
      <w:pPr>
        <w:ind w:left="3080" w:hanging="360"/>
      </w:pPr>
      <w:rPr>
        <w:rFonts w:hint="default"/>
        <w:lang w:val="en-US" w:eastAsia="en-US" w:bidi="en-US"/>
      </w:rPr>
    </w:lvl>
    <w:lvl w:ilvl="5" w:tplc="6E460FFE">
      <w:numFmt w:val="bullet"/>
      <w:lvlText w:val="•"/>
      <w:lvlJc w:val="left"/>
      <w:pPr>
        <w:ind w:left="3540" w:hanging="360"/>
      </w:pPr>
      <w:rPr>
        <w:rFonts w:hint="default"/>
        <w:lang w:val="en-US" w:eastAsia="en-US" w:bidi="en-US"/>
      </w:rPr>
    </w:lvl>
    <w:lvl w:ilvl="6" w:tplc="F49C98E0">
      <w:numFmt w:val="bullet"/>
      <w:lvlText w:val="•"/>
      <w:lvlJc w:val="left"/>
      <w:pPr>
        <w:ind w:left="4000" w:hanging="360"/>
      </w:pPr>
      <w:rPr>
        <w:rFonts w:hint="default"/>
        <w:lang w:val="en-US" w:eastAsia="en-US" w:bidi="en-US"/>
      </w:rPr>
    </w:lvl>
    <w:lvl w:ilvl="7" w:tplc="72824488">
      <w:numFmt w:val="bullet"/>
      <w:lvlText w:val="•"/>
      <w:lvlJc w:val="left"/>
      <w:pPr>
        <w:ind w:left="4460" w:hanging="360"/>
      </w:pPr>
      <w:rPr>
        <w:rFonts w:hint="default"/>
        <w:lang w:val="en-US" w:eastAsia="en-US" w:bidi="en-US"/>
      </w:rPr>
    </w:lvl>
    <w:lvl w:ilvl="8" w:tplc="A2425E7C">
      <w:numFmt w:val="bullet"/>
      <w:lvlText w:val="•"/>
      <w:lvlJc w:val="left"/>
      <w:pPr>
        <w:ind w:left="4920" w:hanging="360"/>
      </w:pPr>
      <w:rPr>
        <w:rFonts w:hint="default"/>
        <w:lang w:val="en-US" w:eastAsia="en-US" w:bidi="en-US"/>
      </w:rPr>
    </w:lvl>
  </w:abstractNum>
  <w:abstractNum w:abstractNumId="1" w15:restartNumberingAfterBreak="0">
    <w:nsid w:val="51B85818"/>
    <w:multiLevelType w:val="hybridMultilevel"/>
    <w:tmpl w:val="A9189286"/>
    <w:lvl w:ilvl="0" w:tplc="CD028376">
      <w:numFmt w:val="bullet"/>
      <w:lvlText w:val="-"/>
      <w:lvlJc w:val="left"/>
      <w:pPr>
        <w:ind w:left="2131" w:hanging="360"/>
      </w:pPr>
      <w:rPr>
        <w:rFonts w:ascii="Arial" w:eastAsia="Arial" w:hAnsi="Arial" w:cs="Arial" w:hint="default"/>
        <w:w w:val="100"/>
        <w:sz w:val="22"/>
        <w:szCs w:val="22"/>
        <w:lang w:val="en-US" w:eastAsia="en-US" w:bidi="en-US"/>
      </w:rPr>
    </w:lvl>
    <w:lvl w:ilvl="1" w:tplc="B32E9434">
      <w:numFmt w:val="bullet"/>
      <w:lvlText w:val="o"/>
      <w:lvlJc w:val="left"/>
      <w:pPr>
        <w:ind w:left="2851" w:hanging="361"/>
      </w:pPr>
      <w:rPr>
        <w:rFonts w:ascii="Courier New" w:eastAsia="Courier New" w:hAnsi="Courier New" w:cs="Courier New" w:hint="default"/>
        <w:w w:val="100"/>
        <w:sz w:val="22"/>
        <w:szCs w:val="22"/>
        <w:lang w:val="en-US" w:eastAsia="en-US" w:bidi="en-US"/>
      </w:rPr>
    </w:lvl>
    <w:lvl w:ilvl="2" w:tplc="F934D8F0">
      <w:numFmt w:val="bullet"/>
      <w:lvlText w:val="•"/>
      <w:lvlJc w:val="left"/>
      <w:pPr>
        <w:ind w:left="3623" w:hanging="361"/>
      </w:pPr>
      <w:rPr>
        <w:rFonts w:hint="default"/>
        <w:lang w:val="en-US" w:eastAsia="en-US" w:bidi="en-US"/>
      </w:rPr>
    </w:lvl>
    <w:lvl w:ilvl="3" w:tplc="1CFC642E">
      <w:numFmt w:val="bullet"/>
      <w:lvlText w:val="•"/>
      <w:lvlJc w:val="left"/>
      <w:pPr>
        <w:ind w:left="4386" w:hanging="361"/>
      </w:pPr>
      <w:rPr>
        <w:rFonts w:hint="default"/>
        <w:lang w:val="en-US" w:eastAsia="en-US" w:bidi="en-US"/>
      </w:rPr>
    </w:lvl>
    <w:lvl w:ilvl="4" w:tplc="A6FA6CAE">
      <w:numFmt w:val="bullet"/>
      <w:lvlText w:val="•"/>
      <w:lvlJc w:val="left"/>
      <w:pPr>
        <w:ind w:left="5149" w:hanging="361"/>
      </w:pPr>
      <w:rPr>
        <w:rFonts w:hint="default"/>
        <w:lang w:val="en-US" w:eastAsia="en-US" w:bidi="en-US"/>
      </w:rPr>
    </w:lvl>
    <w:lvl w:ilvl="5" w:tplc="AB8CB288">
      <w:numFmt w:val="bullet"/>
      <w:lvlText w:val="•"/>
      <w:lvlJc w:val="left"/>
      <w:pPr>
        <w:ind w:left="5912" w:hanging="361"/>
      </w:pPr>
      <w:rPr>
        <w:rFonts w:hint="default"/>
        <w:lang w:val="en-US" w:eastAsia="en-US" w:bidi="en-US"/>
      </w:rPr>
    </w:lvl>
    <w:lvl w:ilvl="6" w:tplc="7AFEE03C">
      <w:numFmt w:val="bullet"/>
      <w:lvlText w:val="•"/>
      <w:lvlJc w:val="left"/>
      <w:pPr>
        <w:ind w:left="6676" w:hanging="361"/>
      </w:pPr>
      <w:rPr>
        <w:rFonts w:hint="default"/>
        <w:lang w:val="en-US" w:eastAsia="en-US" w:bidi="en-US"/>
      </w:rPr>
    </w:lvl>
    <w:lvl w:ilvl="7" w:tplc="F39E7792">
      <w:numFmt w:val="bullet"/>
      <w:lvlText w:val="•"/>
      <w:lvlJc w:val="left"/>
      <w:pPr>
        <w:ind w:left="7439" w:hanging="361"/>
      </w:pPr>
      <w:rPr>
        <w:rFonts w:hint="default"/>
        <w:lang w:val="en-US" w:eastAsia="en-US" w:bidi="en-US"/>
      </w:rPr>
    </w:lvl>
    <w:lvl w:ilvl="8" w:tplc="941207A4">
      <w:numFmt w:val="bullet"/>
      <w:lvlText w:val="•"/>
      <w:lvlJc w:val="left"/>
      <w:pPr>
        <w:ind w:left="8202" w:hanging="361"/>
      </w:pPr>
      <w:rPr>
        <w:rFonts w:hint="default"/>
        <w:lang w:val="en-US" w:eastAsia="en-US" w:bidi="en-US"/>
      </w:rPr>
    </w:lvl>
  </w:abstractNum>
  <w:abstractNum w:abstractNumId="2" w15:restartNumberingAfterBreak="0">
    <w:nsid w:val="53A41225"/>
    <w:multiLevelType w:val="hybridMultilevel"/>
    <w:tmpl w:val="79089D7A"/>
    <w:lvl w:ilvl="0" w:tplc="FFF87958">
      <w:numFmt w:val="bullet"/>
      <w:lvlText w:val="—"/>
      <w:lvlJc w:val="left"/>
      <w:pPr>
        <w:ind w:left="1752" w:hanging="341"/>
      </w:pPr>
      <w:rPr>
        <w:rFonts w:ascii="Arial" w:eastAsia="Arial" w:hAnsi="Arial" w:cs="Arial" w:hint="default"/>
        <w:spacing w:val="-33"/>
        <w:w w:val="100"/>
        <w:sz w:val="24"/>
        <w:szCs w:val="24"/>
        <w:lang w:val="en-US" w:eastAsia="en-US" w:bidi="en-US"/>
      </w:rPr>
    </w:lvl>
    <w:lvl w:ilvl="1" w:tplc="88E400EC">
      <w:numFmt w:val="bullet"/>
      <w:lvlText w:val="o"/>
      <w:lvlJc w:val="left"/>
      <w:pPr>
        <w:ind w:left="2131" w:hanging="361"/>
      </w:pPr>
      <w:rPr>
        <w:rFonts w:ascii="Courier New" w:eastAsia="Courier New" w:hAnsi="Courier New" w:cs="Courier New" w:hint="default"/>
        <w:w w:val="100"/>
        <w:sz w:val="22"/>
        <w:szCs w:val="22"/>
        <w:lang w:val="en-US" w:eastAsia="en-US" w:bidi="en-US"/>
      </w:rPr>
    </w:lvl>
    <w:lvl w:ilvl="2" w:tplc="D82A457C">
      <w:numFmt w:val="bullet"/>
      <w:lvlText w:val="•"/>
      <w:lvlJc w:val="left"/>
      <w:pPr>
        <w:ind w:left="2983" w:hanging="361"/>
      </w:pPr>
      <w:rPr>
        <w:rFonts w:hint="default"/>
        <w:lang w:val="en-US" w:eastAsia="en-US" w:bidi="en-US"/>
      </w:rPr>
    </w:lvl>
    <w:lvl w:ilvl="3" w:tplc="09D212A0">
      <w:numFmt w:val="bullet"/>
      <w:lvlText w:val="•"/>
      <w:lvlJc w:val="left"/>
      <w:pPr>
        <w:ind w:left="3826" w:hanging="361"/>
      </w:pPr>
      <w:rPr>
        <w:rFonts w:hint="default"/>
        <w:lang w:val="en-US" w:eastAsia="en-US" w:bidi="en-US"/>
      </w:rPr>
    </w:lvl>
    <w:lvl w:ilvl="4" w:tplc="DFEE5F1A">
      <w:numFmt w:val="bullet"/>
      <w:lvlText w:val="•"/>
      <w:lvlJc w:val="left"/>
      <w:pPr>
        <w:ind w:left="4669" w:hanging="361"/>
      </w:pPr>
      <w:rPr>
        <w:rFonts w:hint="default"/>
        <w:lang w:val="en-US" w:eastAsia="en-US" w:bidi="en-US"/>
      </w:rPr>
    </w:lvl>
    <w:lvl w:ilvl="5" w:tplc="D2BC17D6">
      <w:numFmt w:val="bullet"/>
      <w:lvlText w:val="•"/>
      <w:lvlJc w:val="left"/>
      <w:pPr>
        <w:ind w:left="5512" w:hanging="361"/>
      </w:pPr>
      <w:rPr>
        <w:rFonts w:hint="default"/>
        <w:lang w:val="en-US" w:eastAsia="en-US" w:bidi="en-US"/>
      </w:rPr>
    </w:lvl>
    <w:lvl w:ilvl="6" w:tplc="CCD2363E">
      <w:numFmt w:val="bullet"/>
      <w:lvlText w:val="•"/>
      <w:lvlJc w:val="left"/>
      <w:pPr>
        <w:ind w:left="6356" w:hanging="361"/>
      </w:pPr>
      <w:rPr>
        <w:rFonts w:hint="default"/>
        <w:lang w:val="en-US" w:eastAsia="en-US" w:bidi="en-US"/>
      </w:rPr>
    </w:lvl>
    <w:lvl w:ilvl="7" w:tplc="77E8647C">
      <w:numFmt w:val="bullet"/>
      <w:lvlText w:val="•"/>
      <w:lvlJc w:val="left"/>
      <w:pPr>
        <w:ind w:left="7199" w:hanging="361"/>
      </w:pPr>
      <w:rPr>
        <w:rFonts w:hint="default"/>
        <w:lang w:val="en-US" w:eastAsia="en-US" w:bidi="en-US"/>
      </w:rPr>
    </w:lvl>
    <w:lvl w:ilvl="8" w:tplc="88EA155A">
      <w:numFmt w:val="bullet"/>
      <w:lvlText w:val="•"/>
      <w:lvlJc w:val="left"/>
      <w:pPr>
        <w:ind w:left="8042" w:hanging="361"/>
      </w:pPr>
      <w:rPr>
        <w:rFonts w:hint="default"/>
        <w:lang w:val="en-US" w:eastAsia="en-US" w:bidi="en-U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95B0E"/>
    <w:rsid w:val="001801E4"/>
    <w:rsid w:val="00276CDA"/>
    <w:rsid w:val="00462E35"/>
    <w:rsid w:val="005B5233"/>
    <w:rsid w:val="00662DB2"/>
    <w:rsid w:val="00695B0E"/>
    <w:rsid w:val="007675C6"/>
    <w:rsid w:val="00844C76"/>
    <w:rsid w:val="00917819"/>
    <w:rsid w:val="00B2070B"/>
    <w:rsid w:val="00B35573"/>
    <w:rsid w:val="00C2207E"/>
    <w:rsid w:val="00F20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FA18CDB"/>
  <w15:docId w15:val="{0250DCAB-9415-4B87-A443-41D56DA5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94"/>
      <w:ind w:left="1411" w:hanging="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8"/>
      <w:ind w:left="2131" w:hanging="360"/>
    </w:pPr>
  </w:style>
  <w:style w:type="paragraph" w:customStyle="1" w:styleId="TableParagraph">
    <w:name w:val="Table Paragraph"/>
    <w:basedOn w:val="Normal"/>
    <w:uiPriority w:val="1"/>
    <w:qFormat/>
    <w:pPr>
      <w:spacing w:before="1"/>
      <w:ind w:left="1231"/>
    </w:pPr>
  </w:style>
  <w:style w:type="paragraph" w:styleId="Header">
    <w:name w:val="header"/>
    <w:basedOn w:val="Normal"/>
    <w:link w:val="HeaderChar"/>
    <w:uiPriority w:val="99"/>
    <w:unhideWhenUsed/>
    <w:rsid w:val="007675C6"/>
    <w:pPr>
      <w:tabs>
        <w:tab w:val="center" w:pos="4680"/>
        <w:tab w:val="right" w:pos="9360"/>
      </w:tabs>
    </w:pPr>
  </w:style>
  <w:style w:type="character" w:customStyle="1" w:styleId="HeaderChar">
    <w:name w:val="Header Char"/>
    <w:basedOn w:val="DefaultParagraphFont"/>
    <w:link w:val="Header"/>
    <w:uiPriority w:val="99"/>
    <w:rsid w:val="007675C6"/>
    <w:rPr>
      <w:rFonts w:ascii="Arial" w:eastAsia="Arial" w:hAnsi="Arial" w:cs="Arial"/>
      <w:lang w:bidi="en-US"/>
    </w:rPr>
  </w:style>
  <w:style w:type="paragraph" w:styleId="Footer">
    <w:name w:val="footer"/>
    <w:basedOn w:val="Normal"/>
    <w:link w:val="FooterChar"/>
    <w:uiPriority w:val="99"/>
    <w:unhideWhenUsed/>
    <w:rsid w:val="007675C6"/>
    <w:pPr>
      <w:tabs>
        <w:tab w:val="center" w:pos="4680"/>
        <w:tab w:val="right" w:pos="9360"/>
      </w:tabs>
    </w:pPr>
  </w:style>
  <w:style w:type="character" w:customStyle="1" w:styleId="FooterChar">
    <w:name w:val="Footer Char"/>
    <w:basedOn w:val="DefaultParagraphFont"/>
    <w:link w:val="Footer"/>
    <w:uiPriority w:val="99"/>
    <w:rsid w:val="007675C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Le, Thi Kieu Nga</DisplayName>
        <AccountId>182</AccountId>
        <AccountType/>
      </UserInfo>
    </PIC>
    <MIC xmlns="bd94fe42-bbdc-4890-86f8-1cce7b488dc1">
      <UserInfo>
        <DisplayName>Pho, Thi My Hanh</DisplayName>
        <AccountId>31</AccountId>
        <AccountType/>
      </UserInfo>
    </MIC>
    <Year xmlns="bd94fe42-bbdc-4890-86f8-1cce7b488dc1">2022</Year>
    <Taxissue xmlns="bd94fe42-bbdc-4890-86f8-1cce7b488dc1">
      <Value>FCT</Value>
      <Value>CIT</Value>
    </Taxissue>
    <Industry xmlns="bd94fe42-bbdc-4890-86f8-1cce7b488dc1">General</Industry>
  </documentManagement>
</p:properties>
</file>

<file path=customXml/itemProps1.xml><?xml version="1.0" encoding="utf-8"?>
<ds:datastoreItem xmlns:ds="http://schemas.openxmlformats.org/officeDocument/2006/customXml" ds:itemID="{FEDE63CE-0727-45C6-B94A-960A2F467B7A}"/>
</file>

<file path=customXml/itemProps2.xml><?xml version="1.0" encoding="utf-8"?>
<ds:datastoreItem xmlns:ds="http://schemas.openxmlformats.org/officeDocument/2006/customXml" ds:itemID="{BFA9C509-E5C3-4562-B129-ADD0D7FABAF0}"/>
</file>

<file path=customXml/itemProps3.xml><?xml version="1.0" encoding="utf-8"?>
<ds:datastoreItem xmlns:ds="http://schemas.openxmlformats.org/officeDocument/2006/customXml" ds:itemID="{01A29E40-0632-498E-BD9E-17B721194BE4}"/>
</file>

<file path=docProps/app.xml><?xml version="1.0" encoding="utf-8"?>
<Properties xmlns="http://schemas.openxmlformats.org/officeDocument/2006/extended-properties" xmlns:vt="http://schemas.openxmlformats.org/officeDocument/2006/docPropsVTypes">
  <Template>Normal.dotm</Template>
  <TotalTime>17</TotalTime>
  <Pages>3</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 on 21 October 2020 Virtual meeting via Microsoft Teams</dc:title>
  <dc:creator>KPMG</dc:creator>
  <cp:lastModifiedBy>Chu, Minh Long</cp:lastModifiedBy>
  <cp:revision>11</cp:revision>
  <dcterms:created xsi:type="dcterms:W3CDTF">2022-11-14T02:17:00Z</dcterms:created>
  <dcterms:modified xsi:type="dcterms:W3CDTF">2022-11-15T02:42:00Z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2020-11-02T00:00:00Z</vt:filetime>
  </property>
  <property fmtid="{D5CDD505-2E9C-101B-9397-08002B2CF9AE}" pid="3" name="Creator">
    <vt:lpwstr>Acrobat PDFMaker 17 for Word</vt:lpwstr>
  </property>
  <property fmtid="{D5CDD505-2E9C-101B-9397-08002B2CF9AE}" pid="4" name="LastSaved">
    <vt:filetime>2022-11-14T00:00:00Z</vt:filetime>
  </property>
  <property fmtid="{D5CDD505-2E9C-101B-9397-08002B2CF9AE}" pid="5" name="ContentTypeId">
    <vt:lpwstr>0x01010027D393A4D99C844D9A4B971B2D400DEB</vt:lpwstr>
  </property>
</Properties>
</file>