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8A130" w14:textId="77777777" w:rsidR="00F15482" w:rsidRDefault="00F15482" w:rsidP="00F15482"/>
    <w:p w14:paraId="195C9731" w14:textId="77777777" w:rsidR="00F15482" w:rsidRDefault="00F15482" w:rsidP="00F15482"/>
    <w:p w14:paraId="1020E3BB" w14:textId="77777777" w:rsidR="00F15482" w:rsidRDefault="00F15482" w:rsidP="00F15482"/>
    <w:p w14:paraId="58CD47DC" w14:textId="7CDE97EC" w:rsidR="00F15482" w:rsidRDefault="00F15482" w:rsidP="00EC79B0">
      <w:pPr>
        <w:jc w:val="center"/>
      </w:pPr>
      <w:r>
        <w:rPr>
          <w:b/>
          <w:caps/>
        </w:rPr>
        <w:t xml:space="preserve">DATED </w:t>
      </w:r>
      <w:r w:rsidR="003D6537">
        <w:rPr>
          <w:b/>
          <w:caps/>
          <w:highlight w:val="green"/>
        </w:rPr>
        <w:t>[B15]</w:t>
      </w:r>
    </w:p>
    <w:tbl>
      <w:tblPr>
        <w:tblW w:w="0" w:type="auto"/>
        <w:tblLayout w:type="fixed"/>
        <w:tblLook w:val="04A0" w:firstRow="1" w:lastRow="0" w:firstColumn="1" w:lastColumn="0" w:noHBand="0" w:noVBand="1"/>
      </w:tblPr>
      <w:tblGrid>
        <w:gridCol w:w="9289"/>
      </w:tblGrid>
      <w:tr w:rsidR="00F15482" w14:paraId="405FF9F3" w14:textId="77777777" w:rsidTr="00CC1AB2">
        <w:trPr>
          <w:trHeight w:val="6100"/>
        </w:trPr>
        <w:tc>
          <w:tcPr>
            <w:tcW w:w="9289" w:type="dxa"/>
            <w:vAlign w:val="center"/>
          </w:tcPr>
          <w:p w14:paraId="564AB556" w14:textId="77777777" w:rsidR="00F15482" w:rsidRDefault="00F15482" w:rsidP="00CC1AB2">
            <w:pPr>
              <w:pStyle w:val="BodyText"/>
              <w:jc w:val="center"/>
            </w:pPr>
            <w:r>
              <w:rPr>
                <w:b/>
              </w:rPr>
              <w:t>IA CAPITAL STRUCTURES (IRELAND) PLC</w:t>
            </w:r>
          </w:p>
          <w:p w14:paraId="0B1B8C19" w14:textId="77777777" w:rsidR="00F15482" w:rsidRDefault="00F15482" w:rsidP="00CC1AB2">
            <w:pPr>
              <w:pStyle w:val="BodyText"/>
            </w:pPr>
          </w:p>
          <w:p w14:paraId="3ADA451E" w14:textId="77777777" w:rsidR="00F15482" w:rsidRDefault="00F15482" w:rsidP="00CC1AB2">
            <w:pPr>
              <w:pStyle w:val="BodyText"/>
            </w:pPr>
          </w:p>
          <w:p w14:paraId="00216CA0" w14:textId="10A71CA8" w:rsidR="00D107EE" w:rsidRDefault="00D107EE" w:rsidP="00D107EE">
            <w:pPr>
              <w:pStyle w:val="BodyText"/>
              <w:jc w:val="center"/>
              <w:rPr>
                <w:b/>
              </w:rPr>
            </w:pPr>
            <w:r>
              <w:rPr>
                <w:b/>
                <w:highlight w:val="green"/>
              </w:rPr>
              <w:t>[B8] Notes due [B12]</w:t>
            </w:r>
          </w:p>
          <w:p w14:paraId="5E1E02D8" w14:textId="77777777" w:rsidR="00F15482" w:rsidRDefault="00F15482" w:rsidP="00CC1AB2">
            <w:pPr>
              <w:jc w:val="center"/>
            </w:pPr>
            <w:r>
              <w:rPr>
                <w:b/>
              </w:rPr>
              <w:t>issued under its € 5,000,000,000 Secured Note Programme</w:t>
            </w:r>
          </w:p>
        </w:tc>
      </w:tr>
    </w:tbl>
    <w:p w14:paraId="3D04C52E" w14:textId="77777777" w:rsidR="00F15482" w:rsidRDefault="00F15482" w:rsidP="00F15482"/>
    <w:p w14:paraId="7B0D50BF" w14:textId="77777777" w:rsidR="00F15482" w:rsidRDefault="00F15482" w:rsidP="00F15482"/>
    <w:p w14:paraId="48DFA3D3" w14:textId="77777777" w:rsidR="00F15482" w:rsidRDefault="00F15482" w:rsidP="00F15482"/>
    <w:p w14:paraId="469CB9D5" w14:textId="77777777" w:rsidR="00F15482" w:rsidRDefault="00F15482" w:rsidP="00F15482"/>
    <w:p w14:paraId="0591F49A" w14:textId="77777777" w:rsidR="00F15482" w:rsidRDefault="00F15482" w:rsidP="00F15482"/>
    <w:p w14:paraId="4B6171B7" w14:textId="77777777" w:rsidR="00F15482" w:rsidRDefault="00F15482" w:rsidP="00F15482">
      <w:pPr>
        <w:jc w:val="center"/>
      </w:pPr>
      <w:r>
        <w:rPr>
          <w:b/>
        </w:rPr>
        <w:t>SERIES MEMORANDUM</w:t>
      </w:r>
    </w:p>
    <w:p w14:paraId="7454550A" w14:textId="77777777" w:rsidR="00F15482" w:rsidRDefault="00F15482" w:rsidP="00F15482">
      <w:pPr>
        <w:jc w:val="center"/>
      </w:pPr>
    </w:p>
    <w:p w14:paraId="624F5F7C" w14:textId="77777777" w:rsidR="00F15482" w:rsidRDefault="00F15482" w:rsidP="00F15482"/>
    <w:p w14:paraId="1A0F05D2" w14:textId="77777777" w:rsidR="00F15482" w:rsidRDefault="00F15482" w:rsidP="00F15482"/>
    <w:tbl>
      <w:tblPr>
        <w:tblpPr w:leftFromText="181" w:rightFromText="181" w:horzAnchor="margin" w:tblpXSpec="center" w:tblpYSpec="bottom"/>
        <w:tblOverlap w:val="never"/>
        <w:tblW w:w="9285" w:type="dxa"/>
        <w:tblLayout w:type="fixed"/>
        <w:tblCellMar>
          <w:left w:w="0" w:type="dxa"/>
          <w:right w:w="0" w:type="dxa"/>
        </w:tblCellMar>
        <w:tblLook w:val="04A0" w:firstRow="1" w:lastRow="0" w:firstColumn="1" w:lastColumn="0" w:noHBand="0" w:noVBand="1"/>
      </w:tblPr>
      <w:tblGrid>
        <w:gridCol w:w="9285"/>
      </w:tblGrid>
      <w:tr w:rsidR="00F15482" w14:paraId="50AC1605" w14:textId="77777777" w:rsidTr="00CC1AB2">
        <w:tc>
          <w:tcPr>
            <w:tcW w:w="9291" w:type="dxa"/>
            <w:hideMark/>
          </w:tcPr>
          <w:p w14:paraId="4D5F00BC" w14:textId="77777777" w:rsidR="00F15482" w:rsidRDefault="00F15482" w:rsidP="00CC1AB2">
            <w:pPr>
              <w:jc w:val="center"/>
            </w:pPr>
          </w:p>
        </w:tc>
      </w:tr>
    </w:tbl>
    <w:p w14:paraId="74D5A2F7" w14:textId="77777777" w:rsidR="00F15482" w:rsidRDefault="00F15482" w:rsidP="00F15482"/>
    <w:p w14:paraId="42D9E62D" w14:textId="77777777" w:rsidR="00F15482" w:rsidRDefault="00F15482" w:rsidP="00F15482"/>
    <w:p w14:paraId="3C601D58" w14:textId="77777777" w:rsidR="00F15482" w:rsidRDefault="00F15482" w:rsidP="00F15482"/>
    <w:p w14:paraId="4E52A05F" w14:textId="77777777" w:rsidR="00F15482" w:rsidRDefault="00F15482" w:rsidP="00F15482"/>
    <w:p w14:paraId="52DF2976" w14:textId="77777777" w:rsidR="00F15482" w:rsidRDefault="00F15482" w:rsidP="00F15482"/>
    <w:p w14:paraId="5646829C" w14:textId="77777777" w:rsidR="00F15482" w:rsidRDefault="00F15482" w:rsidP="00F15482"/>
    <w:p w14:paraId="6A0D8657" w14:textId="77777777" w:rsidR="00F15482" w:rsidRDefault="00F15482" w:rsidP="00F15482"/>
    <w:p w14:paraId="23E7B87C" w14:textId="77777777" w:rsidR="00F15482" w:rsidRDefault="00F15482" w:rsidP="00F15482"/>
    <w:p w14:paraId="0B9D30B6" w14:textId="77777777" w:rsidR="00F15482" w:rsidRDefault="00F15482" w:rsidP="00F15482"/>
    <w:p w14:paraId="28626A6B" w14:textId="77777777" w:rsidR="00F15482" w:rsidRDefault="00F15482" w:rsidP="00F15482"/>
    <w:p w14:paraId="62995C77" w14:textId="77777777" w:rsidR="00F15482" w:rsidRDefault="00F15482" w:rsidP="00F15482"/>
    <w:p w14:paraId="307D3A04" w14:textId="77777777" w:rsidR="00F15482" w:rsidRDefault="00F15482" w:rsidP="00F15482">
      <w:pPr>
        <w:jc w:val="center"/>
        <w:sectPr w:rsidR="00F15482">
          <w:headerReference w:type="default" r:id="rId10"/>
          <w:footerReference w:type="even" r:id="rId11"/>
          <w:footerReference w:type="default" r:id="rId12"/>
          <w:footerReference w:type="first" r:id="rId13"/>
          <w:pgSz w:w="11907" w:h="16840"/>
          <w:pgMar w:top="1417" w:right="1417" w:bottom="1417" w:left="1417" w:header="709" w:footer="709" w:gutter="0"/>
          <w:cols w:space="720"/>
        </w:sectPr>
      </w:pPr>
    </w:p>
    <w:p w14:paraId="4F277DCC" w14:textId="77777777" w:rsidR="00F15482" w:rsidRDefault="00F15482" w:rsidP="00F15482">
      <w:pPr>
        <w:pStyle w:val="SCHEDULEHEADING-LEVEL1"/>
      </w:pPr>
      <w:r>
        <w:lastRenderedPageBreak/>
        <w:t>General</w:t>
      </w:r>
    </w:p>
    <w:p w14:paraId="3911ECDA" w14:textId="77777777" w:rsidR="00F15482" w:rsidRDefault="00F15482" w:rsidP="00F15482">
      <w:pPr>
        <w:pStyle w:val="BodyText"/>
      </w:pPr>
      <w:r>
        <w:t>This Series Memorandum (as used herein, this “</w:t>
      </w:r>
      <w:r>
        <w:rPr>
          <w:b/>
        </w:rPr>
        <w:t>Series Memorandum</w:t>
      </w:r>
      <w:r>
        <w:t>”) is prepared in connection with the EUR 5,000,000,000 Secured Note Programme (the “</w:t>
      </w:r>
      <w:r>
        <w:rPr>
          <w:b/>
        </w:rPr>
        <w:t>Programme</w:t>
      </w:r>
      <w:r>
        <w:t>”) of IA Capital Structures (Ireland) plc (the “</w:t>
      </w:r>
      <w:r>
        <w:rPr>
          <w:b/>
        </w:rPr>
        <w:t>Issuer</w:t>
      </w:r>
      <w:r>
        <w:t>”) and is issued in conjunction with, and incorporates by reference the contents of, the Programme Memorandum dated 15 March 2012 relating to the Programme (the “</w:t>
      </w:r>
      <w:r>
        <w:rPr>
          <w:b/>
        </w:rPr>
        <w:t>Programme Memorandum</w:t>
      </w:r>
      <w:r>
        <w:t xml:space="preserve">”). </w:t>
      </w:r>
    </w:p>
    <w:p w14:paraId="7FB836B1" w14:textId="77777777" w:rsidR="00F15482" w:rsidRDefault="00F15482" w:rsidP="00F15482">
      <w:pPr>
        <w:pStyle w:val="BodyText"/>
      </w:pPr>
      <w:r>
        <w:t>Neither this Series Memorandum nor the Programme Memorandum constitutes a prospectus for the purposes of the Prospectus Directive.</w:t>
      </w:r>
    </w:p>
    <w:p w14:paraId="591719CA" w14:textId="77777777" w:rsidR="00F15482" w:rsidRDefault="00F15482" w:rsidP="00F15482">
      <w:pPr>
        <w:pStyle w:val="BodyText"/>
      </w:pPr>
      <w:r>
        <w:t>This document should be read in conjunction with the Programme Memorandum and the Master Conditions (March 2014 Edition).  Save where the context otherwise requires, terms defined in the Programme Memorandum have the same meaning when used in this Series Memorandum.</w:t>
      </w:r>
    </w:p>
    <w:p w14:paraId="66452D07" w14:textId="10A04B0E" w:rsidR="00F15482" w:rsidRDefault="00F15482" w:rsidP="00F15482">
      <w:pPr>
        <w:pStyle w:val="BodyText"/>
      </w:pPr>
      <w:r>
        <w:t>Subject as set out below the Issuer accepts responsibility for the information contained in this Series Memorandum other than the information in the sections (i) Information relating to the Portfolio Management Agreement, (ii) Information relating to the Arranger</w:t>
      </w:r>
      <w:r>
        <w:rPr>
          <w:noProof/>
        </w:rPr>
        <w:t xml:space="preserve">, </w:t>
      </w:r>
      <w:r w:rsidR="00086A7D">
        <w:rPr>
          <w:noProof/>
        </w:rPr>
        <w:t>Broker Dealer of Record</w:t>
      </w:r>
      <w:r>
        <w:rPr>
          <w:noProof/>
        </w:rPr>
        <w:t>, Placing Agent, Calculation Agent and Sale Agent, and (iii) Description of the Margin Account that relates to the Margin Account Provider</w:t>
      </w:r>
      <w:r>
        <w:t xml:space="preserve">.  To the best of the knowledge and belief of the Issuer (which has taken all reasonable care to ensure that such is the case), such information for which it accepts responsibility contained in this Series Memorandum is in accordance with the facts and does not omit anything likely to affect the import of such information.  The Issuer confirms that the information in the sections referred to in (i) to (iii) above has been accurately reproduced from information provided by (a) the Portfolio Manager, (b) the Arranger, </w:t>
      </w:r>
      <w:r w:rsidR="00086A7D">
        <w:t>Broker Dealer of Record</w:t>
      </w:r>
      <w:r>
        <w:t>, Placing Agent, Calculation Agent and Sale Agent, and (c) the Margin Account Provider, respectively, and as far as the Issuer is able to ascertain, no facts have been omitted which would render the reproduced information inaccurate or misleading.</w:t>
      </w:r>
    </w:p>
    <w:p w14:paraId="06DD4CCC" w14:textId="77777777" w:rsidR="00F15482" w:rsidRDefault="00F15482" w:rsidP="00F15482">
      <w:pPr>
        <w:pStyle w:val="BodyText"/>
      </w:pPr>
      <w:r>
        <w:t>This Series Memorandum does not constitute, and may not be used for the purposes of, an offer or solicitation by anyone in any jurisdiction in which such offer or solicitation is not authorised or to any person to whom it is unlawful to make such offer or solicitation, and no action is being taken to permit an offering of the Notes or the distribution of this Series Memorandum in any jurisdiction where such action is required.</w:t>
      </w:r>
    </w:p>
    <w:p w14:paraId="72D7ED1F" w14:textId="77777777" w:rsidR="00F15482" w:rsidRDefault="00F15482" w:rsidP="00F15482">
      <w:pPr>
        <w:pStyle w:val="BodyText"/>
      </w:pPr>
      <w:r>
        <w:t>No person has been authorised to give any information or to make representations other than those contained in this Series Memorandum in connection with the issue or sale of the Notes and, if given or made, such information or representations must not be relied upon as having been authorised by the Issuer, the Arranger, the Trustee or any of them.  Neither the delivery of this Series Memorandum nor any sale made in connection herewith shall, under any circumstances, create any implication that there has been no change in the affairs of the Issuer since the date hereof.</w:t>
      </w:r>
    </w:p>
    <w:p w14:paraId="60B0B53F" w14:textId="7ECCE36B" w:rsidR="00F15482" w:rsidRDefault="001920FF" w:rsidP="00F15482">
      <w:pPr>
        <w:pStyle w:val="BodyText"/>
      </w:pPr>
      <w:r>
        <w:t>Sanne Fiduciary Services Limited</w:t>
      </w:r>
      <w:r w:rsidR="00F15482">
        <w:t xml:space="preserve"> (the "</w:t>
      </w:r>
      <w:r w:rsidR="00F15482">
        <w:rPr>
          <w:b/>
        </w:rPr>
        <w:t>Trustee</w:t>
      </w:r>
      <w:r w:rsidR="00F15482">
        <w:t>") has not independently verified the information contained herein. Accordingly, no representation, warranty or undertaking is made, whether express or implied, and no responsibility or liability is accepted by the Trustee as to the accuracy, completeness or nature of the information contained in this Series Memorandum or with respect to the legality of investment in the Notes by any prospective investor or purchaser under applicable legal investment or similar laws or regulations.</w:t>
      </w:r>
    </w:p>
    <w:p w14:paraId="76261CCE" w14:textId="77777777" w:rsidR="00F15482" w:rsidRDefault="00F15482" w:rsidP="00F15482">
      <w:pPr>
        <w:pStyle w:val="BodyText"/>
      </w:pPr>
      <w:r>
        <w:t>Full information on the Issuer and the offer of the Notes is only available on the basis of the combination of the provisions set out within this Series Memorandum and the Programme Memorandum.</w:t>
      </w:r>
    </w:p>
    <w:p w14:paraId="2F2C12C2" w14:textId="77777777" w:rsidR="00F15482" w:rsidRDefault="00F15482" w:rsidP="00F15482">
      <w:pPr>
        <w:pStyle w:val="BodyText"/>
      </w:pPr>
      <w:r>
        <w:t>For as long as the Notes remain outstanding, copies of the following documents will be available for inspection in physical form during usual business hours on any weekday (Saturdays, Sundays and public holidays excepted) at the registered office of the Issuer:</w:t>
      </w:r>
    </w:p>
    <w:p w14:paraId="48D862FC" w14:textId="77777777" w:rsidR="00F15482" w:rsidRDefault="00F15482" w:rsidP="00F15482">
      <w:pPr>
        <w:pStyle w:val="BodyText"/>
      </w:pPr>
      <w:r>
        <w:t>(i)</w:t>
      </w:r>
      <w:r>
        <w:tab/>
        <w:t>This Series Memorandum and the Programme Memorandum;</w:t>
      </w:r>
    </w:p>
    <w:p w14:paraId="305A3477" w14:textId="77777777" w:rsidR="00F15482" w:rsidRDefault="00F15482" w:rsidP="00F15482">
      <w:pPr>
        <w:pStyle w:val="BodyText"/>
      </w:pPr>
      <w:r>
        <w:t>(ii)</w:t>
      </w:r>
      <w:r>
        <w:tab/>
        <w:t xml:space="preserve">The Constituting Instrument dated the Issue Date; and </w:t>
      </w:r>
    </w:p>
    <w:p w14:paraId="0F9B87AF" w14:textId="77777777" w:rsidR="00F15482" w:rsidRDefault="00F15482" w:rsidP="00F15482">
      <w:pPr>
        <w:pStyle w:val="BodyText"/>
      </w:pPr>
      <w:r>
        <w:lastRenderedPageBreak/>
        <w:t>(iii)</w:t>
      </w:r>
      <w:r>
        <w:tab/>
        <w:t>The Certificate of Incorporation and the Memorandum and Articles of Association of the Issuer.</w:t>
      </w:r>
    </w:p>
    <w:p w14:paraId="5CB0FEDE" w14:textId="14C3E599" w:rsidR="00F15482" w:rsidRDefault="00F15482" w:rsidP="00F15482">
      <w:pPr>
        <w:pStyle w:val="BodyText"/>
      </w:pPr>
      <w:r>
        <w:rPr>
          <w:b/>
          <w:i/>
        </w:rPr>
        <w:t>The Notes, which are described in this Series Memorandum, have not been, and will not be, registered under the United States Securities Act of 1933, as amended (the “Securities Act”) or the securities laws of any of the States of the United States.  Accordingly, the Notes are being offered and sold only in bearer form pursuant to the exemption afforded by Regulation S promulgated under the Securities Act solely outside of the United States and solely to non-U.S. persons and in specific reliance upon the representations by each Noteholder that (1) at the time of the offer and sale of the Notes to Noteholder, the Noteholder was not a U.S. Person as defined in Regulation S</w:t>
      </w:r>
      <w:r w:rsidR="00F162AB">
        <w:rPr>
          <w:b/>
          <w:i/>
        </w:rPr>
        <w:t xml:space="preserve"> promulgated under the Securities Act</w:t>
      </w:r>
      <w:r>
        <w:rPr>
          <w:b/>
          <w:i/>
        </w:rPr>
        <w:t>, and (2) at the time of the offer and sale of the Notes to Noteholder and, as of the date of the execution and delivery of the purchasing or subscription agreement by the Noteholder, the Noteholder was outside of the United States.  The Notes may not be offered or sold in the United States or to U.S. Persons (as defined in Regulation S) unless the securities are registered under the Securities Act, or an exemption from the registration requirements of the Securities Act is available.  The Notes are subject to certain United States tax law requirements.</w:t>
      </w:r>
    </w:p>
    <w:p w14:paraId="0D2E70A1" w14:textId="77777777" w:rsidR="00F15482" w:rsidRDefault="00F15482" w:rsidP="00F15482">
      <w:pPr>
        <w:pStyle w:val="BodyText"/>
      </w:pPr>
      <w:r>
        <w:rPr>
          <w:lang w:eastAsia="ja-JP"/>
        </w:rPr>
        <w:t xml:space="preserve">The </w:t>
      </w:r>
      <w:r>
        <w:t>following legend will appear on all Temporary or Permanent Global Notes and any Receipts, Coupons or Talons in respect thereof:</w:t>
      </w:r>
    </w:p>
    <w:p w14:paraId="49A38C22" w14:textId="77777777" w:rsidR="00F15482" w:rsidRDefault="00F15482" w:rsidP="00F15482">
      <w:pPr>
        <w:pStyle w:val="BodyText"/>
      </w:pPr>
      <w:r>
        <w:t>“</w:t>
      </w:r>
      <w:r>
        <w:rPr>
          <w:b/>
          <w:i/>
        </w:rPr>
        <w:t>ANY UNITED STATES PERSON WHO HOLDS THIS OBLIGATION WILL BE SUBJECT TO LIMITATIONS UNDER THE UNITED STATES INCOME TAX LAWS, INCLUDING THE LIMITATIONS PROVIDED IN SECTIONS 165(j) AND 1287(a) OF THE U.S. INTERNAL REVENUE CODE.</w:t>
      </w:r>
      <w:r>
        <w:t>”</w:t>
      </w:r>
    </w:p>
    <w:p w14:paraId="2243BE4F" w14:textId="77777777" w:rsidR="00F15482" w:rsidRDefault="00F15482" w:rsidP="00F15482">
      <w:pPr>
        <w:pStyle w:val="BodyText"/>
      </w:pPr>
      <w:r>
        <w:t>The sections of the U.S. Internal Revenue Code referred to in the foregoing legend provide that, with certain exceptions, a United States taxpayer will not be entitled to deduct any loss, and will not be entitled to capital gains treatment in respect of any gain realised, on any sale, disposition or payment of a Note, Receipt, Coupon or Talon for U.S. federal income tax purposes.</w:t>
      </w:r>
    </w:p>
    <w:p w14:paraId="1BE89AE4" w14:textId="77777777" w:rsidR="00F15482" w:rsidRDefault="00F15482" w:rsidP="00F15482">
      <w:pPr>
        <w:pStyle w:val="BodyText"/>
      </w:pPr>
      <w:r>
        <w:t>In relation to each Member State of the European Economic Area which has implemented the Prospectus Directive (each, a “</w:t>
      </w:r>
      <w:r>
        <w:rPr>
          <w:b/>
        </w:rPr>
        <w:t>Relevant Member State</w:t>
      </w:r>
      <w:r>
        <w:t xml:space="preserve">”), an offer of Notes to the public has not and may not be made in that Relevant Member State. </w:t>
      </w:r>
    </w:p>
    <w:p w14:paraId="458AED87" w14:textId="77777777" w:rsidR="00F15482" w:rsidRDefault="00F15482" w:rsidP="00F15482">
      <w:pPr>
        <w:pStyle w:val="BodyText"/>
      </w:pPr>
      <w:r>
        <w:t>The Notes are illiquid investments, the purchase of which involves substantial risks.  Any investor investing in the Notes should fully consider, understand and appreciate those risks.</w:t>
      </w:r>
    </w:p>
    <w:p w14:paraId="7DC71F91" w14:textId="77777777" w:rsidR="00F15482" w:rsidRDefault="00F15482" w:rsidP="00F15482">
      <w:pPr>
        <w:pStyle w:val="BodyText"/>
      </w:pPr>
      <w:r>
        <w:rPr>
          <w:b/>
        </w:rPr>
        <w:t>PARTICULAR ATTENTION IS DRAWN TO THE SECTION OF THIS SERIES MEMORANDUM HEADED “RISK FACTORS”.</w:t>
      </w:r>
    </w:p>
    <w:p w14:paraId="5B130179" w14:textId="77777777" w:rsidR="00F15482" w:rsidRDefault="00F15482" w:rsidP="00F15482">
      <w:pPr>
        <w:sectPr w:rsidR="00F15482">
          <w:pgSz w:w="11907" w:h="16840"/>
          <w:pgMar w:top="1418" w:right="1418" w:bottom="1418" w:left="1418" w:header="709" w:footer="709" w:gutter="0"/>
          <w:pgNumType w:fmt="lowerRoman" w:start="1"/>
          <w:cols w:space="720"/>
        </w:sectPr>
      </w:pPr>
    </w:p>
    <w:p w14:paraId="032C6C48" w14:textId="77777777" w:rsidR="00F15482" w:rsidRDefault="00F15482" w:rsidP="00F15482">
      <w:r>
        <w:rPr>
          <w:b/>
        </w:rPr>
        <w:lastRenderedPageBreak/>
        <w:t>CONTENTS</w:t>
      </w:r>
    </w:p>
    <w:p w14:paraId="5A42BA28" w14:textId="77777777" w:rsidR="00F15482" w:rsidRDefault="00F15482" w:rsidP="00F15482"/>
    <w:p w14:paraId="4CEC6C9F" w14:textId="77777777" w:rsidR="00F15482" w:rsidRDefault="00F15482" w:rsidP="00F15482">
      <w:r>
        <w:rPr>
          <w:b/>
        </w:rPr>
        <w:t>Page No</w:t>
      </w:r>
    </w:p>
    <w:p w14:paraId="250FE34F" w14:textId="77777777" w:rsidR="00F15482" w:rsidRDefault="00F15482" w:rsidP="00F15482"/>
    <w:p w14:paraId="079D3E2A" w14:textId="559C57BC" w:rsidR="00B90296" w:rsidRDefault="00F15482">
      <w:pPr>
        <w:pStyle w:val="TOC1"/>
        <w:rPr>
          <w:rFonts w:asciiTheme="minorHAnsi" w:eastAsiaTheme="minorEastAsia" w:hAnsiTheme="minorHAnsi" w:cstheme="minorBidi"/>
          <w:caps w:val="0"/>
          <w:noProof/>
          <w:sz w:val="22"/>
          <w:szCs w:val="22"/>
          <w:lang w:val="en-US" w:eastAsia="en-US"/>
        </w:rPr>
      </w:pPr>
      <w:r>
        <w:fldChar w:fldCharType="begin"/>
      </w:r>
      <w:r>
        <w:instrText xml:space="preserve"> TOC \t "PROSPECTUS - LEVEL 1,1" </w:instrText>
      </w:r>
      <w:r>
        <w:fldChar w:fldCharType="separate"/>
      </w:r>
      <w:r w:rsidR="00B90296">
        <w:rPr>
          <w:noProof/>
        </w:rPr>
        <w:t>Documents incorporated by reference</w:t>
      </w:r>
      <w:r w:rsidR="00B90296">
        <w:rPr>
          <w:noProof/>
        </w:rPr>
        <w:tab/>
      </w:r>
      <w:r w:rsidR="00B90296">
        <w:rPr>
          <w:noProof/>
        </w:rPr>
        <w:fldChar w:fldCharType="begin"/>
      </w:r>
      <w:r w:rsidR="00B90296">
        <w:rPr>
          <w:noProof/>
        </w:rPr>
        <w:instrText xml:space="preserve"> PAGEREF _Toc438553639 \h </w:instrText>
      </w:r>
      <w:r w:rsidR="00B90296">
        <w:rPr>
          <w:noProof/>
        </w:rPr>
      </w:r>
      <w:r w:rsidR="00B90296">
        <w:rPr>
          <w:noProof/>
        </w:rPr>
        <w:fldChar w:fldCharType="separate"/>
      </w:r>
      <w:r w:rsidR="00B90296">
        <w:rPr>
          <w:noProof/>
        </w:rPr>
        <w:t>2</w:t>
      </w:r>
      <w:r w:rsidR="00B90296">
        <w:rPr>
          <w:noProof/>
        </w:rPr>
        <w:fldChar w:fldCharType="end"/>
      </w:r>
    </w:p>
    <w:p w14:paraId="36668C3A" w14:textId="155AD813" w:rsidR="00B90296" w:rsidRDefault="00B90296">
      <w:pPr>
        <w:pStyle w:val="TOC1"/>
        <w:rPr>
          <w:rFonts w:asciiTheme="minorHAnsi" w:eastAsiaTheme="minorEastAsia" w:hAnsiTheme="minorHAnsi" w:cstheme="minorBidi"/>
          <w:caps w:val="0"/>
          <w:noProof/>
          <w:sz w:val="22"/>
          <w:szCs w:val="22"/>
          <w:lang w:val="en-US" w:eastAsia="en-US"/>
        </w:rPr>
      </w:pPr>
      <w:r>
        <w:rPr>
          <w:noProof/>
        </w:rPr>
        <w:t>Risk factors</w:t>
      </w:r>
      <w:r>
        <w:rPr>
          <w:noProof/>
        </w:rPr>
        <w:tab/>
      </w:r>
      <w:r>
        <w:rPr>
          <w:noProof/>
        </w:rPr>
        <w:fldChar w:fldCharType="begin"/>
      </w:r>
      <w:r>
        <w:rPr>
          <w:noProof/>
        </w:rPr>
        <w:instrText xml:space="preserve"> PAGEREF _Toc438553640 \h </w:instrText>
      </w:r>
      <w:r>
        <w:rPr>
          <w:noProof/>
        </w:rPr>
      </w:r>
      <w:r>
        <w:rPr>
          <w:noProof/>
        </w:rPr>
        <w:fldChar w:fldCharType="separate"/>
      </w:r>
      <w:r>
        <w:rPr>
          <w:noProof/>
        </w:rPr>
        <w:t>3</w:t>
      </w:r>
      <w:r>
        <w:rPr>
          <w:noProof/>
        </w:rPr>
        <w:fldChar w:fldCharType="end"/>
      </w:r>
    </w:p>
    <w:p w14:paraId="171E650A" w14:textId="2A01F397" w:rsidR="00B90296" w:rsidRDefault="00B90296">
      <w:pPr>
        <w:pStyle w:val="TOC1"/>
        <w:rPr>
          <w:rFonts w:asciiTheme="minorHAnsi" w:eastAsiaTheme="minorEastAsia" w:hAnsiTheme="minorHAnsi" w:cstheme="minorBidi"/>
          <w:caps w:val="0"/>
          <w:noProof/>
          <w:sz w:val="22"/>
          <w:szCs w:val="22"/>
          <w:lang w:val="en-US" w:eastAsia="en-US"/>
        </w:rPr>
      </w:pPr>
      <w:r>
        <w:rPr>
          <w:noProof/>
        </w:rPr>
        <w:t>Summary of the Transaction</w:t>
      </w:r>
      <w:r>
        <w:rPr>
          <w:noProof/>
        </w:rPr>
        <w:tab/>
      </w:r>
      <w:r>
        <w:rPr>
          <w:noProof/>
        </w:rPr>
        <w:fldChar w:fldCharType="begin"/>
      </w:r>
      <w:r>
        <w:rPr>
          <w:noProof/>
        </w:rPr>
        <w:instrText xml:space="preserve"> PAGEREF _Toc438553641 \h </w:instrText>
      </w:r>
      <w:r>
        <w:rPr>
          <w:noProof/>
        </w:rPr>
      </w:r>
      <w:r>
        <w:rPr>
          <w:noProof/>
        </w:rPr>
        <w:fldChar w:fldCharType="separate"/>
      </w:r>
      <w:r>
        <w:rPr>
          <w:noProof/>
        </w:rPr>
        <w:t>15</w:t>
      </w:r>
      <w:r>
        <w:rPr>
          <w:noProof/>
        </w:rPr>
        <w:fldChar w:fldCharType="end"/>
      </w:r>
    </w:p>
    <w:p w14:paraId="0416ED8E" w14:textId="60D81E4F" w:rsidR="00B90296" w:rsidRDefault="00B90296">
      <w:pPr>
        <w:pStyle w:val="TOC1"/>
        <w:rPr>
          <w:rFonts w:asciiTheme="minorHAnsi" w:eastAsiaTheme="minorEastAsia" w:hAnsiTheme="minorHAnsi" w:cstheme="minorBidi"/>
          <w:caps w:val="0"/>
          <w:noProof/>
          <w:sz w:val="22"/>
          <w:szCs w:val="22"/>
          <w:lang w:val="en-US" w:eastAsia="en-US"/>
        </w:rPr>
      </w:pPr>
      <w:r>
        <w:rPr>
          <w:noProof/>
        </w:rPr>
        <w:t>Conditions of the Notes</w:t>
      </w:r>
      <w:r>
        <w:rPr>
          <w:noProof/>
        </w:rPr>
        <w:tab/>
      </w:r>
      <w:r>
        <w:rPr>
          <w:noProof/>
        </w:rPr>
        <w:fldChar w:fldCharType="begin"/>
      </w:r>
      <w:r>
        <w:rPr>
          <w:noProof/>
        </w:rPr>
        <w:instrText xml:space="preserve"> PAGEREF _Toc438553642 \h </w:instrText>
      </w:r>
      <w:r>
        <w:rPr>
          <w:noProof/>
        </w:rPr>
      </w:r>
      <w:r>
        <w:rPr>
          <w:noProof/>
        </w:rPr>
        <w:fldChar w:fldCharType="separate"/>
      </w:r>
      <w:r>
        <w:rPr>
          <w:noProof/>
        </w:rPr>
        <w:t>20</w:t>
      </w:r>
      <w:r>
        <w:rPr>
          <w:noProof/>
        </w:rPr>
        <w:fldChar w:fldCharType="end"/>
      </w:r>
    </w:p>
    <w:p w14:paraId="7EA4078C" w14:textId="7DBAA382" w:rsidR="00B90296" w:rsidRDefault="00B90296">
      <w:pPr>
        <w:pStyle w:val="TOC1"/>
        <w:rPr>
          <w:rFonts w:asciiTheme="minorHAnsi" w:eastAsiaTheme="minorEastAsia" w:hAnsiTheme="minorHAnsi" w:cstheme="minorBidi"/>
          <w:caps w:val="0"/>
          <w:noProof/>
          <w:sz w:val="22"/>
          <w:szCs w:val="22"/>
          <w:lang w:val="en-US" w:eastAsia="en-US"/>
        </w:rPr>
      </w:pPr>
      <w:r>
        <w:rPr>
          <w:noProof/>
        </w:rPr>
        <w:t>Use of proceeds</w:t>
      </w:r>
      <w:r>
        <w:rPr>
          <w:noProof/>
        </w:rPr>
        <w:tab/>
      </w:r>
      <w:r>
        <w:rPr>
          <w:noProof/>
        </w:rPr>
        <w:fldChar w:fldCharType="begin"/>
      </w:r>
      <w:r>
        <w:rPr>
          <w:noProof/>
        </w:rPr>
        <w:instrText xml:space="preserve"> PAGEREF _Toc438553643 \h </w:instrText>
      </w:r>
      <w:r>
        <w:rPr>
          <w:noProof/>
        </w:rPr>
      </w:r>
      <w:r>
        <w:rPr>
          <w:noProof/>
        </w:rPr>
        <w:fldChar w:fldCharType="separate"/>
      </w:r>
      <w:r>
        <w:rPr>
          <w:noProof/>
        </w:rPr>
        <w:t>37</w:t>
      </w:r>
      <w:r>
        <w:rPr>
          <w:noProof/>
        </w:rPr>
        <w:fldChar w:fldCharType="end"/>
      </w:r>
    </w:p>
    <w:p w14:paraId="75C27114" w14:textId="10DFC16D" w:rsidR="00B90296" w:rsidRDefault="00B90296">
      <w:pPr>
        <w:pStyle w:val="TOC1"/>
        <w:rPr>
          <w:rFonts w:asciiTheme="minorHAnsi" w:eastAsiaTheme="minorEastAsia" w:hAnsiTheme="minorHAnsi" w:cstheme="minorBidi"/>
          <w:caps w:val="0"/>
          <w:noProof/>
          <w:sz w:val="22"/>
          <w:szCs w:val="22"/>
          <w:lang w:val="en-US" w:eastAsia="en-US"/>
        </w:rPr>
      </w:pPr>
      <w:r>
        <w:rPr>
          <w:noProof/>
        </w:rPr>
        <w:t>Information relating to the Charged Assets</w:t>
      </w:r>
      <w:r>
        <w:rPr>
          <w:noProof/>
        </w:rPr>
        <w:tab/>
      </w:r>
      <w:r>
        <w:rPr>
          <w:noProof/>
        </w:rPr>
        <w:fldChar w:fldCharType="begin"/>
      </w:r>
      <w:r>
        <w:rPr>
          <w:noProof/>
        </w:rPr>
        <w:instrText xml:space="preserve"> PAGEREF _Toc438553644 \h </w:instrText>
      </w:r>
      <w:r>
        <w:rPr>
          <w:noProof/>
        </w:rPr>
      </w:r>
      <w:r>
        <w:rPr>
          <w:noProof/>
        </w:rPr>
        <w:fldChar w:fldCharType="separate"/>
      </w:r>
      <w:r>
        <w:rPr>
          <w:noProof/>
        </w:rPr>
        <w:t>38</w:t>
      </w:r>
      <w:r>
        <w:rPr>
          <w:noProof/>
        </w:rPr>
        <w:fldChar w:fldCharType="end"/>
      </w:r>
    </w:p>
    <w:p w14:paraId="3F7909C5" w14:textId="442E4B7A" w:rsidR="00B90296" w:rsidRDefault="00B90296">
      <w:pPr>
        <w:pStyle w:val="TOC1"/>
        <w:rPr>
          <w:rFonts w:asciiTheme="minorHAnsi" w:eastAsiaTheme="minorEastAsia" w:hAnsiTheme="minorHAnsi" w:cstheme="minorBidi"/>
          <w:caps w:val="0"/>
          <w:noProof/>
          <w:sz w:val="22"/>
          <w:szCs w:val="22"/>
          <w:lang w:val="en-US" w:eastAsia="en-US"/>
        </w:rPr>
      </w:pPr>
      <w:r>
        <w:rPr>
          <w:noProof/>
        </w:rPr>
        <w:t>Description of the Margin Account</w:t>
      </w:r>
      <w:r>
        <w:rPr>
          <w:noProof/>
        </w:rPr>
        <w:tab/>
      </w:r>
      <w:r>
        <w:rPr>
          <w:noProof/>
        </w:rPr>
        <w:fldChar w:fldCharType="begin"/>
      </w:r>
      <w:r>
        <w:rPr>
          <w:noProof/>
        </w:rPr>
        <w:instrText xml:space="preserve"> PAGEREF _Toc438553645 \h </w:instrText>
      </w:r>
      <w:r>
        <w:rPr>
          <w:noProof/>
        </w:rPr>
      </w:r>
      <w:r>
        <w:rPr>
          <w:noProof/>
        </w:rPr>
        <w:fldChar w:fldCharType="separate"/>
      </w:r>
      <w:r>
        <w:rPr>
          <w:noProof/>
        </w:rPr>
        <w:t>39</w:t>
      </w:r>
      <w:r>
        <w:rPr>
          <w:noProof/>
        </w:rPr>
        <w:fldChar w:fldCharType="end"/>
      </w:r>
    </w:p>
    <w:p w14:paraId="2178AE00" w14:textId="472992E6" w:rsidR="00B90296" w:rsidRDefault="00B90296">
      <w:pPr>
        <w:pStyle w:val="TOC1"/>
        <w:rPr>
          <w:rFonts w:asciiTheme="minorHAnsi" w:eastAsiaTheme="minorEastAsia" w:hAnsiTheme="minorHAnsi" w:cstheme="minorBidi"/>
          <w:caps w:val="0"/>
          <w:noProof/>
          <w:sz w:val="22"/>
          <w:szCs w:val="22"/>
          <w:lang w:val="en-US" w:eastAsia="en-US"/>
        </w:rPr>
      </w:pPr>
      <w:r>
        <w:rPr>
          <w:noProof/>
        </w:rPr>
        <w:t>Description of the security arrangements in respect of the Notes</w:t>
      </w:r>
      <w:r>
        <w:rPr>
          <w:noProof/>
        </w:rPr>
        <w:tab/>
      </w:r>
      <w:r>
        <w:rPr>
          <w:noProof/>
        </w:rPr>
        <w:fldChar w:fldCharType="begin"/>
      </w:r>
      <w:r>
        <w:rPr>
          <w:noProof/>
        </w:rPr>
        <w:instrText xml:space="preserve"> PAGEREF _Toc438553646 \h </w:instrText>
      </w:r>
      <w:r>
        <w:rPr>
          <w:noProof/>
        </w:rPr>
      </w:r>
      <w:r>
        <w:rPr>
          <w:noProof/>
        </w:rPr>
        <w:fldChar w:fldCharType="separate"/>
      </w:r>
      <w:r>
        <w:rPr>
          <w:noProof/>
        </w:rPr>
        <w:t>42</w:t>
      </w:r>
      <w:r>
        <w:rPr>
          <w:noProof/>
        </w:rPr>
        <w:fldChar w:fldCharType="end"/>
      </w:r>
    </w:p>
    <w:p w14:paraId="2DB7EAE7" w14:textId="00BE5244" w:rsidR="00B90296" w:rsidRDefault="00B90296">
      <w:pPr>
        <w:pStyle w:val="TOC1"/>
        <w:rPr>
          <w:rFonts w:asciiTheme="minorHAnsi" w:eastAsiaTheme="minorEastAsia" w:hAnsiTheme="minorHAnsi" w:cstheme="minorBidi"/>
          <w:caps w:val="0"/>
          <w:noProof/>
          <w:sz w:val="22"/>
          <w:szCs w:val="22"/>
          <w:lang w:val="en-US" w:eastAsia="en-US"/>
        </w:rPr>
      </w:pPr>
      <w:r>
        <w:rPr>
          <w:noProof/>
        </w:rPr>
        <w:t>Information relating to the Portfolio Management Agreement</w:t>
      </w:r>
      <w:r>
        <w:rPr>
          <w:noProof/>
        </w:rPr>
        <w:tab/>
      </w:r>
      <w:r>
        <w:rPr>
          <w:noProof/>
        </w:rPr>
        <w:fldChar w:fldCharType="begin"/>
      </w:r>
      <w:r>
        <w:rPr>
          <w:noProof/>
        </w:rPr>
        <w:instrText xml:space="preserve"> PAGEREF _Toc438553647 \h </w:instrText>
      </w:r>
      <w:r>
        <w:rPr>
          <w:noProof/>
        </w:rPr>
      </w:r>
      <w:r>
        <w:rPr>
          <w:noProof/>
        </w:rPr>
        <w:fldChar w:fldCharType="separate"/>
      </w:r>
      <w:r>
        <w:rPr>
          <w:noProof/>
        </w:rPr>
        <w:t>45</w:t>
      </w:r>
      <w:r>
        <w:rPr>
          <w:noProof/>
        </w:rPr>
        <w:fldChar w:fldCharType="end"/>
      </w:r>
    </w:p>
    <w:p w14:paraId="03BB5C8A" w14:textId="20DB67CD" w:rsidR="00B90296" w:rsidRDefault="00B90296">
      <w:pPr>
        <w:pStyle w:val="TOC1"/>
        <w:rPr>
          <w:rFonts w:asciiTheme="minorHAnsi" w:eastAsiaTheme="minorEastAsia" w:hAnsiTheme="minorHAnsi" w:cstheme="minorBidi"/>
          <w:caps w:val="0"/>
          <w:noProof/>
          <w:sz w:val="22"/>
          <w:szCs w:val="22"/>
          <w:lang w:val="en-US" w:eastAsia="en-US"/>
        </w:rPr>
      </w:pPr>
      <w:r>
        <w:rPr>
          <w:noProof/>
        </w:rPr>
        <w:t>Information relating to the Arranger and Calculation Agent</w:t>
      </w:r>
      <w:r>
        <w:rPr>
          <w:noProof/>
        </w:rPr>
        <w:tab/>
      </w:r>
      <w:r>
        <w:rPr>
          <w:noProof/>
        </w:rPr>
        <w:fldChar w:fldCharType="begin"/>
      </w:r>
      <w:r>
        <w:rPr>
          <w:noProof/>
        </w:rPr>
        <w:instrText xml:space="preserve"> PAGEREF _Toc438553648 \h </w:instrText>
      </w:r>
      <w:r>
        <w:rPr>
          <w:noProof/>
        </w:rPr>
      </w:r>
      <w:r>
        <w:rPr>
          <w:noProof/>
        </w:rPr>
        <w:fldChar w:fldCharType="separate"/>
      </w:r>
      <w:r>
        <w:rPr>
          <w:noProof/>
        </w:rPr>
        <w:t>47</w:t>
      </w:r>
      <w:r>
        <w:rPr>
          <w:noProof/>
        </w:rPr>
        <w:fldChar w:fldCharType="end"/>
      </w:r>
    </w:p>
    <w:p w14:paraId="45D9CB96" w14:textId="77EE7DCF" w:rsidR="00B90296" w:rsidRDefault="00B90296">
      <w:pPr>
        <w:pStyle w:val="TOC1"/>
        <w:rPr>
          <w:rFonts w:asciiTheme="minorHAnsi" w:eastAsiaTheme="minorEastAsia" w:hAnsiTheme="minorHAnsi" w:cstheme="minorBidi"/>
          <w:caps w:val="0"/>
          <w:noProof/>
          <w:sz w:val="22"/>
          <w:szCs w:val="22"/>
          <w:lang w:val="en-US" w:eastAsia="en-US"/>
        </w:rPr>
      </w:pPr>
      <w:r>
        <w:rPr>
          <w:noProof/>
        </w:rPr>
        <w:t>Information relating to the Sale Agent and Placing Agent</w:t>
      </w:r>
      <w:r>
        <w:rPr>
          <w:noProof/>
        </w:rPr>
        <w:tab/>
      </w:r>
      <w:r>
        <w:rPr>
          <w:noProof/>
        </w:rPr>
        <w:fldChar w:fldCharType="begin"/>
      </w:r>
      <w:r>
        <w:rPr>
          <w:noProof/>
        </w:rPr>
        <w:instrText xml:space="preserve"> PAGEREF _Toc438553649 \h </w:instrText>
      </w:r>
      <w:r>
        <w:rPr>
          <w:noProof/>
        </w:rPr>
      </w:r>
      <w:r>
        <w:rPr>
          <w:noProof/>
        </w:rPr>
        <w:fldChar w:fldCharType="separate"/>
      </w:r>
      <w:r>
        <w:rPr>
          <w:noProof/>
        </w:rPr>
        <w:t>48</w:t>
      </w:r>
      <w:r>
        <w:rPr>
          <w:noProof/>
        </w:rPr>
        <w:fldChar w:fldCharType="end"/>
      </w:r>
    </w:p>
    <w:p w14:paraId="4F640ED6" w14:textId="0BBAFB2D" w:rsidR="00B90296" w:rsidRDefault="00B90296">
      <w:pPr>
        <w:pStyle w:val="TOC1"/>
        <w:rPr>
          <w:rFonts w:asciiTheme="minorHAnsi" w:eastAsiaTheme="minorEastAsia" w:hAnsiTheme="minorHAnsi" w:cstheme="minorBidi"/>
          <w:caps w:val="0"/>
          <w:noProof/>
          <w:sz w:val="22"/>
          <w:szCs w:val="22"/>
          <w:lang w:val="en-US" w:eastAsia="en-US"/>
        </w:rPr>
      </w:pPr>
      <w:r>
        <w:rPr>
          <w:noProof/>
        </w:rPr>
        <w:t>Information relating to the Issuer</w:t>
      </w:r>
      <w:r>
        <w:rPr>
          <w:noProof/>
        </w:rPr>
        <w:tab/>
      </w:r>
      <w:r>
        <w:rPr>
          <w:noProof/>
        </w:rPr>
        <w:fldChar w:fldCharType="begin"/>
      </w:r>
      <w:r>
        <w:rPr>
          <w:noProof/>
        </w:rPr>
        <w:instrText xml:space="preserve"> PAGEREF _Toc438553650 \h </w:instrText>
      </w:r>
      <w:r>
        <w:rPr>
          <w:noProof/>
        </w:rPr>
      </w:r>
      <w:r>
        <w:rPr>
          <w:noProof/>
        </w:rPr>
        <w:fldChar w:fldCharType="separate"/>
      </w:r>
      <w:r>
        <w:rPr>
          <w:noProof/>
        </w:rPr>
        <w:t>49</w:t>
      </w:r>
      <w:r>
        <w:rPr>
          <w:noProof/>
        </w:rPr>
        <w:fldChar w:fldCharType="end"/>
      </w:r>
    </w:p>
    <w:p w14:paraId="4C99FD4F" w14:textId="53696F9C" w:rsidR="00B90296" w:rsidRDefault="00B90296">
      <w:pPr>
        <w:pStyle w:val="TOC1"/>
        <w:rPr>
          <w:rFonts w:asciiTheme="minorHAnsi" w:eastAsiaTheme="minorEastAsia" w:hAnsiTheme="minorHAnsi" w:cstheme="minorBidi"/>
          <w:caps w:val="0"/>
          <w:noProof/>
          <w:sz w:val="22"/>
          <w:szCs w:val="22"/>
          <w:lang w:val="en-US" w:eastAsia="en-US"/>
        </w:rPr>
      </w:pPr>
      <w:r>
        <w:rPr>
          <w:noProof/>
        </w:rPr>
        <w:t>Selling restrictions</w:t>
      </w:r>
      <w:r>
        <w:rPr>
          <w:noProof/>
        </w:rPr>
        <w:tab/>
      </w:r>
      <w:r>
        <w:rPr>
          <w:noProof/>
        </w:rPr>
        <w:fldChar w:fldCharType="begin"/>
      </w:r>
      <w:r>
        <w:rPr>
          <w:noProof/>
        </w:rPr>
        <w:instrText xml:space="preserve"> PAGEREF _Toc438553651 \h </w:instrText>
      </w:r>
      <w:r>
        <w:rPr>
          <w:noProof/>
        </w:rPr>
      </w:r>
      <w:r>
        <w:rPr>
          <w:noProof/>
        </w:rPr>
        <w:fldChar w:fldCharType="separate"/>
      </w:r>
      <w:r>
        <w:rPr>
          <w:noProof/>
        </w:rPr>
        <w:t>51</w:t>
      </w:r>
      <w:r>
        <w:rPr>
          <w:noProof/>
        </w:rPr>
        <w:fldChar w:fldCharType="end"/>
      </w:r>
    </w:p>
    <w:p w14:paraId="4A97AA2C" w14:textId="0012A901" w:rsidR="00B90296" w:rsidRDefault="00B90296">
      <w:pPr>
        <w:pStyle w:val="TOC1"/>
        <w:rPr>
          <w:rFonts w:asciiTheme="minorHAnsi" w:eastAsiaTheme="minorEastAsia" w:hAnsiTheme="minorHAnsi" w:cstheme="minorBidi"/>
          <w:caps w:val="0"/>
          <w:noProof/>
          <w:sz w:val="22"/>
          <w:szCs w:val="22"/>
          <w:lang w:val="en-US" w:eastAsia="en-US"/>
        </w:rPr>
      </w:pPr>
      <w:r>
        <w:rPr>
          <w:noProof/>
        </w:rPr>
        <w:t>General information</w:t>
      </w:r>
      <w:r>
        <w:rPr>
          <w:noProof/>
        </w:rPr>
        <w:tab/>
      </w:r>
      <w:r>
        <w:rPr>
          <w:noProof/>
        </w:rPr>
        <w:fldChar w:fldCharType="begin"/>
      </w:r>
      <w:r>
        <w:rPr>
          <w:noProof/>
        </w:rPr>
        <w:instrText xml:space="preserve"> PAGEREF _Toc438553652 \h </w:instrText>
      </w:r>
      <w:r>
        <w:rPr>
          <w:noProof/>
        </w:rPr>
      </w:r>
      <w:r>
        <w:rPr>
          <w:noProof/>
        </w:rPr>
        <w:fldChar w:fldCharType="separate"/>
      </w:r>
      <w:r>
        <w:rPr>
          <w:noProof/>
        </w:rPr>
        <w:t>52</w:t>
      </w:r>
      <w:r>
        <w:rPr>
          <w:noProof/>
        </w:rPr>
        <w:fldChar w:fldCharType="end"/>
      </w:r>
    </w:p>
    <w:p w14:paraId="3FF68C06" w14:textId="041A7F96" w:rsidR="00F15482" w:rsidRDefault="00F15482" w:rsidP="00F15482">
      <w:r>
        <w:fldChar w:fldCharType="end"/>
      </w:r>
    </w:p>
    <w:p w14:paraId="70668A55" w14:textId="77777777" w:rsidR="00F15482" w:rsidRDefault="00F15482" w:rsidP="00F15482"/>
    <w:p w14:paraId="28D5DC03" w14:textId="77777777" w:rsidR="00F15482" w:rsidRDefault="00F15482" w:rsidP="00F15482">
      <w:pPr>
        <w:pStyle w:val="BodyText"/>
      </w:pPr>
    </w:p>
    <w:p w14:paraId="2F661F9B" w14:textId="77777777" w:rsidR="00F15482" w:rsidRDefault="00F15482" w:rsidP="00F15482">
      <w:pPr>
        <w:sectPr w:rsidR="00F15482">
          <w:pgSz w:w="11907" w:h="16840"/>
          <w:pgMar w:top="1418" w:right="1418" w:bottom="1418" w:left="1418" w:header="709" w:footer="709" w:gutter="0"/>
          <w:pgNumType w:start="1"/>
          <w:cols w:space="720"/>
        </w:sectPr>
      </w:pPr>
    </w:p>
    <w:p w14:paraId="7BD73FD7" w14:textId="77777777" w:rsidR="00F15482" w:rsidRDefault="00F15482" w:rsidP="00F15482">
      <w:pPr>
        <w:pStyle w:val="BodyText"/>
      </w:pPr>
    </w:p>
    <w:p w14:paraId="0BB926B3" w14:textId="77777777" w:rsidR="00F15482" w:rsidRDefault="00F15482" w:rsidP="00F15482">
      <w:pPr>
        <w:pStyle w:val="PROSPECTUS-LEVEL1"/>
      </w:pPr>
      <w:bookmarkStart w:id="0" w:name="_Toc438553639"/>
      <w:r>
        <w:t>Documents incorporated by reference</w:t>
      </w:r>
      <w:bookmarkEnd w:id="0"/>
    </w:p>
    <w:p w14:paraId="590E63CA" w14:textId="77777777" w:rsidR="00F15482" w:rsidRDefault="00F15482" w:rsidP="00F15482">
      <w:pPr>
        <w:pStyle w:val="BodyText"/>
      </w:pPr>
      <w:r>
        <w:t>The Programme Memorandum is incorporated in, and shall be taken to form part of this Series Memorandum.  This Series Memorandum must be read and construed in conjunction with the Programme Memorandum and shall be deemed to modify and supersede the contents of such document to the extent that a statement contained herein is inconsistent with such contents.</w:t>
      </w:r>
    </w:p>
    <w:p w14:paraId="18171028" w14:textId="77777777" w:rsidR="00F15482" w:rsidRDefault="00F15482" w:rsidP="00F15482">
      <w:pPr>
        <w:pStyle w:val="PROSPECTUS-LEVEL1"/>
      </w:pPr>
      <w:r>
        <w:rPr>
          <w:b w:val="0"/>
        </w:rPr>
        <w:br w:type="page"/>
      </w:r>
      <w:bookmarkStart w:id="1" w:name="_Toc438553640"/>
      <w:r>
        <w:lastRenderedPageBreak/>
        <w:t>Risk factors</w:t>
      </w:r>
      <w:bookmarkEnd w:id="1"/>
    </w:p>
    <w:p w14:paraId="47D384DB" w14:textId="77777777" w:rsidR="00F15482" w:rsidRDefault="00F15482" w:rsidP="00F15482">
      <w:pPr>
        <w:pStyle w:val="SCHEDULEHEADING-LEVEL1"/>
      </w:pPr>
      <w:r>
        <w:t>General</w:t>
      </w:r>
    </w:p>
    <w:p w14:paraId="189C937D" w14:textId="77777777" w:rsidR="00F15482" w:rsidRDefault="00F15482" w:rsidP="00F15482">
      <w:pPr>
        <w:pStyle w:val="BodyText"/>
      </w:pPr>
      <w:r>
        <w:t xml:space="preserve">The purchase of the Notes involves substantial risks.  Each prospective purchaser of the Notes should be familiar with instruments having characteristics similar to the Notes and should fully understand the terms of the Notes and the nature and extent of its exposure to risk of loss. </w:t>
      </w:r>
    </w:p>
    <w:p w14:paraId="49D2D24A" w14:textId="64DEB37D" w:rsidR="00F15482" w:rsidRDefault="00F15482" w:rsidP="00F15482">
      <w:pPr>
        <w:pStyle w:val="BodyText"/>
      </w:pPr>
      <w:r>
        <w:t>Before making an investment decision prospective purchasers of the Notes should conduct such independent investigation and analysis regarding the Issuer, the Portfolio Manager, the Charged Assets, the Notes and all other relevant persons and such market and economic factors as they deem appropriate to evaluate the merits and risks of an investment in</w:t>
      </w:r>
      <w:r w:rsidR="00F162AB">
        <w:t xml:space="preserve"> the Notes.  A</w:t>
      </w:r>
      <w:r>
        <w:t xml:space="preserve">s part of such independent investigation and analysis, prospective purchasers of Notes should consider carefully all the information set forth in this Series Memorandum and in the Programme Memorandum and the considerations set out below. </w:t>
      </w:r>
    </w:p>
    <w:p w14:paraId="37DA3D58" w14:textId="77777777" w:rsidR="00F15482" w:rsidRDefault="00F15482" w:rsidP="00F15482">
      <w:pPr>
        <w:pStyle w:val="BodyText"/>
      </w:pPr>
      <w:r>
        <w:t xml:space="preserve">Investment in the Notes is only suitable for investors who have the knowledge and experience in financial and business matters necessary to enable them to evaluate the information contained in this Series Memorandum and in the Programme Memorandum and the merits and risks of an investment in the Notes in the context of the investor’s own financial circumstances and investment objectives. </w:t>
      </w:r>
    </w:p>
    <w:p w14:paraId="4A70385A" w14:textId="77777777" w:rsidR="00F15482" w:rsidRDefault="00F15482" w:rsidP="00F15482">
      <w:pPr>
        <w:pStyle w:val="BodyText"/>
      </w:pPr>
      <w:r>
        <w:t xml:space="preserve">Investment in the Notes (or a participation therein) is only suitable for investors who: </w:t>
      </w:r>
    </w:p>
    <w:p w14:paraId="4E2EB74D" w14:textId="77777777" w:rsidR="00F15482" w:rsidRDefault="00F15482" w:rsidP="00F15482">
      <w:pPr>
        <w:pStyle w:val="BodyText"/>
      </w:pPr>
      <w:r>
        <w:t>(1)</w:t>
      </w:r>
      <w:r>
        <w:tab/>
        <w:t xml:space="preserve">are capable of bearing the economic risk of an investment in the Notes (or a participation therein) for a period up to and until the redemption of the Notes; </w:t>
      </w:r>
    </w:p>
    <w:p w14:paraId="713AE04F" w14:textId="77777777" w:rsidR="00F15482" w:rsidRDefault="00F15482" w:rsidP="00F15482">
      <w:pPr>
        <w:pStyle w:val="BodyText"/>
      </w:pPr>
      <w:r>
        <w:t>(2)</w:t>
      </w:r>
      <w:r>
        <w:tab/>
        <w:t xml:space="preserve">are acquiring an interest in the Notes (or a participation therein) for their own account for investment, not with a view to resale, distribution or other disposition of such interest (subject to any applicable law requiring that the disposition of the investor’s property be within its control); and </w:t>
      </w:r>
    </w:p>
    <w:p w14:paraId="7ABC20A5" w14:textId="77777777" w:rsidR="00F15482" w:rsidRDefault="00F15482" w:rsidP="00F15482">
      <w:pPr>
        <w:pStyle w:val="BodyText"/>
      </w:pPr>
      <w:r>
        <w:t>(3)</w:t>
      </w:r>
      <w:r>
        <w:tab/>
        <w:t xml:space="preserve">recognise that it may not be possible to make any transfer of the Notes (or a participation therein) for a substantial period of time, if at all. </w:t>
      </w:r>
    </w:p>
    <w:p w14:paraId="1E3D5401" w14:textId="77777777" w:rsidR="00F15482" w:rsidRDefault="00F15482" w:rsidP="00F15482">
      <w:pPr>
        <w:pStyle w:val="BodyText"/>
      </w:pPr>
      <w:r>
        <w:t xml:space="preserve">Each of the Issuer and the Arranger may, in its discretion, disregard interest shown by a prospective investor even though that investor satisfies the foregoing suitability standards. </w:t>
      </w:r>
    </w:p>
    <w:p w14:paraId="31CC59CB" w14:textId="77777777" w:rsidR="00F15482" w:rsidRDefault="00F15482" w:rsidP="00F15482">
      <w:pPr>
        <w:pStyle w:val="BodyText"/>
      </w:pPr>
      <w:r>
        <w:rPr>
          <w:b/>
        </w:rPr>
        <w:t xml:space="preserve">Each prospective investor should ensure that it fully understands the nature of the transaction into which it is entering and the nature and extent of its exposure to the risk of loss of all or a substantial part of its investment.  Attention is drawn, in particular, to the sections of the Programme Memorandum entitled “Conditions of the Notes - Security” and “Conditions of the Notes - Enforcement and Limited Recourse” and the sections in this Series Memorandum entitled “Information relating to the Portfolio Management Agreement” and “Information relating to the Charged Assets”. </w:t>
      </w:r>
    </w:p>
    <w:p w14:paraId="079D99C4" w14:textId="77777777" w:rsidR="00F15482" w:rsidRDefault="00F15482" w:rsidP="00F15482">
      <w:pPr>
        <w:pStyle w:val="SCHEDULEHEADING-LEVEL1"/>
      </w:pPr>
      <w:r>
        <w:rPr>
          <w:b w:val="0"/>
        </w:rPr>
        <w:br w:type="page"/>
      </w:r>
      <w:r>
        <w:lastRenderedPageBreak/>
        <w:t>Risks relating to the Issuer and Transaction Parties</w:t>
      </w:r>
    </w:p>
    <w:p w14:paraId="44209F96" w14:textId="77777777" w:rsidR="00F15482" w:rsidRDefault="00F15482" w:rsidP="00F15482">
      <w:pPr>
        <w:pStyle w:val="ScheduleHeading-Level2"/>
      </w:pPr>
      <w:r>
        <w:t>Special purpose company</w:t>
      </w:r>
    </w:p>
    <w:p w14:paraId="32971DDA" w14:textId="77777777" w:rsidR="00F15482" w:rsidRDefault="00F15482" w:rsidP="00F15482">
      <w:pPr>
        <w:pStyle w:val="BodyText"/>
      </w:pPr>
      <w:r>
        <w:t>The Issuer is a special purpose company and has been established for the purpose of issuing multiple Series of secured Notes under the Programme.  The Issuer has issued share capital only in the amount of EUR 38,100.  Should any unforeseen expenses or liabilities (which have not been provided for) arise, the Issuer may be unable to meet them, leading to an Event of Default under the Notes.</w:t>
      </w:r>
    </w:p>
    <w:p w14:paraId="6A60FE4C" w14:textId="77777777" w:rsidR="00F15482" w:rsidRDefault="00F15482" w:rsidP="00F15482">
      <w:pPr>
        <w:pStyle w:val="BodyText"/>
      </w:pPr>
      <w:r>
        <w:t>There is no certainty that Noteholders will recover any amounts payable under the Notes.  Due to the limited recourse nature of the Notes (see “</w:t>
      </w:r>
      <w:r>
        <w:rPr>
          <w:i/>
        </w:rPr>
        <w:t>Limited recourse</w:t>
      </w:r>
      <w:r>
        <w:t>” below), claims in respect of the Notes are limited to the proceeds of enforcement of the Mortgaged Property subject to the prior security interests of the Margin Account Provider and after the deduction of any applicable expenses.  In addition, if a claim is brought against the Issuer (whether under statute, common law or otherwise) which is not subject to such contractual limited recourse provisions, the only assets available to meet such claim would be the proceeds of the issuance of the Issuer’s ordinary shares and any transaction fees (see “</w:t>
      </w:r>
      <w:r>
        <w:rPr>
          <w:i/>
        </w:rPr>
        <w:t>Fees</w:t>
      </w:r>
      <w:r>
        <w:t>” below), to the extent any remain as at the date of such claim and are available to meet such claim.  The only other assets of the Issuer will be the assets on which each Series is secured, which will be subject to the prior security interests of the relevant Noteholders and any other secured parties under that Series.</w:t>
      </w:r>
    </w:p>
    <w:p w14:paraId="26089C1A" w14:textId="77777777" w:rsidR="00F15482" w:rsidRDefault="00F15482" w:rsidP="00F15482">
      <w:pPr>
        <w:pStyle w:val="ScheduleHeading-Level2"/>
      </w:pPr>
      <w:r>
        <w:t>Limited recourse</w:t>
      </w:r>
    </w:p>
    <w:p w14:paraId="335959E7" w14:textId="77777777" w:rsidR="00F15482" w:rsidRDefault="00F15482" w:rsidP="00F15482">
      <w:pPr>
        <w:pStyle w:val="BodyText"/>
      </w:pPr>
      <w:r>
        <w:t xml:space="preserve">The Notes will be limited recourse obligations of the Issuer secured on the Mortgaged Property (including the Charged Assets) and are not or will not (as the case may be) be obligations or responsibilities of, or guaranteed by, any other person or entity.  </w:t>
      </w:r>
      <w:r>
        <w:rPr>
          <w:b/>
        </w:rPr>
        <w:t>For the avoidance of doubt, none of the Trustee, the Arranger, the Portfolio Manager, any other Agent appointed by the Issuer or any other person has any obligation to any Noteholder for payment of any amount by the Issuer in respect of the Notes.  There is no person that guarantees to Noteholders that they will recover any amounts payable under the Notes.</w:t>
      </w:r>
    </w:p>
    <w:p w14:paraId="05DABF33" w14:textId="77777777" w:rsidR="00F15482" w:rsidRDefault="00F15482" w:rsidP="00F15482">
      <w:pPr>
        <w:pStyle w:val="BodyText"/>
      </w:pPr>
      <w:r>
        <w:t>The ability of the Issuer to meet its obligations in respect of the Notes will be dependent on the receipt by the Issuer of moneys due to it under the Mortgaged Property (including the Charged Assets comprised therein).  The Noteholders shall have no recourse to the Issuer beyond the moneys derived by or on behalf of the Issuer in respect of the Mortgaged Property.  To the extent that investment by the Issuer in the Charged Assets held by the Issuer results in such investment being less than the obligations of the Issuer under the Notes, the Issuer will have insufficient funds available to meet its obligations in respect of the Notes.  In such event, any shortfall would be borne by the Noteholders in accordance with the priorities specified in the Conditions.  See “</w:t>
      </w:r>
      <w:r>
        <w:rPr>
          <w:i/>
        </w:rPr>
        <w:t>Nature of the investment</w:t>
      </w:r>
      <w:r>
        <w:t>” below.</w:t>
      </w:r>
    </w:p>
    <w:p w14:paraId="33E5B78F" w14:textId="77777777" w:rsidR="00F15482" w:rsidRDefault="00F15482" w:rsidP="00F15482">
      <w:pPr>
        <w:pStyle w:val="BodyText"/>
      </w:pPr>
      <w:r>
        <w:t>For the avoidance of doubt, Notes are not, and do not represent or convey any interest in the Charged Assets nor do they confer on the Noteholder any right (whether in respect of voting, dividend or other distribution) which a holder of any Charged Assets may have had.  The Issuer is not an agent of the Noteholder for any purpose.</w:t>
      </w:r>
    </w:p>
    <w:p w14:paraId="0EBFACFD" w14:textId="77777777" w:rsidR="00F15482" w:rsidRDefault="00F15482" w:rsidP="00F15482">
      <w:pPr>
        <w:pStyle w:val="ScheduleHeading-Level2"/>
      </w:pPr>
      <w:r>
        <w:t>Liability for the obligations of other Series</w:t>
      </w:r>
    </w:p>
    <w:p w14:paraId="6A5C16B0" w14:textId="77777777" w:rsidR="00F15482" w:rsidRDefault="00F15482" w:rsidP="00F15482">
      <w:pPr>
        <w:pStyle w:val="BodyText"/>
      </w:pPr>
      <w:r>
        <w:t>The Issuer has undertaken not to incur any obligations with respect to any other Series of Notes unless recourse in respect of such obligations is limited to the proceeds of enforcement of the Security over the assets of the Issuer on which such obligations are secured (which assets shall exclude the Mortgaged Property securing any other Series of Notes).  Nevertheless, to the extent there are any creditors with respect to a Series of Notes whose recourse is not so limited Noteholders may be exposed to risks incurred for the account of other Series.</w:t>
      </w:r>
    </w:p>
    <w:p w14:paraId="69DF414A" w14:textId="77777777" w:rsidR="00F15482" w:rsidRDefault="00F15482" w:rsidP="00F15482">
      <w:pPr>
        <w:pStyle w:val="SCHEDULEHEADING-LEVEL1"/>
      </w:pPr>
      <w:r>
        <w:t>Risks relating to the Notes</w:t>
      </w:r>
    </w:p>
    <w:p w14:paraId="34D8AE8B" w14:textId="77777777" w:rsidR="00F15482" w:rsidRDefault="00F15482" w:rsidP="00F15482">
      <w:pPr>
        <w:pStyle w:val="ScheduleHeading-Level2"/>
      </w:pPr>
      <w:r>
        <w:t>Nature of the investment</w:t>
      </w:r>
    </w:p>
    <w:p w14:paraId="77ACCB3B" w14:textId="77777777" w:rsidR="00F15482" w:rsidRDefault="00F15482" w:rsidP="00F15482">
      <w:pPr>
        <w:pStyle w:val="BodyText"/>
      </w:pPr>
      <w:r>
        <w:t xml:space="preserve">These Notes are not principal protected and are a high-risk investment in the form of a debt instrument.  The Noteholders are neither assured of repayment of the capital invested nor are they </w:t>
      </w:r>
      <w:r>
        <w:lastRenderedPageBreak/>
        <w:t xml:space="preserve">assured of payment of a stated rate of interest.  The Notes give Noteholders exposure to certain securities that the Issuer may invest in acting through the Portfolio Manager, see </w:t>
      </w:r>
      <w:r>
        <w:rPr>
          <w:i/>
        </w:rPr>
        <w:t>“Investment in Securities by the Portfolio Manager</w:t>
      </w:r>
      <w:r>
        <w:t>” below.</w:t>
      </w:r>
    </w:p>
    <w:p w14:paraId="3AFD943D" w14:textId="77777777" w:rsidR="00F15482" w:rsidRDefault="00F15482" w:rsidP="00F15482">
      <w:pPr>
        <w:pStyle w:val="BodyText"/>
      </w:pPr>
      <w:r>
        <w:t>Any payments to be made on the Notes depend on the value of the Charged Assets held by the Issuer, which is the value of the amounts received by the Issuer in respect of the Charged Assets.  Should the Charged Assets decrease in value, Noteholders will incur a partial or total loss of their investment.</w:t>
      </w:r>
    </w:p>
    <w:p w14:paraId="2D2CC11A" w14:textId="77777777" w:rsidR="00F15482" w:rsidRDefault="00F15482" w:rsidP="00F15482">
      <w:pPr>
        <w:pStyle w:val="BodyText"/>
      </w:pPr>
      <w:r>
        <w:t>In certain circumstances, described in the Conditions of the Notes, the Notes will be redeemed early pursuant to a Mandatory Redemption Event, an Additional Mandatory Redemption Event or a redemption event pursuant to Condition 2(c)(A)(1) and Noteholders shall be entitled to receive only such amount as is available following the sale or redemption of the Charged Assets, as the case may be, subject to the provisions of the Notes described under “</w:t>
      </w:r>
      <w:r>
        <w:rPr>
          <w:i/>
        </w:rPr>
        <w:t>Limited recourse</w:t>
      </w:r>
      <w:r>
        <w:t>” above.</w:t>
      </w:r>
    </w:p>
    <w:p w14:paraId="28F8CD3A" w14:textId="77777777" w:rsidR="00F15482" w:rsidRDefault="00F15482" w:rsidP="00F15482">
      <w:pPr>
        <w:pStyle w:val="BodyText"/>
      </w:pPr>
      <w:r>
        <w:rPr>
          <w:b/>
        </w:rPr>
        <w:t xml:space="preserve">In general, redemption payments to be made on the Notes are calculated with reference to the value of the Charged Assets.  However, if and to the extent that the amount payable by the Issuer in accordance with the Notes to the Noteholders is greater than the amount received by the Issuer in respect of the redemption of the Charged Assets, the Noteholder shall be entitled to receive only its </w:t>
      </w:r>
      <w:r>
        <w:rPr>
          <w:b/>
          <w:i/>
        </w:rPr>
        <w:t>pro rata</w:t>
      </w:r>
      <w:r>
        <w:rPr>
          <w:b/>
        </w:rPr>
        <w:t xml:space="preserve"> share of such amount as is received by the Issuer under the Charged Assets after deduction of any applicable costs and expenses.</w:t>
      </w:r>
    </w:p>
    <w:p w14:paraId="1839D9C3" w14:textId="77777777" w:rsidR="002B6823" w:rsidRDefault="002B6823" w:rsidP="002B6823">
      <w:pPr>
        <w:pStyle w:val="ScheduleHeading-Level2"/>
      </w:pPr>
      <w:r>
        <w:t>Change of law, tax and administrative practice</w:t>
      </w:r>
    </w:p>
    <w:p w14:paraId="2AC6CD12" w14:textId="7E63CF06" w:rsidR="002B6823" w:rsidRPr="002B6823" w:rsidRDefault="002B6823" w:rsidP="002B6823">
      <w:pPr>
        <w:pStyle w:val="ScheduleHeading-Level2"/>
        <w:rPr>
          <w:i w:val="0"/>
        </w:rPr>
      </w:pPr>
      <w:r w:rsidRPr="002B6823">
        <w:rPr>
          <w:i w:val="0"/>
        </w:rPr>
        <w:t>The structure of the transaction and, inter alia, the issue of the Notes are based on law, tax and administrative practice in effect at the date hereof, and having due regard to the expected tax treatment of all relevant entities under such law and practice. No assurance can be given that law, tax or administrative practice will not change after the Issue Date or that such change will not adversely impact the structure of the transaction and the treatment of the Notes.</w:t>
      </w:r>
    </w:p>
    <w:p w14:paraId="6BE5E82F" w14:textId="77777777" w:rsidR="00F15482" w:rsidRDefault="00F15482" w:rsidP="00F15482">
      <w:pPr>
        <w:pStyle w:val="ScheduleHeading-Level2"/>
      </w:pPr>
      <w:r>
        <w:t>Fees</w:t>
      </w:r>
    </w:p>
    <w:p w14:paraId="6E09432A" w14:textId="77777777" w:rsidR="00F15482" w:rsidRDefault="00F15482" w:rsidP="00F15482">
      <w:pPr>
        <w:pStyle w:val="BodyText"/>
      </w:pPr>
      <w:r>
        <w:t xml:space="preserve">In addition to the fees due to the Trustee and any Agents, and any other transaction related fees incurred by the Issuer in respect of the issuance of the Notes, the amounts payable under the Notes are based on the performance of the Charged Assets after deduction of certain fees, which is further described in Special Condition (XI) of the Notes.  The fees will be applied in calculating the value of the Portfolio and therefore will result in a reduction in the value of the Notes. </w:t>
      </w:r>
    </w:p>
    <w:p w14:paraId="74629844" w14:textId="77777777" w:rsidR="00F15482" w:rsidRDefault="00F15482" w:rsidP="00F15482">
      <w:pPr>
        <w:pStyle w:val="BodyText"/>
      </w:pPr>
      <w:r>
        <w:t>In connection with the offer and sale of the Notes, the Arranger or any of its associated companies may, directly or indirectly, pay fees in varying amounts to third parties or, as the case may be, receive fees (including but not limited to distribution fees and retrocessions) in varying amounts, including, from third parties (which may include any Transaction Participants as defined below).  Each Noteholder acknowledges that the Arranger or any of its associated companies may retain all or part of such fees.</w:t>
      </w:r>
    </w:p>
    <w:p w14:paraId="05786C35" w14:textId="77777777" w:rsidR="00F15482" w:rsidRDefault="00F15482" w:rsidP="00F15482">
      <w:pPr>
        <w:pStyle w:val="ScheduleHeading-Level2"/>
      </w:pPr>
      <w:r>
        <w:t>Foreign exchange risk</w:t>
      </w:r>
    </w:p>
    <w:p w14:paraId="77DBD856" w14:textId="2256936D" w:rsidR="00F15482" w:rsidRDefault="00F15482" w:rsidP="00F15482">
      <w:pPr>
        <w:pStyle w:val="BodyText"/>
      </w:pPr>
      <w:r w:rsidRPr="00875F02">
        <w:t>T</w:t>
      </w:r>
      <w:r w:rsidR="00875F02" w:rsidRPr="00875F02">
        <w:t xml:space="preserve">he Notes are denominated in </w:t>
      </w:r>
      <w:r w:rsidR="0012119F" w:rsidRPr="0012119F">
        <w:rPr>
          <w:highlight w:val="green"/>
        </w:rPr>
        <w:t>[B46]</w:t>
      </w:r>
      <w:r w:rsidRPr="00875F02">
        <w:t xml:space="preserve">.  The Charged Assets may be denominated in U.S dollars, euro, or any other currencies.  The Issuer will effect foreign exchange transactions to convert amounts received in respect of the Charged Assets into </w:t>
      </w:r>
      <w:r w:rsidR="0012119F" w:rsidRPr="0012119F">
        <w:rPr>
          <w:highlight w:val="green"/>
        </w:rPr>
        <w:t>[B46]</w:t>
      </w:r>
      <w:r w:rsidR="0012119F">
        <w:t xml:space="preserve"> </w:t>
      </w:r>
      <w:r w:rsidRPr="00875F02">
        <w:t>in order to meet its payment obligations under the Notes.  In order to mitigate the foreign exchange risk the Portfolio Manager may on behalf of the Issuer enter into foreign exchange hedging transactions with such banks and other providers of treasury products (“</w:t>
      </w:r>
      <w:r w:rsidRPr="00875F02">
        <w:rPr>
          <w:b/>
        </w:rPr>
        <w:t>Derivatives Counterparties</w:t>
      </w:r>
      <w:r w:rsidRPr="00875F02">
        <w:t>”) as may in the sole discretion of the Issuer or the Portfolio Manager be appropriate given the Charged Assets and the obligations of the Issuer under the Notes.  Accordingly, the Issuer and the Noteholders may be exposed to credit risk of such Derivatives Counterparties providing foreign exchange hedging to the Issuer.</w:t>
      </w:r>
    </w:p>
    <w:p w14:paraId="48074617" w14:textId="77777777" w:rsidR="00F15482" w:rsidRDefault="00F15482" w:rsidP="00F15482">
      <w:pPr>
        <w:pStyle w:val="ScheduleHeading-Level2"/>
      </w:pPr>
      <w:r>
        <w:lastRenderedPageBreak/>
        <w:t>Optional Redemption by the Issuer</w:t>
      </w:r>
    </w:p>
    <w:p w14:paraId="5A18BAF1" w14:textId="77777777" w:rsidR="00F15482" w:rsidRDefault="00F15482" w:rsidP="00F15482">
      <w:pPr>
        <w:pStyle w:val="BodyText"/>
      </w:pPr>
      <w:r w:rsidRPr="000259DE">
        <w:t>Investors in the Notes should be aware that the Issuer has the option to redeem any amount of the Notes at their Optional Redemption Amount on the Optional Redemption Payment Date, by giving not less than ten (10) Business Days’ prior notice to the Noteholders, the Trustee and the Principal Paying Agent.  Such notice may be revoked by the Issuer at any time prior to the Optional Redemption Date.</w:t>
      </w:r>
    </w:p>
    <w:p w14:paraId="01C8A08C" w14:textId="77777777" w:rsidR="00F15482" w:rsidRDefault="00F15482" w:rsidP="00F15482">
      <w:pPr>
        <w:pStyle w:val="BodyText"/>
        <w:keepNext/>
      </w:pPr>
      <w:r>
        <w:rPr>
          <w:i/>
        </w:rPr>
        <w:t>Optional Redemption by the Arranger</w:t>
      </w:r>
    </w:p>
    <w:p w14:paraId="08C3CB0B" w14:textId="5610195C" w:rsidR="00F15482" w:rsidRDefault="00F15482" w:rsidP="00F15482">
      <w:pPr>
        <w:pStyle w:val="BodyText"/>
      </w:pPr>
      <w:r w:rsidRPr="006264C0">
        <w:t>Investors in the Notes should further be aware that the Arranger has the option, without limitation, at any time to redeem any amount of the Notes at their Optional Redemption Amount on the Optional Redemption Payment Date.  The Arranger would redeem Notes</w:t>
      </w:r>
      <w:r w:rsidR="006264C0" w:rsidRPr="006264C0">
        <w:t xml:space="preserve"> only</w:t>
      </w:r>
      <w:r w:rsidRPr="006264C0">
        <w:t xml:space="preserve"> if it is the holder of such Notes, pursuant to the Conditions of the Notes.  While the Arranger may actively become involved in the secondary market in the Notes (if any), such participation would be at the Arranger’s sole discretion and the Arranger shall not have any obligation to make a secondary market.  See “</w:t>
      </w:r>
      <w:r w:rsidRPr="006264C0">
        <w:rPr>
          <w:i/>
        </w:rPr>
        <w:t>Liquidity</w:t>
      </w:r>
      <w:r w:rsidRPr="006264C0">
        <w:t>” below.</w:t>
      </w:r>
    </w:p>
    <w:p w14:paraId="3C8578BB" w14:textId="77777777" w:rsidR="002B6823" w:rsidRPr="002B6823" w:rsidRDefault="002B6823" w:rsidP="002B6823">
      <w:pPr>
        <w:pStyle w:val="BodyText"/>
        <w:rPr>
          <w:i/>
        </w:rPr>
      </w:pPr>
      <w:r w:rsidRPr="002B6823">
        <w:rPr>
          <w:i/>
        </w:rPr>
        <w:t>Restrictions on Transfer</w:t>
      </w:r>
    </w:p>
    <w:p w14:paraId="1B90537C" w14:textId="1F27C81F" w:rsidR="002B6823" w:rsidRDefault="002B6823" w:rsidP="002B6823">
      <w:pPr>
        <w:pStyle w:val="BodyText"/>
      </w:pPr>
      <w:r>
        <w:t>The Notes are subject to restrictions on transfer, as described in section "SUBSCRIPTION AND SALE" in the Programme Memorandum and "SELLING RESTRICTIONS" in this Series Memorandum. In particular, the Notes have not been registered under the Securities Act, under any U.S. state securities or “Blue Sky” laws or under the securities laws of any other jurisdiction and are being issued and sold in reliance upon exemptions from registration provided by such laws. No Note may be sold, assigned, participated, pledged or transferred unless such sale, assignment, participation, pledge or transfer (a) is exempt from the registration requirements of the Securities Act (for example, the exemption provided by Rule 144A under the Securities Act or the exemption provided by Regulation S under the Securities Act and applicable state securities laws) and (b) is in compliance with the transfer restrictions and certification requirements described in the section entitled "SUBSCRIPTION AND SALE" in the Programme Memorandum and "SELLING RESTRICTIONS" in this Series Memorandum.</w:t>
      </w:r>
    </w:p>
    <w:p w14:paraId="5A51109B" w14:textId="77777777" w:rsidR="00F15482" w:rsidRDefault="00F15482" w:rsidP="00F15482">
      <w:pPr>
        <w:pStyle w:val="BodyText"/>
        <w:keepNext/>
      </w:pPr>
      <w:r>
        <w:rPr>
          <w:i/>
        </w:rPr>
        <w:t>Arranger default</w:t>
      </w:r>
    </w:p>
    <w:p w14:paraId="72F6F033" w14:textId="63D3A18B" w:rsidR="00F15482" w:rsidRDefault="00F15482" w:rsidP="00F15482">
      <w:pPr>
        <w:pStyle w:val="ScheduleHeading-Level2"/>
        <w:keepNext w:val="0"/>
      </w:pPr>
      <w:r>
        <w:rPr>
          <w:i w:val="0"/>
        </w:rPr>
        <w:t>The Notes will be redeemed if the Arranger is dissolved or becomes unable to perform its oblig</w:t>
      </w:r>
      <w:r w:rsidR="001D6077">
        <w:rPr>
          <w:i w:val="0"/>
        </w:rPr>
        <w:t xml:space="preserve">ations in relation to the Notes </w:t>
      </w:r>
      <w:r w:rsidR="001D6077" w:rsidRPr="001D6077">
        <w:rPr>
          <w:i w:val="0"/>
        </w:rPr>
        <w:t>unless a substitute arranger (the "</w:t>
      </w:r>
      <w:r w:rsidR="001D6077" w:rsidRPr="001D6077">
        <w:rPr>
          <w:b/>
          <w:i w:val="0"/>
        </w:rPr>
        <w:t>Substitute Arranger</w:t>
      </w:r>
      <w:r w:rsidR="001D6077" w:rsidRPr="001D6077">
        <w:rPr>
          <w:i w:val="0"/>
        </w:rPr>
        <w:t xml:space="preserve">") is </w:t>
      </w:r>
      <w:r w:rsidR="001D6077">
        <w:rPr>
          <w:i w:val="0"/>
        </w:rPr>
        <w:t xml:space="preserve">appointed by the Issuer within 90 days </w:t>
      </w:r>
      <w:r w:rsidR="001D6077" w:rsidRPr="001D6077">
        <w:rPr>
          <w:i w:val="0"/>
        </w:rPr>
        <w:t>of such event.</w:t>
      </w:r>
    </w:p>
    <w:p w14:paraId="0669C6A6" w14:textId="77777777" w:rsidR="00F15482" w:rsidRDefault="00F15482" w:rsidP="00F15482">
      <w:pPr>
        <w:pStyle w:val="ScheduleHeading-Level2"/>
      </w:pPr>
      <w:r>
        <w:t>Payments</w:t>
      </w:r>
    </w:p>
    <w:p w14:paraId="22F673FF" w14:textId="3EC2FEC5" w:rsidR="00F15482" w:rsidRDefault="00F15482" w:rsidP="000259DE">
      <w:pPr>
        <w:pStyle w:val="BodyText"/>
      </w:pPr>
      <w:r>
        <w:t xml:space="preserve">Payments under the Notes will only be made after receipt of the Sale Proceeds by the Issuer.  The date of payment of the redemption amount under the Notes is therefore not fixed.  Payment of redemption amounts under the Notes depends on the liquidation of the Charged Assets.  It may take a considerable period of time to redeem the Charged Assets, in particular in the case of a redemption pursuant to Early Redemption. Noteholders may only receive payment of the relevant redemption amount under the Notes significantly later than the specified redemption date of the Notes. </w:t>
      </w:r>
    </w:p>
    <w:p w14:paraId="63CCBF1F" w14:textId="77777777" w:rsidR="00F15482" w:rsidRDefault="00F15482" w:rsidP="00F15482">
      <w:pPr>
        <w:pStyle w:val="ScheduleHeading-Level2"/>
      </w:pPr>
      <w:r>
        <w:t>Liquidity</w:t>
      </w:r>
    </w:p>
    <w:p w14:paraId="40CCFF06" w14:textId="6E45D707" w:rsidR="00F15482" w:rsidRDefault="00F15482" w:rsidP="00F15482">
      <w:pPr>
        <w:pStyle w:val="BodyText"/>
      </w:pPr>
      <w:r>
        <w:t xml:space="preserve">No secondary market for the Notes currently exists.  </w:t>
      </w:r>
      <w:r w:rsidRPr="00007235">
        <w:rPr>
          <w:highlight w:val="yellow"/>
        </w:rPr>
        <w:t>Prospective purchasers of the Notes s</w:t>
      </w:r>
      <w:r w:rsidR="006264C0">
        <w:rPr>
          <w:highlight w:val="yellow"/>
        </w:rPr>
        <w:t xml:space="preserve">hould therefore recognise that </w:t>
      </w:r>
      <w:r w:rsidRPr="00007235">
        <w:rPr>
          <w:highlight w:val="yellow"/>
        </w:rPr>
        <w:t xml:space="preserve">they may not be able to </w:t>
      </w:r>
      <w:r w:rsidRPr="00007235">
        <w:rPr>
          <w:bCs/>
          <w:highlight w:val="yellow"/>
        </w:rPr>
        <w:t>liquidate their investment in</w:t>
      </w:r>
      <w:r w:rsidRPr="00007235">
        <w:rPr>
          <w:highlight w:val="yellow"/>
        </w:rPr>
        <w:t xml:space="preserve"> the Notes.</w:t>
      </w:r>
      <w:r>
        <w:t xml:space="preserve">  Investment in the Notes is therefore only suitable for investors who are capable of bearing the economic risk of an investm</w:t>
      </w:r>
      <w:r w:rsidR="002B6823">
        <w:t>ent in the Notes for</w:t>
      </w:r>
      <w:r w:rsidR="00F162AB">
        <w:t xml:space="preserve"> an indefinite period of time</w:t>
      </w:r>
      <w:r>
        <w:t xml:space="preserve"> and are not acquiring the Notes with a view to a potential resale, distribution or other disposition at some future date.</w:t>
      </w:r>
    </w:p>
    <w:p w14:paraId="38FADDF0" w14:textId="19CC1E13" w:rsidR="00F162AB" w:rsidRDefault="00F162AB" w:rsidP="00F15482">
      <w:pPr>
        <w:pStyle w:val="BodyText"/>
      </w:pPr>
      <w:r w:rsidRPr="00F162AB">
        <w:t xml:space="preserve">Application has been made to list the Notes on the Third Market of the Vienna Stock Exchange.  Listing is expected to take place on or about the Issue Date but no assurance can be given that such application will be granted.  Even if the Notes are listed, there is no assurance that a secondary trading market or liquidity will develop.  </w:t>
      </w:r>
    </w:p>
    <w:p w14:paraId="13605F33" w14:textId="76F7084A" w:rsidR="00F15482" w:rsidRDefault="00F15482" w:rsidP="00F15482">
      <w:pPr>
        <w:pStyle w:val="BodyText"/>
      </w:pPr>
      <w:r>
        <w:t xml:space="preserve">Notwithstanding the foregoing, the Arranger may provide a secondary market with a monthly dealing frequency and monthly purchases and sales by investors.  </w:t>
      </w:r>
      <w:r>
        <w:rPr>
          <w:bCs/>
        </w:rPr>
        <w:t xml:space="preserve">The Arranger will not provide a secondary </w:t>
      </w:r>
      <w:r>
        <w:rPr>
          <w:bCs/>
        </w:rPr>
        <w:lastRenderedPageBreak/>
        <w:t xml:space="preserve">market in circumstances where the Calculation Agent is unable to calculate the Net Asset Value of the Portfolio due to the illiquidity or suspension of trading of any of the Securities comprising the Portfolio. </w:t>
      </w:r>
      <w:r>
        <w:t xml:space="preserve">The Arranger does not have and will not assume any liability, whether legal or otherwise, </w:t>
      </w:r>
      <w:r>
        <w:rPr>
          <w:i/>
          <w:iCs/>
        </w:rPr>
        <w:t>vis-à-vis</w:t>
      </w:r>
      <w:r>
        <w:t xml:space="preserve"> the Noteholders to provide a market for the Notes or with regard to the level of the applicable prices nor how they are determined.  To the extent that the Arranger purchases Notes in a secondary market provided by the Arranger, the Arranger will impose a </w:t>
      </w:r>
      <w:r w:rsidR="00FD0AE4">
        <w:rPr>
          <w:highlight w:val="green"/>
        </w:rPr>
        <w:t>EUR</w:t>
      </w:r>
      <w:r w:rsidR="00863BE4">
        <w:t xml:space="preserve"> </w:t>
      </w:r>
      <w:r>
        <w:t>500 fee in respect of its administration expenses.</w:t>
      </w:r>
    </w:p>
    <w:p w14:paraId="1A965F05" w14:textId="77777777" w:rsidR="009E024E" w:rsidRPr="006264C0" w:rsidRDefault="009E024E" w:rsidP="009E024E">
      <w:pPr>
        <w:pStyle w:val="BodyText"/>
        <w:rPr>
          <w:highlight w:val="yellow"/>
        </w:rPr>
      </w:pPr>
      <w:r w:rsidRPr="006264C0">
        <w:rPr>
          <w:highlight w:val="yellow"/>
        </w:rPr>
        <w:t>Extended Maturity Date</w:t>
      </w:r>
    </w:p>
    <w:p w14:paraId="47500431" w14:textId="77777777" w:rsidR="00F162AB" w:rsidRDefault="00F162AB" w:rsidP="00F15482">
      <w:pPr>
        <w:pStyle w:val="ScheduleHeading-Level2"/>
        <w:rPr>
          <w:i w:val="0"/>
        </w:rPr>
      </w:pPr>
      <w:r w:rsidRPr="00F162AB">
        <w:rPr>
          <w:i w:val="0"/>
        </w:rPr>
        <w:t>The term of the Notes may be extended for further periods of up to ten (10) years, provided that, at the request of the Issuer, the Calculation Agent, on behalf of the Issuer, has given a notice (the “</w:t>
      </w:r>
      <w:r w:rsidRPr="00F162AB">
        <w:rPr>
          <w:b/>
          <w:i w:val="0"/>
        </w:rPr>
        <w:t>Extension Notice</w:t>
      </w:r>
      <w:r w:rsidRPr="00F162AB">
        <w:rPr>
          <w:i w:val="0"/>
        </w:rPr>
        <w:t>”) to the Trustee, the Principal Paying Agent and the Noteholders three (3) calendar months prior to the Scheduled Maturity Date or the anniversary thereof in each subsequent year, if applicable, stating that such extension shall take place in respect of the Notes. If no Extension Notice, or no further Extension Notices (if applicable) are delivered by the Calculation Agent, the Notes shall be redeemed on the Scheduled Maturity Date or on the date stated in the final Extension Notice (such date being the “</w:t>
      </w:r>
      <w:r w:rsidRPr="00F162AB">
        <w:rPr>
          <w:b/>
          <w:i w:val="0"/>
        </w:rPr>
        <w:t>Extended Maturity Date</w:t>
      </w:r>
      <w:r w:rsidRPr="00F162AB">
        <w:rPr>
          <w:i w:val="0"/>
        </w:rPr>
        <w:t>”).</w:t>
      </w:r>
    </w:p>
    <w:p w14:paraId="7330EF15" w14:textId="63BDB42D" w:rsidR="00F15482" w:rsidRDefault="00F15482" w:rsidP="00F15482">
      <w:pPr>
        <w:pStyle w:val="ScheduleHeading-Level2"/>
      </w:pPr>
      <w:r>
        <w:t>Market and legal risk</w:t>
      </w:r>
    </w:p>
    <w:p w14:paraId="3750E460" w14:textId="59B4B2D1" w:rsidR="00F15482" w:rsidRDefault="00F15482" w:rsidP="000259DE">
      <w:pPr>
        <w:pStyle w:val="BodyText"/>
      </w:pPr>
      <w:r>
        <w:t>The Notes will constitute secured, limited recourse obligations of the Issuer, recourse in respect of which will, in effect, be limited to the proceeds of the Mortgaged Property (which principally comprises the Charged Assets) relating to the Notes and no other assets of the Issuer will be available to satisfy claims of Noteholders.  The Issuer’s obligations to the Noteholders are solely funded by, and primarily secured on, the Charged Assets.  Therefore, to the extent that the value of the Charged Assets falls, payment under the Charged Assets is not made, the Charged Assets cannot be sold or if the relevant security arrangements would not be enforceable, a loss of principal under the Notes will result. Noteholders therefore assume the market and legal risk of the Charged Assets.</w:t>
      </w:r>
    </w:p>
    <w:p w14:paraId="3556185C" w14:textId="2FCC5ED0" w:rsidR="00F15482" w:rsidRDefault="00F15482" w:rsidP="00F15482">
      <w:pPr>
        <w:pStyle w:val="BodyText"/>
      </w:pPr>
      <w:r>
        <w:t>None of the Transaction Part</w:t>
      </w:r>
      <w:r w:rsidR="002B6823">
        <w:t>icipants (as defined below bu</w:t>
      </w:r>
      <w:r>
        <w:t>t excluding the Portfolio Manager) nor any affiliate of any of them or other person on their behalf has made any investigation of, or makes any representation or warranty, express or implied, as to the standing or suitability of the Portfolio Manager or the financial or other condition of the Charged Assets.</w:t>
      </w:r>
    </w:p>
    <w:p w14:paraId="42F140F6" w14:textId="29F2ECD3" w:rsidR="00F15482" w:rsidRDefault="00F15482" w:rsidP="00F15482">
      <w:pPr>
        <w:pStyle w:val="BodyText"/>
      </w:pPr>
      <w:r>
        <w:t xml:space="preserve">None of the Issuer, the Arranger, the Trustee, the Principal Paying Agent, the </w:t>
      </w:r>
      <w:r w:rsidR="00086A7D">
        <w:t>Broker Dealer of Record</w:t>
      </w:r>
      <w:r>
        <w:t>, the Calculation Agent, the Sale Agent, the Portfolio Manager or any other Agent (together, the “</w:t>
      </w:r>
      <w:r>
        <w:rPr>
          <w:b/>
        </w:rPr>
        <w:t>Transaction Participants</w:t>
      </w:r>
      <w:r>
        <w:t xml:space="preserve">”) nor any affiliate of any of them (or any person on their behalf) assume any responsibility </w:t>
      </w:r>
      <w:r>
        <w:rPr>
          <w:i/>
        </w:rPr>
        <w:t>vis-à-vis</w:t>
      </w:r>
      <w:r>
        <w:t xml:space="preserve"> the Noteholders for the economic success or lack of success of an investment in the Notes, or the performance, the value or terms of the Charged Assets.  No Transaction Participant will have any responsibility or duty to make any such investigations, to keep any such matters under review, to provide the Noteholders, or prospective purchasers of the Notes, with any information in relation to such matters or to advise as to the attendant risks.</w:t>
      </w:r>
    </w:p>
    <w:p w14:paraId="3C55F868" w14:textId="77777777" w:rsidR="00F15482" w:rsidRDefault="00F15482" w:rsidP="00F15482">
      <w:pPr>
        <w:pStyle w:val="ScheduleHeading-Level2"/>
      </w:pPr>
      <w:r>
        <w:t>Independent review and advice</w:t>
      </w:r>
    </w:p>
    <w:p w14:paraId="49277BDB" w14:textId="77777777" w:rsidR="00F15482" w:rsidRDefault="00F15482" w:rsidP="00F15482">
      <w:pPr>
        <w:pStyle w:val="BodyText"/>
      </w:pPr>
      <w:r>
        <w:t>Each prospective purchaser of Notes must determine, based on its own independent review and such legal, financial and tax advice as it deems appropriate under the circumstances, that its acquisition of the Notes (i) is fully consistent with its financial needs, objectives and condition, (ii) complies and is fully consistent with all investment policies, guidelines, authorisations and restrictions (including as to its capacity) applicable to it, (iii) has been duly approved in accordance with all applicable laws and procedures and (iv) is a fit, proper and suitable investment for it, undertaken for a proper purpose.</w:t>
      </w:r>
    </w:p>
    <w:p w14:paraId="0AC764BE" w14:textId="77777777" w:rsidR="00F15482" w:rsidRDefault="00F15482" w:rsidP="00F15482">
      <w:pPr>
        <w:pStyle w:val="ScheduleHeading-Level2"/>
      </w:pPr>
      <w:r>
        <w:t>Legality of purchase</w:t>
      </w:r>
    </w:p>
    <w:p w14:paraId="1E707AE2" w14:textId="77777777" w:rsidR="00F15482" w:rsidRDefault="00F15482" w:rsidP="00F15482">
      <w:pPr>
        <w:pStyle w:val="BodyText"/>
      </w:pPr>
      <w:r>
        <w:t>None of the Transaction Participants or any affiliate of any of them or other person on their behalf has or assumes responsibility for the lawfulness of the acquisition of the Notes by a prospective purchaser of the Notes, whether under the laws of the jurisdiction of its incorporation or the jurisdiction in which it operates (if different), or for compliance by that prospective purchaser with any law, regulation or regulatory policy applicable to it.</w:t>
      </w:r>
    </w:p>
    <w:p w14:paraId="5C26E9DF" w14:textId="77777777" w:rsidR="00F15482" w:rsidRDefault="00F15482" w:rsidP="00F15482">
      <w:pPr>
        <w:pStyle w:val="ScheduleHeading-Level2"/>
      </w:pPr>
      <w:r>
        <w:lastRenderedPageBreak/>
        <w:t>No reliance</w:t>
      </w:r>
    </w:p>
    <w:p w14:paraId="5BE6EB93" w14:textId="77777777" w:rsidR="00F15482" w:rsidRDefault="00F15482" w:rsidP="00F15482">
      <w:pPr>
        <w:pStyle w:val="BodyText"/>
      </w:pPr>
      <w:r>
        <w:t xml:space="preserve">The Transaction Participants and all affiliates of any of them disclaim any responsibility to advise purchasers of the Notes of the risks and investment considerations associated with the purchase of the Notes as they may exist at the date hereof or from time to time hereafter. </w:t>
      </w:r>
    </w:p>
    <w:p w14:paraId="44E83EE5" w14:textId="77777777" w:rsidR="00F15482" w:rsidRDefault="00F15482" w:rsidP="00F15482">
      <w:pPr>
        <w:pStyle w:val="ScheduleHeading-Level2"/>
      </w:pPr>
      <w:r>
        <w:t>No restrictions on activities</w:t>
      </w:r>
    </w:p>
    <w:p w14:paraId="1CC19E87" w14:textId="77777777" w:rsidR="00F15482" w:rsidRDefault="00F15482" w:rsidP="00F15482">
      <w:pPr>
        <w:pStyle w:val="BodyText"/>
      </w:pPr>
      <w:r>
        <w:t>Any of the Transaction Participants and any affiliate of any of them or other person on their behalf may have existing or future business relationships (including depository, lending, advisory or any other kind of commercial or investment banking activities or other business) with any of the other Transaction Participants and any affiliate of any of them or other person on their behalf and may purchase, sell or otherwise deal in any assets or obligations of, or relating to, any such party.  Any of the Transaction Participants and any affiliate of any of them or other person on their behalf may act with respect to any such business, assets or obligations without regard to any possible consequences for the Issuer, the Notes or any Noteholder (or the impact of any such dealing on the interests of any Noteholder) or otherwise.</w:t>
      </w:r>
    </w:p>
    <w:p w14:paraId="4AEB5185" w14:textId="77777777" w:rsidR="00F15482" w:rsidRDefault="00F15482" w:rsidP="00F15482">
      <w:pPr>
        <w:pStyle w:val="ScheduleHeading-Level2"/>
      </w:pPr>
      <w:r>
        <w:t>Provision of information</w:t>
      </w:r>
    </w:p>
    <w:p w14:paraId="40A34929" w14:textId="77777777" w:rsidR="00F15482" w:rsidRDefault="00F15482" w:rsidP="00F15482">
      <w:pPr>
        <w:pStyle w:val="BodyText"/>
      </w:pPr>
      <w:r>
        <w:t>Any of the Transaction Participants or any affiliate of any of them or any other person acting on their behalf may at the date hereof or at any time hereafter be in possession of information in relation to the other Transaction Participants or any affiliate of any of them or any other person acting on their behalf or on behalf of the Charged Assets (which may or may not be publicly available or confidential).  None of such persons shall be under any obligation to make any such information available to Noteholders or any other party other than as provided in the Conditions of the Notes.</w:t>
      </w:r>
    </w:p>
    <w:p w14:paraId="533A8EAC" w14:textId="77777777" w:rsidR="00F15482" w:rsidRDefault="00F15482" w:rsidP="00F15482">
      <w:pPr>
        <w:pStyle w:val="ScheduleHeading-Level2"/>
      </w:pPr>
      <w:r>
        <w:t>Taxation</w:t>
      </w:r>
    </w:p>
    <w:p w14:paraId="08804217" w14:textId="77777777" w:rsidR="00F15482" w:rsidRDefault="00F15482" w:rsidP="00F15482">
      <w:pPr>
        <w:pStyle w:val="BodyText"/>
      </w:pPr>
      <w:r>
        <w:t>Each Noteholder will assume and be solely responsible for any and all taxes of any jurisdiction or governmental or regulatory authority, including, without limitation, any state or local taxes or other like assessment or charges that may be applicable to any payment to it in respect of the Notes.  Neither the Issuer nor any other person will pay any additional amounts to the Noteholders to reimburse them for any tax, assessment or charge required to be withheld or deducted from payments in respect of the Notes by the Issuer or by the Principal Paying Agent (or any other Paying Agent), although such requirement will give rise to an obligation to redeem the Notes early in the circumstances described in Condition 2 as amended by Special Condition (IV) of the Conditions of the Notes set out below.</w:t>
      </w:r>
    </w:p>
    <w:p w14:paraId="3B742B85" w14:textId="77777777" w:rsidR="00F15482" w:rsidRDefault="00F15482" w:rsidP="00F15482">
      <w:pPr>
        <w:pStyle w:val="ScheduleHeading-Level2"/>
      </w:pPr>
      <w:r>
        <w:t>Legal opinions</w:t>
      </w:r>
    </w:p>
    <w:p w14:paraId="72B66BE0" w14:textId="77777777" w:rsidR="00F15482" w:rsidRDefault="00F15482" w:rsidP="00F15482">
      <w:pPr>
        <w:pStyle w:val="BodyText"/>
      </w:pPr>
      <w:r>
        <w:t>No legal opinions will be obtained with respect to any applicable laws, including the laws applicable to the Portfolio Manager, the laws governing the Charged Assets or as to the validity, enforceability or binding nature of the Charged Assets.</w:t>
      </w:r>
    </w:p>
    <w:p w14:paraId="5B55530E" w14:textId="77777777" w:rsidR="00F15482" w:rsidRDefault="00F15482" w:rsidP="00F15482">
      <w:pPr>
        <w:pStyle w:val="ScheduleHeading-Level2"/>
      </w:pPr>
      <w:r>
        <w:t>Conflict of interests</w:t>
      </w:r>
    </w:p>
    <w:p w14:paraId="73602277" w14:textId="72EAA292" w:rsidR="00F15482" w:rsidRDefault="00F15482" w:rsidP="00F15482">
      <w:pPr>
        <w:pStyle w:val="BodyText"/>
      </w:pPr>
      <w:r>
        <w:t xml:space="preserve">Any of the Transaction Participants or any affiliate of any of them or any other person acting on their behalf may from time to time, as principal or agent, have positions in, or may buy or sell, or make a market in any securities (including shares in a Transaction Participant), currencies, financial instruments or other assets owned by a Transaction Participant.  Any trading and / or hedging activities of Transaction Participants or any affiliate of any of them or any other person acting on their behalf related to this transaction may have an impact on the price of the underlying assets.  It should also be noted that </w:t>
      </w:r>
      <w:r w:rsidR="00062189">
        <w:t>FlexFun</w:t>
      </w:r>
      <w:r w:rsidR="00CD2C49">
        <w:t>ds L</w:t>
      </w:r>
      <w:r w:rsidR="00062189">
        <w:t>td. acts as both the A</w:t>
      </w:r>
      <w:r>
        <w:t xml:space="preserve">rranger of the issue </w:t>
      </w:r>
      <w:r w:rsidR="00062189">
        <w:t>of the Notes and as Calculation A</w:t>
      </w:r>
      <w:r>
        <w:t>gent</w:t>
      </w:r>
      <w:r w:rsidR="00062189">
        <w:t xml:space="preserve"> in respect of the Charged Assets.</w:t>
      </w:r>
    </w:p>
    <w:p w14:paraId="4A171C07" w14:textId="77777777" w:rsidR="00F15482" w:rsidRDefault="00F15482" w:rsidP="00F15482">
      <w:pPr>
        <w:pStyle w:val="BodyText"/>
        <w:keepNext/>
      </w:pPr>
      <w:r>
        <w:rPr>
          <w:i/>
        </w:rPr>
        <w:t>Clearing systems</w:t>
      </w:r>
    </w:p>
    <w:p w14:paraId="739B087D" w14:textId="77777777" w:rsidR="00F15482" w:rsidRDefault="00F15482" w:rsidP="00F15482">
      <w:pPr>
        <w:pStyle w:val="BodyText"/>
      </w:pPr>
      <w:r>
        <w:t xml:space="preserve">The Notes will be represented by one or more Temporary Global Notes and Permanent Global Notes.  Such Global Notes will be deposited with a common depositary for Euroclear and Clearstream, Luxembourg.  Except in the circumstances described in the relevant Global Note, investors will not be </w:t>
      </w:r>
      <w:r>
        <w:lastRenderedPageBreak/>
        <w:t>entitled to receive definitive Notes.  Euroclear and Clearstream, Luxembourg will maintain records of the beneficial interests in the Global Notes.  While the Notes are represented by one or more Global Notes, investors will be able to trade their beneficial interests only through Euroclear and Clearstream, Luxembourg.</w:t>
      </w:r>
    </w:p>
    <w:p w14:paraId="1DA19C59" w14:textId="77777777" w:rsidR="00F15482" w:rsidRDefault="00F15482" w:rsidP="00F15482">
      <w:pPr>
        <w:pStyle w:val="BodyText"/>
      </w:pPr>
      <w:r>
        <w:t>While the Notes are represented by one or more Global Notes the Issuer will discharge its payment obligations under the Notes by making payments to the common depositary for Euroclear and Clearstream, Luxembourg for distribution to their account holders.  A holder of a beneficial interest in a Global Note must rely on the procedures of Euroclear and Clearstream, Luxembourg to receive payments under the Notes.  The Issuer has no responsibility or liability for the records relating to, or payments made in respect of, beneficial interests in the Global Notes.</w:t>
      </w:r>
    </w:p>
    <w:p w14:paraId="5BF7BC40" w14:textId="77777777" w:rsidR="00F15482" w:rsidRDefault="00F15482" w:rsidP="00F15482">
      <w:pPr>
        <w:pStyle w:val="BodyText"/>
      </w:pPr>
      <w:r>
        <w:t>Holders of beneficial interests in the Global Notes will not have a direct right to vote in respect of the relevant Notes.  Instead, such holders will be permitted to act only to the extent that they are enabled by Euroclear and Clearstream, Luxembourg to appoint appropriate proxies.</w:t>
      </w:r>
    </w:p>
    <w:p w14:paraId="04FD8F62" w14:textId="77777777" w:rsidR="002B6823" w:rsidRPr="002B6823" w:rsidRDefault="002B6823" w:rsidP="002B6823">
      <w:pPr>
        <w:pStyle w:val="BodyText"/>
        <w:rPr>
          <w:i/>
        </w:rPr>
      </w:pPr>
      <w:r w:rsidRPr="002B6823">
        <w:rPr>
          <w:i/>
        </w:rPr>
        <w:t>Limitations of the ability to grant security over Notes while in global form</w:t>
      </w:r>
    </w:p>
    <w:p w14:paraId="3A7A7F29" w14:textId="39A87C51" w:rsidR="002B6823" w:rsidRDefault="008E2B92" w:rsidP="002B6823">
      <w:pPr>
        <w:pStyle w:val="BodyText"/>
      </w:pPr>
      <w:r>
        <w:t xml:space="preserve">Because </w:t>
      </w:r>
      <w:r w:rsidR="002B6823">
        <w:t>transactions in the Notes will be effected only through Euroclear or Clearstream, Luxembourg, direct or indirect participants in their respective book-entry-systems and certain banks, the ability of a Noteholder to pledge such interest to persons or entities that do not participate in the Euroclear or Clearstream systems, or otherwise to take actions in respect of such interests, may be limited due to the lack of physical security representing such interest.</w:t>
      </w:r>
    </w:p>
    <w:p w14:paraId="49FDCCC0" w14:textId="77777777" w:rsidR="00F15482" w:rsidRDefault="00F15482" w:rsidP="00F15482">
      <w:pPr>
        <w:pStyle w:val="SCHEDULEHEADING-LEVEL1"/>
      </w:pPr>
      <w:r>
        <w:t>Risks relating to the Charged Assets</w:t>
      </w:r>
    </w:p>
    <w:p w14:paraId="28A4B200" w14:textId="77777777" w:rsidR="00F15482" w:rsidRPr="007908D8" w:rsidRDefault="00F15482" w:rsidP="00F15482">
      <w:pPr>
        <w:pStyle w:val="ScheduleHeading-Level2"/>
      </w:pPr>
      <w:r w:rsidRPr="007908D8">
        <w:t>Margin Account</w:t>
      </w:r>
    </w:p>
    <w:p w14:paraId="514D7215" w14:textId="77777777" w:rsidR="00F15482" w:rsidRDefault="00F15482" w:rsidP="00F15482">
      <w:pPr>
        <w:pStyle w:val="BodyText"/>
      </w:pPr>
      <w:r>
        <w:t>The Margin Account is to be used to invest in securities or other products on margin which involves the extension of credit to the Issuer from the Margin Account Provider.  As a result, the Issuer’s financial exposure could exceed the value of securities or other products in the Margin Account.  Any such credit will accrue interest at the agreed rates.</w:t>
      </w:r>
    </w:p>
    <w:p w14:paraId="231E5F6E" w14:textId="6792876F" w:rsidR="00F15482" w:rsidRDefault="00F15482" w:rsidP="00F15482">
      <w:pPr>
        <w:pStyle w:val="BodyText"/>
      </w:pPr>
      <w:r>
        <w:t>The Margin Acc</w:t>
      </w:r>
      <w:r w:rsidR="002B6823">
        <w:t>ount Provider may, whenever it</w:t>
      </w:r>
      <w:r>
        <w:t xml:space="preserve"> deem</w:t>
      </w:r>
      <w:r w:rsidR="002B6823">
        <w:t>s it desirable or for its</w:t>
      </w:r>
      <w:r>
        <w:t xml:space="preserve"> protection, sell any or all securities or related contracts in the Margin Account, or buy any securities or related contracts relating thereto, in order to close out in whole or in part any obligations of the Issuer pursuant to the Margin Account Agreement.  Therefore, Securities or other Related Rights that the Issuer may hold in the Margin Account may be sold or bought at sub-optimal prices or times that are ill-suited to such trades being executed, and the value of the Notes may be adversely affected.</w:t>
      </w:r>
    </w:p>
    <w:p w14:paraId="5F3FC398" w14:textId="77777777" w:rsidR="00F15482" w:rsidRDefault="00F15482" w:rsidP="00F15482">
      <w:pPr>
        <w:pStyle w:val="BodyText"/>
      </w:pPr>
      <w:r>
        <w:t xml:space="preserve">In return for the Margin Account Provider agreeing to the extension or maintenance of credit in connection with the Margin Account, the Issuer has agreed that the securities in the Margin Account, together with all attendant rights of ownership, may be the subject of securities lending transactions, whether to the Margin Account Provider or by the Margin Account Provider to third parties.  In connection with such loans, the Margin Account Provider may receive and retain certain benefits to which the Issuer will not be entitled.  </w:t>
      </w:r>
    </w:p>
    <w:p w14:paraId="2C3F86BF" w14:textId="77777777" w:rsidR="00F15482" w:rsidRDefault="00F15482" w:rsidP="00F15482">
      <w:pPr>
        <w:pStyle w:val="BodyText"/>
      </w:pPr>
      <w:r>
        <w:t>Further, there is a risk that substitute payments that the Issuer may be entitled to as a result of such securities loans may not be afforded the same tax treatment as actual interest, dividends and / or other distributions, that the Issuer may have been entitled to but for such securities loans, and the Issuer may incur additional tax liability for substitute payments that it receives.  The Issuer would not be entitled to any compensation in connection with securities lent from the Margin Account or for additional taxes they may be required to pay as a result of any tax treatment differential between substitute payments and actual interest, dividends, and / or other distributions.</w:t>
      </w:r>
    </w:p>
    <w:p w14:paraId="1C210FC7" w14:textId="77777777" w:rsidR="00F15482" w:rsidRDefault="00F15482" w:rsidP="00F15482">
      <w:pPr>
        <w:pStyle w:val="BodyText"/>
      </w:pPr>
      <w:r>
        <w:t xml:space="preserve">The Charged Assets are held in the Margin Account, and are subject to (i) a lien retained by the Margin Account Provider; and (ii) the security interests created pursuant to the Margin Account Agreement over the assets held in the Margin Account, that supersede any security interests created by either the Trust Deed or the Charging Instrument.  The Margin Account Provider takes such security interests as security for its fees, costs and expenses pursuant to the Margin Account </w:t>
      </w:r>
      <w:r>
        <w:lastRenderedPageBreak/>
        <w:t>Agreement, as well as all its reasonable costs and expenses incurred in the collection of any debit balance or unpaid deficiency in the Margin Account, including, but not limited to, attorneys’ fees.  Therefore, the value of the Notes will be reduced by such fees, costs, expenses and charges.</w:t>
      </w:r>
    </w:p>
    <w:p w14:paraId="3B66F639" w14:textId="30E1B72E" w:rsidR="00F15482" w:rsidRDefault="00F15482" w:rsidP="00EC79B0">
      <w:pPr>
        <w:pStyle w:val="BodyText"/>
      </w:pPr>
      <w:r>
        <w:t xml:space="preserve">The Margin Account is provided to the Issuer by </w:t>
      </w:r>
      <w:r w:rsidR="003D6537">
        <w:rPr>
          <w:highlight w:val="green"/>
        </w:rPr>
        <w:t>[B29</w:t>
      </w:r>
      <w:r w:rsidR="00EC79B0" w:rsidRPr="00EC79B0">
        <w:rPr>
          <w:highlight w:val="green"/>
        </w:rPr>
        <w:t>]</w:t>
      </w:r>
      <w:r>
        <w:t xml:space="preserve"> (the “</w:t>
      </w:r>
      <w:r>
        <w:rPr>
          <w:b/>
        </w:rPr>
        <w:t>Margin Account Provider</w:t>
      </w:r>
      <w:r>
        <w:t>”).  As the ability of the Issuer to make payments under the Notes is contingent on the performance of the Portfolio held in the Margin Account, the interests of the Noteholders may be negatively affected by an insolvency or winding up of the Margin Account Provider, or should any administrative or regulatory sanctions be imposed on the Margin Account Provider.  See further “</w:t>
      </w:r>
      <w:r>
        <w:rPr>
          <w:i/>
        </w:rPr>
        <w:t>Description of the Margin Account</w:t>
      </w:r>
      <w:r>
        <w:t>”.</w:t>
      </w:r>
    </w:p>
    <w:p w14:paraId="7800B3A2" w14:textId="77777777" w:rsidR="00F15482" w:rsidRPr="007908D8" w:rsidRDefault="00F15482" w:rsidP="00F15482">
      <w:pPr>
        <w:autoSpaceDE w:val="0"/>
        <w:autoSpaceDN w:val="0"/>
        <w:adjustRightInd w:val="0"/>
        <w:rPr>
          <w:i/>
          <w:iCs/>
          <w:color w:val="000000"/>
          <w:lang w:val="en-US"/>
        </w:rPr>
      </w:pPr>
      <w:r w:rsidRPr="007908D8">
        <w:rPr>
          <w:i/>
          <w:iCs/>
          <w:color w:val="000000"/>
          <w:lang w:val="en-US"/>
        </w:rPr>
        <w:t xml:space="preserve">Short sales </w:t>
      </w:r>
    </w:p>
    <w:p w14:paraId="4DF84044" w14:textId="77777777" w:rsidR="00F15482" w:rsidRDefault="00F15482" w:rsidP="00F15482">
      <w:pPr>
        <w:autoSpaceDE w:val="0"/>
        <w:autoSpaceDN w:val="0"/>
        <w:adjustRightInd w:val="0"/>
        <w:rPr>
          <w:rFonts w:ascii="Times New Roman" w:hAnsi="Times New Roman" w:cs="Times New Roman"/>
          <w:color w:val="000000"/>
          <w:sz w:val="24"/>
          <w:lang w:val="en-US"/>
        </w:rPr>
      </w:pPr>
    </w:p>
    <w:p w14:paraId="47C658A1" w14:textId="77777777" w:rsidR="00F15482" w:rsidRDefault="00F15482" w:rsidP="00F15482">
      <w:pPr>
        <w:autoSpaceDE w:val="0"/>
        <w:autoSpaceDN w:val="0"/>
        <w:adjustRightInd w:val="0"/>
        <w:jc w:val="both"/>
      </w:pPr>
      <w:r>
        <w:t xml:space="preserve">By investing in the Notes, an investor should consider that the return on such an investment depends on the success of the Portfolio Manager in managing the Margin Account.  As referenced herein, the Portfolio Manager is allowed to conduct short sales. </w:t>
      </w:r>
    </w:p>
    <w:p w14:paraId="1F42EFDB" w14:textId="77777777" w:rsidR="00F15482" w:rsidRDefault="00F15482" w:rsidP="00F15482">
      <w:pPr>
        <w:autoSpaceDE w:val="0"/>
        <w:autoSpaceDN w:val="0"/>
        <w:adjustRightInd w:val="0"/>
        <w:jc w:val="both"/>
      </w:pPr>
    </w:p>
    <w:p w14:paraId="65F87674" w14:textId="77777777" w:rsidR="00F15482" w:rsidRDefault="00F15482" w:rsidP="00F15482">
      <w:pPr>
        <w:autoSpaceDE w:val="0"/>
        <w:autoSpaceDN w:val="0"/>
        <w:adjustRightInd w:val="0"/>
        <w:jc w:val="both"/>
      </w:pPr>
      <w:r>
        <w:t xml:space="preserve">A short sale is a sale of a security which one does not own, in other words a security that one has borrowed, with the expectation that the security will underperform the market.  Short sales involve leverage because one borrows securities and then sells them, effectively leveraging one’s assets.  The use of leverage may increase market exposure, magnify investment risks, and cause losses to be realized more quickly.  Assets segregated to cover these short sale transactions may decline in value, and also are not available to meet redemptions (other than on the Final Maturity Payment Date). </w:t>
      </w:r>
    </w:p>
    <w:p w14:paraId="07E52E70" w14:textId="77777777" w:rsidR="00F15482" w:rsidRDefault="00F15482" w:rsidP="00F15482">
      <w:pPr>
        <w:autoSpaceDE w:val="0"/>
        <w:autoSpaceDN w:val="0"/>
        <w:adjustRightInd w:val="0"/>
        <w:jc w:val="both"/>
      </w:pPr>
      <w:r>
        <w:t xml:space="preserve"> </w:t>
      </w:r>
    </w:p>
    <w:p w14:paraId="7E33408C" w14:textId="547B8FAE" w:rsidR="00F15482" w:rsidRDefault="00F15482" w:rsidP="00F15482">
      <w:pPr>
        <w:autoSpaceDE w:val="0"/>
        <w:autoSpaceDN w:val="0"/>
        <w:adjustRightInd w:val="0"/>
        <w:jc w:val="both"/>
      </w:pPr>
      <w:r>
        <w:t>To establish a short sale, the Portfolio Manager would instruct the Margin Account Provider</w:t>
      </w:r>
      <w:r w:rsidR="009E024E">
        <w:t>, as the context requires,</w:t>
      </w:r>
      <w:r>
        <w:t xml:space="preserve"> to borrow a security for the account of the Margin Account, and to instruct a sale of that security.  To close out a short sale transaction, the Portfolio Manager would instruct the Margin Account Provider to buy the same security at a later date and to return it to the person who lent the security to establish the trade. </w:t>
      </w:r>
    </w:p>
    <w:p w14:paraId="0F402E1A" w14:textId="77777777" w:rsidR="00F15482" w:rsidRDefault="00F15482" w:rsidP="00F15482">
      <w:pPr>
        <w:autoSpaceDE w:val="0"/>
        <w:autoSpaceDN w:val="0"/>
        <w:adjustRightInd w:val="0"/>
        <w:jc w:val="both"/>
      </w:pPr>
      <w:r>
        <w:t xml:space="preserve">The Portfolio would profit if the market price of the security declines after the short sale, but would lose value if the market price of that security goes up.  The overall benefit to the Portfolio will depend on (i) how the short sale performs, relative to (ii) the market price of securities that is purchased with the sale proceeds of the short sale.  For example, if the market price of the securities that the Portfolio Manager purchased in (ii) goes up more than the market price of the security sold short in (i), the Portfolio will benefit.  Conversely, the Portfolio will not benefit if the market price of the securities purchased in (ii) goes down more than the market price of securities sold short in (i), even if the short sale itself led to a profit. </w:t>
      </w:r>
    </w:p>
    <w:p w14:paraId="2C355CDC" w14:textId="77777777" w:rsidR="00F15482" w:rsidRDefault="00F15482" w:rsidP="00F15482">
      <w:pPr>
        <w:autoSpaceDE w:val="0"/>
        <w:autoSpaceDN w:val="0"/>
        <w:adjustRightInd w:val="0"/>
        <w:jc w:val="both"/>
      </w:pPr>
    </w:p>
    <w:p w14:paraId="16382D5B" w14:textId="77777777" w:rsidR="00F15482" w:rsidRDefault="00F15482" w:rsidP="00F15482">
      <w:pPr>
        <w:autoSpaceDE w:val="0"/>
        <w:autoSpaceDN w:val="0"/>
        <w:adjustRightInd w:val="0"/>
        <w:jc w:val="both"/>
      </w:pPr>
      <w:r>
        <w:t xml:space="preserve">Short sales create a risk that the Portfolio will be required to close the short position by buying the security at a time when the security has appreciated in value, thus resulting in a loss to the Portfolio.  It is possible that the market value of the securities held in the Portfolio in long positions will decline at the same time that the market value of the securities the Portfolio Manager has sold short increases, thereby increasing the Portfolio's potential volatility. </w:t>
      </w:r>
    </w:p>
    <w:p w14:paraId="0430AFD7" w14:textId="77777777" w:rsidR="00F15482" w:rsidRDefault="00F15482" w:rsidP="00F15482">
      <w:pPr>
        <w:autoSpaceDE w:val="0"/>
        <w:autoSpaceDN w:val="0"/>
        <w:adjustRightInd w:val="0"/>
        <w:jc w:val="both"/>
      </w:pPr>
    </w:p>
    <w:p w14:paraId="5AD66BEC" w14:textId="77777777" w:rsidR="00F15482" w:rsidRDefault="00F15482" w:rsidP="00F15482">
      <w:pPr>
        <w:autoSpaceDE w:val="0"/>
        <w:autoSpaceDN w:val="0"/>
        <w:adjustRightInd w:val="0"/>
        <w:jc w:val="both"/>
      </w:pPr>
      <w:r>
        <w:t xml:space="preserve">A short position in a security poses more risk than holding the same security long, as a result of the effect of leverage.  Because a short position loses value as the security's price increases, the loss on a short sale is theoretically unlimited.  The loss on a long position is limited to what the Portfolio originally paid for the security together with any transaction costs.   </w:t>
      </w:r>
    </w:p>
    <w:p w14:paraId="6EF72C00" w14:textId="77777777" w:rsidR="00F15482" w:rsidRDefault="00F15482" w:rsidP="00F15482">
      <w:pPr>
        <w:autoSpaceDE w:val="0"/>
        <w:autoSpaceDN w:val="0"/>
        <w:adjustRightInd w:val="0"/>
        <w:jc w:val="both"/>
      </w:pPr>
    </w:p>
    <w:p w14:paraId="1B5FF217" w14:textId="77777777" w:rsidR="00F15482" w:rsidRDefault="00F15482" w:rsidP="00F15482">
      <w:pPr>
        <w:autoSpaceDE w:val="0"/>
        <w:autoSpaceDN w:val="0"/>
        <w:adjustRightInd w:val="0"/>
        <w:jc w:val="both"/>
      </w:pPr>
      <w:r>
        <w:t xml:space="preserve">The Portfolio Manager may not always be able to borrow a security the Portfolio Manager seeks to sell short at a particular time or at an acceptable price.  As a result, the Portfolio Manager may be unable to fully implement its investment strategy due to a lack of available securities or for other reasons.    </w:t>
      </w:r>
    </w:p>
    <w:p w14:paraId="4AD71A05" w14:textId="77777777" w:rsidR="00F15482" w:rsidRDefault="00F15482" w:rsidP="00F15482">
      <w:pPr>
        <w:autoSpaceDE w:val="0"/>
        <w:autoSpaceDN w:val="0"/>
        <w:adjustRightInd w:val="0"/>
        <w:jc w:val="both"/>
      </w:pPr>
    </w:p>
    <w:p w14:paraId="390E1E77" w14:textId="77777777" w:rsidR="00F15482" w:rsidRDefault="00F15482" w:rsidP="00F15482">
      <w:pPr>
        <w:autoSpaceDE w:val="0"/>
        <w:autoSpaceDN w:val="0"/>
        <w:adjustRightInd w:val="0"/>
        <w:jc w:val="both"/>
        <w:rPr>
          <w:color w:val="000000"/>
          <w:lang w:val="en-US"/>
        </w:rPr>
      </w:pPr>
      <w:r>
        <w:rPr>
          <w:color w:val="000000"/>
          <w:lang w:val="en-US"/>
        </w:rPr>
        <w:t xml:space="preserve">The Issuer will incur transaction costs, including interest expenses, in connection with opening, maintaining, and closing short sales.  Regulatory bans on certain short selling activities may prevent the Portfolio Manager from fully implementing its strategy and the Portfolio Manager will be required to comply with all regulatory requirements. </w:t>
      </w:r>
    </w:p>
    <w:p w14:paraId="6DB37D3D" w14:textId="77777777" w:rsidR="00F15482" w:rsidRPr="007908D8" w:rsidRDefault="00F15482" w:rsidP="00F15482">
      <w:pPr>
        <w:autoSpaceDE w:val="0"/>
        <w:autoSpaceDN w:val="0"/>
        <w:adjustRightInd w:val="0"/>
        <w:jc w:val="both"/>
        <w:rPr>
          <w:color w:val="000000"/>
          <w:lang w:val="en-US"/>
        </w:rPr>
      </w:pPr>
    </w:p>
    <w:p w14:paraId="19D88E57" w14:textId="77777777" w:rsidR="00F15482" w:rsidRPr="007908D8" w:rsidRDefault="00F15482" w:rsidP="00F15482">
      <w:pPr>
        <w:pStyle w:val="ScheduleHeading-Level2"/>
      </w:pPr>
      <w:r w:rsidRPr="007908D8">
        <w:lastRenderedPageBreak/>
        <w:t>Investment in Securities by the Portfolio Manager</w:t>
      </w:r>
    </w:p>
    <w:p w14:paraId="23D958C7" w14:textId="77777777" w:rsidR="00F15482" w:rsidRDefault="00F15482" w:rsidP="00F15482">
      <w:pPr>
        <w:pStyle w:val="BodyText"/>
      </w:pPr>
      <w:r>
        <w:t xml:space="preserve">The Portfolio Manager may invest in Securities that meet the Management Criteria.  The Management Criteria are very wide and allow the Portfolio Manager a wide discretion in selecting the Securities that it wishes to invest in. </w:t>
      </w:r>
    </w:p>
    <w:p w14:paraId="642F9478" w14:textId="77777777" w:rsidR="00F15482" w:rsidRDefault="00F15482" w:rsidP="00F15482">
      <w:pPr>
        <w:pStyle w:val="BodyText"/>
      </w:pPr>
      <w:r>
        <w:t xml:space="preserve">Potential investors should be aware that an investment in Securities involves a high degree of risk.  Typically, the success of any investment in Securities depends on the ability of the Portfolio Manager to choose, develop and realise appropriate investments, and there will be no guarantee that the Portfolio Manager will be able to choose, make and realise investments in any particular company or portfolio of companies.  </w:t>
      </w:r>
    </w:p>
    <w:p w14:paraId="105FB90E" w14:textId="77777777" w:rsidR="00F15482" w:rsidRDefault="00F15482" w:rsidP="00F15482">
      <w:pPr>
        <w:pStyle w:val="BodyText"/>
      </w:pPr>
      <w:r>
        <w:t>An investor in the Notes should ensure that they have considered the operational history of the Portfolio Manager and whether the Portfolio Manager has a proven track record, to the satisfaction of the investor in the Notes. Subject to the Management Criteria, the Portfolio Manager may invest in less established companies with lower capitalisations, fewer resources and little or no performance record.  As the investments in Securities are likely to be minority interests, it cannot be certain that investors’ interests will be effectively protected. There can be no assurance that the investments in the Securities will produce gains.  Some or all of the investment in any Securities may be lost which could have a negative impact on the value of the Notes.</w:t>
      </w:r>
    </w:p>
    <w:p w14:paraId="434B126C" w14:textId="77777777" w:rsidR="00F15482" w:rsidRDefault="00F15482" w:rsidP="00F15482">
      <w:pPr>
        <w:pStyle w:val="BodyText"/>
      </w:pPr>
      <w:r>
        <w:t>The Portfolio Manager’s investments may be exposed, directly or indirectly, to the performance of companies which may be highly leveraged and therefore may be more sensitive to adverse business or financial developments or economic factors. Such companies may face intense competition, changing business or economic conditions or other developments that may adversely affect their performance.</w:t>
      </w:r>
    </w:p>
    <w:p w14:paraId="320E85E3" w14:textId="77777777" w:rsidR="00F15482" w:rsidRDefault="00F15482" w:rsidP="00F15482">
      <w:pPr>
        <w:pStyle w:val="BodyText"/>
      </w:pPr>
      <w:r>
        <w:t xml:space="preserve">The activity of identifying, completing and realising attractive investments is highly competitive, and involves a significant degree of uncertainty.  Other investors such as funds and vehicles with similar investment objectives to the Issuer may be formed in the future by other unrelated parties and further consolidation may occur. There is no assurance that the Portfolio Manager will be able to locate, complete and exit investments that satisfy the Investment Objectives, or realise the value of such investments, or that it will be able to invest fully the amount committed. </w:t>
      </w:r>
    </w:p>
    <w:p w14:paraId="72332855" w14:textId="77777777" w:rsidR="00F15482" w:rsidRDefault="00F15482" w:rsidP="00F15482">
      <w:pPr>
        <w:pStyle w:val="BodyText"/>
      </w:pPr>
      <w:r>
        <w:t>Investments may not be liquidated for a number of years after the initial investment and may require a substantial length of time to liquidate.  As a result, there is a risk that the Portfolio Manager may be unable to realise the Investment Objectives by sale or other disposition at attractive prices or will otherwise be unable to complete any exit strategy.</w:t>
      </w:r>
    </w:p>
    <w:p w14:paraId="113E1D05" w14:textId="77777777" w:rsidR="006264C0" w:rsidRDefault="00F15482" w:rsidP="00F15482">
      <w:pPr>
        <w:pStyle w:val="BodyText"/>
      </w:pPr>
      <w:r>
        <w:t xml:space="preserve">In respect of the Margin Account, the Issuer (and, accordingly, the Noteholders also) is exposed to a fall in the prices of the Securities in the Portfolio. Further, the positions that the Portfolio Manager is allowed to take represent a leveraged exposure to Securities since the Portfolio Manager is able to invest on margin. This entails a high degree of risk, such that the Issuer (and accordingly the Noteholder also) could in certain circumstances suffer higher losses due to such leverage than it would have suffered in respect of an unleveraged account.  </w:t>
      </w:r>
    </w:p>
    <w:p w14:paraId="5ABE7BF3" w14:textId="16EBFB65" w:rsidR="00F15482" w:rsidRPr="006264C0" w:rsidRDefault="00F15482" w:rsidP="00F15482">
      <w:pPr>
        <w:pStyle w:val="BodyText"/>
      </w:pPr>
      <w:r w:rsidRPr="007908D8">
        <w:rPr>
          <w:i/>
        </w:rPr>
        <w:t xml:space="preserve">Lack of diversification </w:t>
      </w:r>
    </w:p>
    <w:p w14:paraId="58A60A1F" w14:textId="77777777" w:rsidR="00F15482" w:rsidRDefault="00F15482" w:rsidP="00F15482">
      <w:pPr>
        <w:pStyle w:val="ScheduleHeading-Level2"/>
        <w:keepNext w:val="0"/>
        <w:jc w:val="both"/>
        <w:rPr>
          <w:i w:val="0"/>
        </w:rPr>
      </w:pPr>
      <w:r>
        <w:rPr>
          <w:i w:val="0"/>
        </w:rPr>
        <w:t>There is no obligation on the Portfolio Manager to invest in a diversified pool of assets.  To the extent a significant percentage of the assets relating to the Notes are invested in a limited number of assets or classes of assets, such assets or classes of assets may be more susceptible to a single adverse economic or regulatory occurrence, and lead to greater fluctuations in the value of Notes than may have been the case when investing in a diversified pool of assets.</w:t>
      </w:r>
    </w:p>
    <w:p w14:paraId="76181C78" w14:textId="77777777" w:rsidR="006264C0" w:rsidRPr="006264C0" w:rsidRDefault="006264C0" w:rsidP="006264C0">
      <w:pPr>
        <w:pStyle w:val="BodyText"/>
      </w:pPr>
    </w:p>
    <w:p w14:paraId="74DF1B54" w14:textId="77777777" w:rsidR="00F15482" w:rsidRDefault="00F15482" w:rsidP="00F15482">
      <w:pPr>
        <w:autoSpaceDE w:val="0"/>
        <w:autoSpaceDN w:val="0"/>
        <w:adjustRightInd w:val="0"/>
        <w:jc w:val="both"/>
        <w:rPr>
          <w:b/>
          <w:i/>
        </w:rPr>
      </w:pPr>
      <w:r>
        <w:rPr>
          <w:b/>
          <w:i/>
        </w:rPr>
        <w:t>Summary of Principal Underlying Investment Risks</w:t>
      </w:r>
    </w:p>
    <w:p w14:paraId="2E285E14" w14:textId="77777777" w:rsidR="00F15482" w:rsidRDefault="00F15482" w:rsidP="00F15482">
      <w:pPr>
        <w:autoSpaceDE w:val="0"/>
        <w:autoSpaceDN w:val="0"/>
        <w:adjustRightInd w:val="0"/>
        <w:jc w:val="both"/>
      </w:pPr>
    </w:p>
    <w:p w14:paraId="5DADE2C8" w14:textId="77777777" w:rsidR="00F15482" w:rsidRDefault="00F15482" w:rsidP="00F15482">
      <w:pPr>
        <w:autoSpaceDE w:val="0"/>
        <w:autoSpaceDN w:val="0"/>
        <w:adjustRightInd w:val="0"/>
        <w:jc w:val="both"/>
      </w:pPr>
      <w:r>
        <w:t xml:space="preserve">As with any investment, you could lose all or part of your investment in the Notes, and the Notes' performance could trail that of other investments. The Notes are subject to the principal risks noted </w:t>
      </w:r>
      <w:r>
        <w:lastRenderedPageBreak/>
        <w:t>below (either directly or through its investments in underlying securities), any of which may adversely affect the Notes' Net Asset Value, trading price, yield, total return and ability to meet its investment objective.</w:t>
      </w:r>
    </w:p>
    <w:p w14:paraId="72E1F15D" w14:textId="77777777" w:rsidR="00F15482" w:rsidRDefault="00F15482" w:rsidP="00F15482">
      <w:pPr>
        <w:autoSpaceDE w:val="0"/>
        <w:autoSpaceDN w:val="0"/>
        <w:adjustRightInd w:val="0"/>
        <w:jc w:val="both"/>
        <w:rPr>
          <w:highlight w:val="yellow"/>
        </w:rPr>
      </w:pPr>
    </w:p>
    <w:p w14:paraId="60F56D67" w14:textId="77777777" w:rsidR="00F15482" w:rsidRDefault="00F15482" w:rsidP="00F15482">
      <w:pPr>
        <w:autoSpaceDE w:val="0"/>
        <w:autoSpaceDN w:val="0"/>
        <w:adjustRightInd w:val="0"/>
        <w:jc w:val="both"/>
      </w:pPr>
      <w:r>
        <w:rPr>
          <w:b/>
        </w:rPr>
        <w:t>Asset Class Risk:</w:t>
      </w:r>
      <w:r>
        <w:t xml:space="preserve"> Securities in an underlying portfolio may underperform in comparison to the general securities markets or other asset classes.</w:t>
      </w:r>
    </w:p>
    <w:p w14:paraId="4272E28F" w14:textId="77777777" w:rsidR="00F15482" w:rsidRDefault="00F15482" w:rsidP="00F15482">
      <w:pPr>
        <w:autoSpaceDE w:val="0"/>
        <w:autoSpaceDN w:val="0"/>
        <w:adjustRightInd w:val="0"/>
        <w:jc w:val="both"/>
      </w:pPr>
    </w:p>
    <w:p w14:paraId="4C6A4F21" w14:textId="77777777" w:rsidR="00F15482" w:rsidRDefault="00F15482" w:rsidP="00F15482">
      <w:pPr>
        <w:autoSpaceDE w:val="0"/>
        <w:autoSpaceDN w:val="0"/>
        <w:adjustRightInd w:val="0"/>
        <w:jc w:val="both"/>
      </w:pPr>
      <w:r w:rsidRPr="007908D8">
        <w:rPr>
          <w:b/>
        </w:rPr>
        <w:t>Commodity Risk:</w:t>
      </w:r>
      <w:r>
        <w:t xml:space="preserve"> The value of commodities and commodity-linked derivative instruments typically is based upon the price movements of a physical commodity or an economic variable linked to such price movements. The prices of commodities and commodity-related investments may fluctuate quickly and dramatically and may not correlate to price movements in other asset classes. An active trading market may not exist for certain commodities. Each of these factors and events could have a significant negative impact on the Notes.</w:t>
      </w:r>
    </w:p>
    <w:p w14:paraId="256A9442" w14:textId="77777777" w:rsidR="00F15482" w:rsidRDefault="00F15482" w:rsidP="00F15482">
      <w:pPr>
        <w:autoSpaceDE w:val="0"/>
        <w:autoSpaceDN w:val="0"/>
        <w:adjustRightInd w:val="0"/>
        <w:jc w:val="both"/>
        <w:rPr>
          <w:highlight w:val="yellow"/>
        </w:rPr>
      </w:pPr>
    </w:p>
    <w:p w14:paraId="04C677B4" w14:textId="77777777" w:rsidR="00F15482" w:rsidRDefault="00F15482" w:rsidP="00F15482">
      <w:pPr>
        <w:autoSpaceDE w:val="0"/>
        <w:autoSpaceDN w:val="0"/>
        <w:adjustRightInd w:val="0"/>
        <w:jc w:val="both"/>
      </w:pPr>
      <w:r>
        <w:rPr>
          <w:b/>
        </w:rPr>
        <w:t>Concentration Risk:</w:t>
      </w:r>
      <w:r>
        <w:t xml:space="preserve"> To the extent that the Notes' underlying investments are concentrated in a particular issuer, region, country, market, industry or asset class, the Notes may be susceptible to loss due to adverse occurrences affecting that issuer, region, country, market, industry or asset class.</w:t>
      </w:r>
    </w:p>
    <w:p w14:paraId="4CEAF20E" w14:textId="77777777" w:rsidR="00F15482" w:rsidRDefault="00F15482" w:rsidP="00F15482">
      <w:pPr>
        <w:autoSpaceDE w:val="0"/>
        <w:autoSpaceDN w:val="0"/>
        <w:adjustRightInd w:val="0"/>
        <w:jc w:val="both"/>
      </w:pPr>
    </w:p>
    <w:p w14:paraId="6C54EFBB" w14:textId="77777777" w:rsidR="00F15482" w:rsidRDefault="00F15482" w:rsidP="00F15482">
      <w:pPr>
        <w:autoSpaceDE w:val="0"/>
        <w:autoSpaceDN w:val="0"/>
        <w:adjustRightInd w:val="0"/>
        <w:jc w:val="both"/>
      </w:pPr>
      <w:r w:rsidRPr="007908D8">
        <w:rPr>
          <w:b/>
        </w:rPr>
        <w:t>Counterparty Risk:</w:t>
      </w:r>
      <w:r>
        <w:t xml:space="preserve"> The Issuer bears the risk that the counterparty to a derivative or other contract with a third party may default on its obligations or otherwise fail to honor its obligations. If a counterparty defaults on its payment obligations the Issuer will lose money and the value of an investment in the Notes may decrease. In addition, the Issuer may engage in such investment transactions with a limited number of counterparties.</w:t>
      </w:r>
    </w:p>
    <w:p w14:paraId="117DC150" w14:textId="77777777" w:rsidR="00F15482" w:rsidRDefault="00F15482" w:rsidP="00F15482">
      <w:pPr>
        <w:autoSpaceDE w:val="0"/>
        <w:autoSpaceDN w:val="0"/>
        <w:adjustRightInd w:val="0"/>
        <w:jc w:val="both"/>
      </w:pPr>
    </w:p>
    <w:p w14:paraId="05F0B34C" w14:textId="114E51EE" w:rsidR="008E2B92" w:rsidRDefault="008E2B92" w:rsidP="008E2B92">
      <w:pPr>
        <w:autoSpaceDE w:val="0"/>
        <w:autoSpaceDN w:val="0"/>
        <w:adjustRightInd w:val="0"/>
        <w:jc w:val="both"/>
      </w:pPr>
      <w:r w:rsidRPr="007908D8">
        <w:rPr>
          <w:b/>
        </w:rPr>
        <w:t>Credit Risk:</w:t>
      </w:r>
      <w:r>
        <w:t xml:space="preserve"> The financial condition of an issuer of Securities may cause it to default or become unable to pay interest or principal due or otherwise fail to perform. The Issuer cannot collect interest and principal payments on Securities if the issuer defaults. While the Issuer attempts to limit credit exposure in a manner consistent with its investment objective, the value of an investment in the Notes may change quickly and without warning in response to issuer defaults and changes in the credit ratings of the Issuer’s portfolio investments.</w:t>
      </w:r>
    </w:p>
    <w:p w14:paraId="04A9C4DF" w14:textId="77777777" w:rsidR="008E2B92" w:rsidRDefault="008E2B92" w:rsidP="008E2B92">
      <w:pPr>
        <w:autoSpaceDE w:val="0"/>
        <w:autoSpaceDN w:val="0"/>
        <w:adjustRightInd w:val="0"/>
        <w:jc w:val="both"/>
      </w:pPr>
    </w:p>
    <w:p w14:paraId="2F9B36FF" w14:textId="23787BAF" w:rsidR="00F15482" w:rsidRDefault="00F15482" w:rsidP="00F15482">
      <w:pPr>
        <w:autoSpaceDE w:val="0"/>
        <w:autoSpaceDN w:val="0"/>
        <w:adjustRightInd w:val="0"/>
        <w:jc w:val="both"/>
      </w:pPr>
      <w:r w:rsidRPr="007908D8">
        <w:rPr>
          <w:b/>
        </w:rPr>
        <w:t>Currency Exchange Rate Risk:</w:t>
      </w:r>
      <w:r>
        <w:t xml:space="preserve"> The Issuer currently invests a relatively large percentage of its assets in investments denominated in non-U.S. currencies, or in securities that provide exposure to such currencies, currency exchange rates or interest rates denominated in such currencies. Changes in currency exchange rates and the relative value of non-U.S. currencies will affect the value of the Issuer’s investment and the value of the Notes. Currency exchange rates can be very volatile and can change quickly and unpredictably. As a result, the value of an investment in the Notes may change quickly and without warning and you may lose money.</w:t>
      </w:r>
    </w:p>
    <w:p w14:paraId="4FD07222" w14:textId="2B53D0F6" w:rsidR="00F15482" w:rsidRDefault="00875F02" w:rsidP="00875F02">
      <w:pPr>
        <w:tabs>
          <w:tab w:val="left" w:pos="1080"/>
        </w:tabs>
        <w:autoSpaceDE w:val="0"/>
        <w:autoSpaceDN w:val="0"/>
        <w:adjustRightInd w:val="0"/>
        <w:jc w:val="both"/>
      </w:pPr>
      <w:r>
        <w:tab/>
      </w:r>
    </w:p>
    <w:p w14:paraId="5F3B14A6" w14:textId="77777777" w:rsidR="00F15482" w:rsidRDefault="00F15482" w:rsidP="00F15482">
      <w:pPr>
        <w:autoSpaceDE w:val="0"/>
        <w:autoSpaceDN w:val="0"/>
        <w:adjustRightInd w:val="0"/>
        <w:jc w:val="both"/>
      </w:pPr>
      <w:r w:rsidRPr="007908D8">
        <w:rPr>
          <w:b/>
        </w:rPr>
        <w:t>Equity Securities Risk:</w:t>
      </w:r>
      <w:r>
        <w:t xml:space="preserve"> Equity securities are subject to changes in value and their values may be more volatile than other asset classes.</w:t>
      </w:r>
    </w:p>
    <w:p w14:paraId="78940961" w14:textId="77777777" w:rsidR="00F15482" w:rsidRDefault="00F15482" w:rsidP="00F15482">
      <w:pPr>
        <w:autoSpaceDE w:val="0"/>
        <w:autoSpaceDN w:val="0"/>
        <w:adjustRightInd w:val="0"/>
        <w:jc w:val="both"/>
      </w:pPr>
    </w:p>
    <w:p w14:paraId="38857486" w14:textId="245413F3" w:rsidR="00F15482" w:rsidRDefault="00F15482" w:rsidP="00F15482">
      <w:pPr>
        <w:autoSpaceDE w:val="0"/>
        <w:autoSpaceDN w:val="0"/>
        <w:adjustRightInd w:val="0"/>
        <w:jc w:val="both"/>
      </w:pPr>
      <w:r w:rsidRPr="007908D8">
        <w:rPr>
          <w:b/>
        </w:rPr>
        <w:t>Interest Rate Risk:</w:t>
      </w:r>
      <w:r>
        <w:t xml:space="preserve"> Interest rate risk is the risk that fixed income securities will decline in value because of changes in interest rates and other factors, such as perception of an issuer’s creditworthiness.</w:t>
      </w:r>
    </w:p>
    <w:p w14:paraId="1C6DDFE6" w14:textId="77777777" w:rsidR="00CD42E8" w:rsidRDefault="00CD42E8" w:rsidP="00F15482">
      <w:pPr>
        <w:autoSpaceDE w:val="0"/>
        <w:autoSpaceDN w:val="0"/>
        <w:adjustRightInd w:val="0"/>
        <w:jc w:val="both"/>
      </w:pPr>
    </w:p>
    <w:p w14:paraId="6701BEDB" w14:textId="3826EF12" w:rsidR="00CD42E8" w:rsidRPr="00CD42E8" w:rsidRDefault="00CD42E8" w:rsidP="00CD42E8">
      <w:pPr>
        <w:autoSpaceDE w:val="0"/>
        <w:autoSpaceDN w:val="0"/>
        <w:adjustRightInd w:val="0"/>
        <w:jc w:val="both"/>
        <w:rPr>
          <w:b/>
        </w:rPr>
      </w:pPr>
      <w:r>
        <w:rPr>
          <w:b/>
        </w:rPr>
        <w:t xml:space="preserve">Investment in ETFs: </w:t>
      </w:r>
      <w:r>
        <w:t xml:space="preserve">The Portfolio Manager may also invest in exchange-traded funds (“ETFs”).   Therefore, the Issuer will be subject to the risks associated with such ETFs’ investments, being the possibility that the value of the investments by an ETF could decrease.  These risks include: </w:t>
      </w:r>
    </w:p>
    <w:p w14:paraId="65DCBECE" w14:textId="77777777" w:rsidR="00CD42E8" w:rsidRDefault="00CD42E8" w:rsidP="00CD42E8">
      <w:pPr>
        <w:autoSpaceDE w:val="0"/>
        <w:autoSpaceDN w:val="0"/>
        <w:adjustRightInd w:val="0"/>
        <w:jc w:val="both"/>
      </w:pPr>
    </w:p>
    <w:p w14:paraId="4903CE18" w14:textId="48AE681B" w:rsidR="00CD42E8" w:rsidRDefault="00CD42E8" w:rsidP="00CD42E8">
      <w:pPr>
        <w:pStyle w:val="ListParagraph"/>
        <w:numPr>
          <w:ilvl w:val="0"/>
          <w:numId w:val="46"/>
        </w:numPr>
        <w:autoSpaceDE w:val="0"/>
        <w:autoSpaceDN w:val="0"/>
        <w:adjustRightInd w:val="0"/>
        <w:jc w:val="both"/>
      </w:pPr>
      <w:r>
        <w:t>Concentration Risk.  An ETF may, at various times, concentrate in the securities of a particular industry, group of industries, or sector.  When an ETF is overweighed in an industry, group of industries, or sector, it may be more sensitive to any single economic, business, political, or regulatory occurrence than a fund that is not overweighed in an industry, group of industries, or sector.</w:t>
      </w:r>
    </w:p>
    <w:p w14:paraId="32065632" w14:textId="77777777" w:rsidR="00CD42E8" w:rsidRDefault="00CD42E8" w:rsidP="00CD42E8">
      <w:pPr>
        <w:autoSpaceDE w:val="0"/>
        <w:autoSpaceDN w:val="0"/>
        <w:adjustRightInd w:val="0"/>
        <w:jc w:val="both"/>
      </w:pPr>
    </w:p>
    <w:p w14:paraId="38259016" w14:textId="75F8C059" w:rsidR="00CD42E8" w:rsidRDefault="001C68B5" w:rsidP="00CD42E8">
      <w:pPr>
        <w:pStyle w:val="ListParagraph"/>
        <w:numPr>
          <w:ilvl w:val="0"/>
          <w:numId w:val="46"/>
        </w:numPr>
        <w:autoSpaceDE w:val="0"/>
        <w:autoSpaceDN w:val="0"/>
        <w:adjustRightInd w:val="0"/>
        <w:jc w:val="both"/>
      </w:pPr>
      <w:r>
        <w:t xml:space="preserve">Equity Risk. </w:t>
      </w:r>
      <w:r w:rsidR="00CD42E8">
        <w:t>The prices of equity securities in which an ETF invests or is ex</w:t>
      </w:r>
      <w:r>
        <w:t xml:space="preserve">posed to rise and fall daily. </w:t>
      </w:r>
      <w:r w:rsidR="00CD42E8">
        <w:t>These price movements may result from factors affecting individual companies, industries or the securities market as a whole.</w:t>
      </w:r>
    </w:p>
    <w:p w14:paraId="14156041" w14:textId="77777777" w:rsidR="00CD42E8" w:rsidRDefault="00CD42E8" w:rsidP="00CD42E8">
      <w:pPr>
        <w:autoSpaceDE w:val="0"/>
        <w:autoSpaceDN w:val="0"/>
        <w:adjustRightInd w:val="0"/>
        <w:jc w:val="both"/>
      </w:pPr>
    </w:p>
    <w:p w14:paraId="131A634D" w14:textId="1C84D8EB" w:rsidR="00CD42E8" w:rsidRDefault="001C68B5" w:rsidP="00CD42E8">
      <w:pPr>
        <w:pStyle w:val="ListParagraph"/>
        <w:numPr>
          <w:ilvl w:val="0"/>
          <w:numId w:val="46"/>
        </w:numPr>
        <w:autoSpaceDE w:val="0"/>
        <w:autoSpaceDN w:val="0"/>
        <w:adjustRightInd w:val="0"/>
        <w:jc w:val="both"/>
      </w:pPr>
      <w:r>
        <w:lastRenderedPageBreak/>
        <w:t xml:space="preserve">Investment Risk. </w:t>
      </w:r>
      <w:r w:rsidR="00CD42E8">
        <w:t>Similar to an investment in the Notes, an investment in an ETF is not a bank deposit and is not insured or guaranteed by the Federal Deposit Insurance Corporation or any other government agency.  The Issuer may experience losses with respect to its investment in an ETF.   Further, there is no guarantee that an ETF will be able to achieve its investment objective.</w:t>
      </w:r>
    </w:p>
    <w:p w14:paraId="76603199" w14:textId="77777777" w:rsidR="00CD42E8" w:rsidRDefault="00CD42E8" w:rsidP="00CD42E8">
      <w:pPr>
        <w:autoSpaceDE w:val="0"/>
        <w:autoSpaceDN w:val="0"/>
        <w:adjustRightInd w:val="0"/>
        <w:jc w:val="both"/>
      </w:pPr>
    </w:p>
    <w:p w14:paraId="635BB65D" w14:textId="5F45533C" w:rsidR="00CD42E8" w:rsidRDefault="00CD42E8" w:rsidP="00CD42E8">
      <w:pPr>
        <w:pStyle w:val="ListParagraph"/>
        <w:numPr>
          <w:ilvl w:val="0"/>
          <w:numId w:val="46"/>
        </w:numPr>
        <w:autoSpaceDE w:val="0"/>
        <w:autoSpaceDN w:val="0"/>
        <w:adjustRightInd w:val="0"/>
        <w:jc w:val="both"/>
      </w:pPr>
      <w:r>
        <w:t xml:space="preserve">Large-Cap </w:t>
      </w:r>
      <w:r w:rsidR="001C68B5">
        <w:t>Risk.</w:t>
      </w:r>
      <w:r>
        <w:t xml:space="preserve"> An ETF may invest in large-cap companies. Returns on investments in stocks of large U.S. companies could trail the returns on investments in stocks of small- and mid-cap companies or the market as a whole.</w:t>
      </w:r>
    </w:p>
    <w:p w14:paraId="506FEA52" w14:textId="77777777" w:rsidR="00CD42E8" w:rsidRDefault="00CD42E8" w:rsidP="00CD42E8">
      <w:pPr>
        <w:autoSpaceDE w:val="0"/>
        <w:autoSpaceDN w:val="0"/>
        <w:adjustRightInd w:val="0"/>
        <w:jc w:val="both"/>
      </w:pPr>
    </w:p>
    <w:p w14:paraId="707D3223" w14:textId="45CA989D" w:rsidR="00CD42E8" w:rsidRDefault="00CD42E8" w:rsidP="00CD42E8">
      <w:pPr>
        <w:pStyle w:val="ListParagraph"/>
        <w:numPr>
          <w:ilvl w:val="0"/>
          <w:numId w:val="46"/>
        </w:numPr>
        <w:autoSpaceDE w:val="0"/>
        <w:autoSpaceDN w:val="0"/>
        <w:adjustRightInd w:val="0"/>
        <w:jc w:val="both"/>
      </w:pPr>
      <w:r>
        <w:t>Small- or Mid-Cap Risk.  An ETF may invest in small- or mid-cap companies.   Small- or mid- cap companies may be more volatile and more likely than large-cap companies to have limited product lines, markets or financial resources, or depend on a few key employees.  Returns on investments in stocks of small- or mid-cap companies could trail the returns on investments in stocks of large-cap companies or the market as a whole.</w:t>
      </w:r>
    </w:p>
    <w:p w14:paraId="0DF96D91" w14:textId="77777777" w:rsidR="00CD42E8" w:rsidRDefault="00CD42E8" w:rsidP="00CD42E8">
      <w:pPr>
        <w:autoSpaceDE w:val="0"/>
        <w:autoSpaceDN w:val="0"/>
        <w:adjustRightInd w:val="0"/>
        <w:jc w:val="both"/>
      </w:pPr>
    </w:p>
    <w:p w14:paraId="3E332B2F" w14:textId="7196EB37" w:rsidR="00CD42E8" w:rsidRDefault="00CD42E8" w:rsidP="00CD42E8">
      <w:pPr>
        <w:autoSpaceDE w:val="0"/>
        <w:autoSpaceDN w:val="0"/>
        <w:adjustRightInd w:val="0"/>
        <w:jc w:val="both"/>
      </w:pPr>
      <w:r>
        <w:t>The Issuer’s exposure to a particular risk will be proportionate to the Issuer’s overall asset allocation and the asset allocation of the ETFs that the Issuer has invested in.</w:t>
      </w:r>
    </w:p>
    <w:p w14:paraId="4DC5DF41" w14:textId="77777777" w:rsidR="00F15482" w:rsidRDefault="00F15482" w:rsidP="00F15482">
      <w:pPr>
        <w:autoSpaceDE w:val="0"/>
        <w:autoSpaceDN w:val="0"/>
        <w:adjustRightInd w:val="0"/>
        <w:jc w:val="both"/>
      </w:pPr>
    </w:p>
    <w:p w14:paraId="3B129D4D" w14:textId="77777777" w:rsidR="00F15482" w:rsidRDefault="00F15482" w:rsidP="00F15482">
      <w:pPr>
        <w:autoSpaceDE w:val="0"/>
        <w:autoSpaceDN w:val="0"/>
        <w:adjustRightInd w:val="0"/>
        <w:jc w:val="both"/>
      </w:pPr>
      <w:r w:rsidRPr="007908D8">
        <w:rPr>
          <w:b/>
        </w:rPr>
        <w:t>Investment Risk:</w:t>
      </w:r>
      <w:r>
        <w:t xml:space="preserve"> As with all investments, an investment in the Notes is subject to investment risk. Noteholders could lose money, including the possible loss of the entire principal amount of an investment, over short or long periods of time.</w:t>
      </w:r>
    </w:p>
    <w:p w14:paraId="542960E6" w14:textId="77777777" w:rsidR="00F15482" w:rsidRDefault="00F15482" w:rsidP="00F15482">
      <w:pPr>
        <w:autoSpaceDE w:val="0"/>
        <w:autoSpaceDN w:val="0"/>
        <w:adjustRightInd w:val="0"/>
        <w:jc w:val="both"/>
      </w:pPr>
    </w:p>
    <w:p w14:paraId="27B3CDBB" w14:textId="63DFB742" w:rsidR="008E2B92" w:rsidRDefault="008E2B92" w:rsidP="008E2B92">
      <w:pPr>
        <w:autoSpaceDE w:val="0"/>
        <w:autoSpaceDN w:val="0"/>
        <w:adjustRightInd w:val="0"/>
        <w:jc w:val="both"/>
      </w:pPr>
      <w:r w:rsidRPr="007908D8">
        <w:rPr>
          <w:b/>
        </w:rPr>
        <w:t>Issuer-Specific Risk:</w:t>
      </w:r>
      <w:r>
        <w:t xml:space="preserve"> Issuer-specific events relating to the underlying issuer of Securities, including changes in the financial condition of any such issuer, can have a negative impact on the value of the Notes.</w:t>
      </w:r>
    </w:p>
    <w:p w14:paraId="188655E4" w14:textId="77777777" w:rsidR="008E2B92" w:rsidRDefault="008E2B92" w:rsidP="008E2B92">
      <w:pPr>
        <w:autoSpaceDE w:val="0"/>
        <w:autoSpaceDN w:val="0"/>
        <w:adjustRightInd w:val="0"/>
        <w:jc w:val="both"/>
      </w:pPr>
    </w:p>
    <w:p w14:paraId="52772DCC" w14:textId="77777777" w:rsidR="00F15482" w:rsidRDefault="00F15482" w:rsidP="00F15482">
      <w:pPr>
        <w:autoSpaceDE w:val="0"/>
        <w:autoSpaceDN w:val="0"/>
        <w:adjustRightInd w:val="0"/>
        <w:jc w:val="both"/>
      </w:pPr>
      <w:r w:rsidRPr="007908D8">
        <w:rPr>
          <w:b/>
        </w:rPr>
        <w:t>Liquidity Risk:</w:t>
      </w:r>
      <w:r>
        <w:t xml:space="preserve"> The Issuer may invest in derivatives and other instruments that may be less liquid than other types of investments. The derivatives in which the Issuer invests may not always be liquid. This could have a negative effect on the Issuer’s ability to achieve its investment objective and may result in losses to holders of the Notes.</w:t>
      </w:r>
    </w:p>
    <w:p w14:paraId="4124C792" w14:textId="77777777" w:rsidR="00F15482" w:rsidRDefault="00F15482" w:rsidP="00F15482">
      <w:pPr>
        <w:autoSpaceDE w:val="0"/>
        <w:autoSpaceDN w:val="0"/>
        <w:adjustRightInd w:val="0"/>
        <w:jc w:val="both"/>
      </w:pPr>
    </w:p>
    <w:p w14:paraId="3B090B6C" w14:textId="77777777" w:rsidR="00F15482" w:rsidRDefault="00F15482" w:rsidP="00F15482">
      <w:pPr>
        <w:autoSpaceDE w:val="0"/>
        <w:autoSpaceDN w:val="0"/>
        <w:adjustRightInd w:val="0"/>
        <w:jc w:val="both"/>
      </w:pPr>
      <w:r w:rsidRPr="007908D8">
        <w:rPr>
          <w:b/>
        </w:rPr>
        <w:t>Management Risk:</w:t>
      </w:r>
      <w:r>
        <w:t xml:space="preserve"> The Portfolio is actively managed by the Portfolio Manager using proprietary investment strategies and processes. There can be no guarantee that these strategies and processes will be successful or that the Portfolio Manager will achieve its investment objective</w:t>
      </w:r>
    </w:p>
    <w:p w14:paraId="650810D7" w14:textId="77777777" w:rsidR="00F15482" w:rsidRDefault="00F15482" w:rsidP="00F15482">
      <w:pPr>
        <w:autoSpaceDE w:val="0"/>
        <w:autoSpaceDN w:val="0"/>
        <w:adjustRightInd w:val="0"/>
        <w:jc w:val="both"/>
      </w:pPr>
    </w:p>
    <w:p w14:paraId="017AE372" w14:textId="77777777" w:rsidR="00F15482" w:rsidRDefault="00F15482" w:rsidP="00F15482">
      <w:pPr>
        <w:autoSpaceDE w:val="0"/>
        <w:autoSpaceDN w:val="0"/>
        <w:adjustRightInd w:val="0"/>
        <w:jc w:val="both"/>
      </w:pPr>
      <w:r w:rsidRPr="007908D8">
        <w:rPr>
          <w:b/>
        </w:rPr>
        <w:t>Market Risk:</w:t>
      </w:r>
      <w:r>
        <w:t xml:space="preserve"> The trading prices of commodities, currencies, fixed income securities and other instruments fluctuate in response to a variety of factors. The NAV of the Notes and market price may fluctuate significantly in response to these factors. As a result, an investor could lose money over short or long periods of time.</w:t>
      </w:r>
    </w:p>
    <w:p w14:paraId="62744FFF" w14:textId="77777777" w:rsidR="00F15482" w:rsidRDefault="00F15482" w:rsidP="00F15482">
      <w:pPr>
        <w:autoSpaceDE w:val="0"/>
        <w:autoSpaceDN w:val="0"/>
        <w:adjustRightInd w:val="0"/>
        <w:jc w:val="both"/>
        <w:rPr>
          <w:highlight w:val="yellow"/>
        </w:rPr>
      </w:pPr>
    </w:p>
    <w:p w14:paraId="232DE3B3" w14:textId="03BDED6F" w:rsidR="00F15482" w:rsidRDefault="00F15482" w:rsidP="00F15482">
      <w:pPr>
        <w:autoSpaceDE w:val="0"/>
        <w:autoSpaceDN w:val="0"/>
        <w:adjustRightInd w:val="0"/>
        <w:jc w:val="both"/>
      </w:pPr>
      <w:r>
        <w:rPr>
          <w:b/>
        </w:rPr>
        <w:t>Market Trading Risk:</w:t>
      </w:r>
      <w:r>
        <w:t xml:space="preserve"> The Issuer faces numerous market trading risks, including the potential lack of an active market for the Notes, losses from trading in secondary markets and periods of high volatility. ANY OF THESE FACTORS, AMONG OTHERS, MAY LEAD TO THE NOTES TRADING AT A PREMIU</w:t>
      </w:r>
      <w:r w:rsidR="00F162AB">
        <w:t>M OR DISCOUNT TO NET ASSET VALUE</w:t>
      </w:r>
      <w:r>
        <w:t>.</w:t>
      </w:r>
    </w:p>
    <w:p w14:paraId="328504D9" w14:textId="77777777" w:rsidR="00F15482" w:rsidRDefault="00F15482" w:rsidP="00F15482">
      <w:pPr>
        <w:autoSpaceDE w:val="0"/>
        <w:autoSpaceDN w:val="0"/>
        <w:adjustRightInd w:val="0"/>
        <w:jc w:val="both"/>
      </w:pPr>
    </w:p>
    <w:p w14:paraId="3417C2DD" w14:textId="77777777" w:rsidR="00F15482" w:rsidRDefault="00F15482" w:rsidP="00F15482">
      <w:pPr>
        <w:autoSpaceDE w:val="0"/>
        <w:autoSpaceDN w:val="0"/>
        <w:adjustRightInd w:val="0"/>
        <w:jc w:val="both"/>
      </w:pPr>
      <w:r w:rsidRPr="007908D8">
        <w:rPr>
          <w:b/>
        </w:rPr>
        <w:t>Non-Diversification Risk:</w:t>
      </w:r>
      <w:r>
        <w:t xml:space="preserve"> The Portfolio is considered to be non-diversified, which means that it may invest more of its assets in the securities of a single issuer or a smaller number of issuers than if it were a diversified Portfolio. To the extent the Issuer invests a significant percentage of its assets in a limited number of issuers, the Issuer is subject to the risks of investing in those few issuers, and may be more susceptible to a single adverse economic or regulatory occurrence. As a result, changes in the market value of a single security could cause greater fluctuations in the value of the Notes than would occur in a diversified note.</w:t>
      </w:r>
    </w:p>
    <w:p w14:paraId="0E9B5D73" w14:textId="77777777" w:rsidR="00F15482" w:rsidRDefault="00F15482" w:rsidP="00F15482">
      <w:pPr>
        <w:autoSpaceDE w:val="0"/>
        <w:autoSpaceDN w:val="0"/>
        <w:adjustRightInd w:val="0"/>
        <w:jc w:val="both"/>
      </w:pPr>
    </w:p>
    <w:p w14:paraId="795CAAFD" w14:textId="06A64C23" w:rsidR="00F15482" w:rsidRDefault="00F15482" w:rsidP="00F15482">
      <w:pPr>
        <w:autoSpaceDE w:val="0"/>
        <w:autoSpaceDN w:val="0"/>
        <w:adjustRightInd w:val="0"/>
        <w:jc w:val="both"/>
        <w:rPr>
          <w:b/>
        </w:rPr>
      </w:pPr>
      <w:r w:rsidRPr="007908D8">
        <w:rPr>
          <w:b/>
        </w:rPr>
        <w:t>Portfolio Turnover Risk:</w:t>
      </w:r>
      <w:r>
        <w:t xml:space="preserve"> The Issuer's strategy may frequently involve buying and selling portfolio securities to rebalance the Portfolio's exposure. Higher portfolio turnover may result in the Issuer paying higher levels of transaction costs</w:t>
      </w:r>
      <w:r>
        <w:rPr>
          <w:i/>
        </w:rPr>
        <w:t>.</w:t>
      </w:r>
      <w:r>
        <w:t xml:space="preserve"> Portfolio turnover risk may cause the performance of the Notes to be less than you expect.</w:t>
      </w:r>
    </w:p>
    <w:p w14:paraId="3C803B54" w14:textId="77777777" w:rsidR="00CD42E8" w:rsidRDefault="00CD42E8" w:rsidP="00F15482">
      <w:pPr>
        <w:autoSpaceDE w:val="0"/>
        <w:autoSpaceDN w:val="0"/>
        <w:adjustRightInd w:val="0"/>
        <w:jc w:val="both"/>
      </w:pPr>
    </w:p>
    <w:p w14:paraId="6AFBFA51" w14:textId="73888AAA" w:rsidR="00CD42E8" w:rsidRDefault="00CD42E8" w:rsidP="00CD42E8">
      <w:pPr>
        <w:autoSpaceDE w:val="0"/>
        <w:autoSpaceDN w:val="0"/>
        <w:adjustRightInd w:val="0"/>
        <w:jc w:val="both"/>
      </w:pPr>
      <w:r w:rsidRPr="00CD42E8">
        <w:rPr>
          <w:b/>
        </w:rPr>
        <w:lastRenderedPageBreak/>
        <w:t>Preferred Stock</w:t>
      </w:r>
      <w:r>
        <w:t>: Preferred stock is subject to many of the risks associated with debt securities, including interest rate risk.   As interest rates rise, the value of the preferred stocks held are likely to decline.   In addition, preferred stock may not pay a dividend, an issuer may suspend payment of dividends on preferred stock at any time, and in certain situations an issuer may call or redeem its preferred stock or convert it to common stock.</w:t>
      </w:r>
    </w:p>
    <w:p w14:paraId="46C208ED" w14:textId="77777777" w:rsidR="00F15482" w:rsidRDefault="00F15482" w:rsidP="00F15482">
      <w:pPr>
        <w:autoSpaceDE w:val="0"/>
        <w:autoSpaceDN w:val="0"/>
        <w:adjustRightInd w:val="0"/>
        <w:jc w:val="both"/>
      </w:pPr>
    </w:p>
    <w:p w14:paraId="1CDD4437" w14:textId="77777777" w:rsidR="00F15482" w:rsidRDefault="00F15482" w:rsidP="00F15482">
      <w:pPr>
        <w:autoSpaceDE w:val="0"/>
        <w:autoSpaceDN w:val="0"/>
        <w:adjustRightInd w:val="0"/>
        <w:jc w:val="both"/>
      </w:pPr>
      <w:r w:rsidRPr="007908D8">
        <w:rPr>
          <w:b/>
        </w:rPr>
        <w:t>Short Sales Risk:</w:t>
      </w:r>
      <w:r>
        <w:t xml:space="preserve"> The Issuer may engage in “short sale” transactions. The Notes will lose value if the security or instrument that is the subject of a short sale increases in value. The Issuer also may enter into a short derivative position through a futures contract, swap agreement, structured note, or short positions on currency forwards. If the price of the security or derivative that is the subject of a short sale increases, then the Notes will incur a loss equal to the increase in price from the time that the short sale was entered into plus any premiums and interest paid to a third party in connection with the short sale. Therefore, short sales involve the risk that losses may be exaggerated, potentially losing more money than the actual cost of the investment. Also, there is the risk that the third party to the short sale may fail to honor its contract terms, causing a loss to the holders of the Notes.</w:t>
      </w:r>
    </w:p>
    <w:p w14:paraId="51EF22D3" w14:textId="77777777" w:rsidR="00F15482" w:rsidRDefault="00F15482" w:rsidP="00F15482">
      <w:pPr>
        <w:autoSpaceDE w:val="0"/>
        <w:autoSpaceDN w:val="0"/>
        <w:adjustRightInd w:val="0"/>
        <w:jc w:val="both"/>
        <w:rPr>
          <w:highlight w:val="yellow"/>
        </w:rPr>
      </w:pPr>
    </w:p>
    <w:p w14:paraId="5E17E49F" w14:textId="77777777" w:rsidR="00F15482" w:rsidRDefault="00F15482" w:rsidP="00F15482">
      <w:pPr>
        <w:autoSpaceDE w:val="0"/>
        <w:autoSpaceDN w:val="0"/>
        <w:adjustRightInd w:val="0"/>
        <w:jc w:val="both"/>
      </w:pPr>
      <w:r>
        <w:rPr>
          <w:b/>
        </w:rPr>
        <w:t>Strategy Risk:</w:t>
      </w:r>
      <w:r>
        <w:t xml:space="preserve"> The Portfolio Manager cannot offer assurances that the Securities allocation model will maximize returns or minimize risk, or be appropriate for every investor seeking a particular risk profile.</w:t>
      </w:r>
    </w:p>
    <w:p w14:paraId="55AA9E26" w14:textId="77777777" w:rsidR="00F15482" w:rsidRDefault="00F15482" w:rsidP="00F15482">
      <w:pPr>
        <w:autoSpaceDE w:val="0"/>
        <w:autoSpaceDN w:val="0"/>
        <w:adjustRightInd w:val="0"/>
        <w:jc w:val="both"/>
      </w:pPr>
    </w:p>
    <w:p w14:paraId="0D81F159" w14:textId="77777777" w:rsidR="00F15482" w:rsidRDefault="00F15482" w:rsidP="00F15482">
      <w:pPr>
        <w:autoSpaceDE w:val="0"/>
        <w:autoSpaceDN w:val="0"/>
        <w:adjustRightInd w:val="0"/>
        <w:jc w:val="both"/>
      </w:pPr>
      <w:r w:rsidRPr="007908D8">
        <w:rPr>
          <w:b/>
        </w:rPr>
        <w:t>Volatility Risk:</w:t>
      </w:r>
      <w:r>
        <w:t xml:space="preserve"> The Notes and their underlying Benchmark are designed to capture the long-term economic benefits of rising or declining market trends. Frequent or significant short-term price movements could adversely impact the performance of the Benchmark and the Notes.</w:t>
      </w:r>
    </w:p>
    <w:p w14:paraId="4D149921" w14:textId="77777777" w:rsidR="00F15482" w:rsidRDefault="00F15482" w:rsidP="00F15482">
      <w:pPr>
        <w:autoSpaceDE w:val="0"/>
        <w:autoSpaceDN w:val="0"/>
        <w:adjustRightInd w:val="0"/>
        <w:rPr>
          <w:highlight w:val="yellow"/>
        </w:rPr>
      </w:pPr>
    </w:p>
    <w:p w14:paraId="2A4370DD" w14:textId="77777777" w:rsidR="00F15482" w:rsidRDefault="00F15482" w:rsidP="00F15482">
      <w:pPr>
        <w:pStyle w:val="BodyText"/>
        <w:keepNext/>
        <w:rPr>
          <w:b/>
          <w:i/>
        </w:rPr>
      </w:pPr>
      <w:r>
        <w:rPr>
          <w:b/>
          <w:i/>
        </w:rPr>
        <w:t>Security for the Notes</w:t>
      </w:r>
    </w:p>
    <w:p w14:paraId="784D9B02" w14:textId="6EFD83BB" w:rsidR="00F15482" w:rsidRDefault="00F15482" w:rsidP="00F15482">
      <w:pPr>
        <w:pStyle w:val="ScheduleHeading-Level2"/>
        <w:keepNext w:val="0"/>
        <w:jc w:val="both"/>
        <w:rPr>
          <w:i w:val="0"/>
        </w:rPr>
      </w:pPr>
      <w:r>
        <w:rPr>
          <w:i w:val="0"/>
        </w:rPr>
        <w:t xml:space="preserve">As the Securities held in respect of the Notes are held in the Margin Account, which is held with the Margin Account Provider, the Issuer will grant security interests over the Margin Account pursuant to a New York law governed Supplemental Security Agreement entered into between the Issuer, the Trustee and the </w:t>
      </w:r>
      <w:r w:rsidR="00086A7D">
        <w:rPr>
          <w:i w:val="0"/>
        </w:rPr>
        <w:t>Broker Dealer of Record</w:t>
      </w:r>
      <w:r>
        <w:rPr>
          <w:i w:val="0"/>
        </w:rPr>
        <w:t xml:space="preserve"> dated on or about the Issue Date.  However, these security interests and the security interests created by the Trust Deed </w:t>
      </w:r>
      <w:r w:rsidR="00F162AB">
        <w:rPr>
          <w:i w:val="0"/>
        </w:rPr>
        <w:t xml:space="preserve">and the Constituting Instrument </w:t>
      </w:r>
      <w:r>
        <w:rPr>
          <w:i w:val="0"/>
        </w:rPr>
        <w:t>in favour of the Secured Parties (which includes the Noteholders) are subject to and subordinated to the lien and the security interests held by the Margin Account Provider in respect of Securities held in the Margin Account.  See “</w:t>
      </w:r>
      <w:r>
        <w:t>Description in relation to the security arrangements in respect of the Notes</w:t>
      </w:r>
      <w:r>
        <w:rPr>
          <w:i w:val="0"/>
        </w:rPr>
        <w:t>” below.</w:t>
      </w:r>
    </w:p>
    <w:p w14:paraId="54409BEE" w14:textId="77777777" w:rsidR="00F15482" w:rsidRDefault="00F15482" w:rsidP="00F15482">
      <w:pPr>
        <w:pStyle w:val="ScheduleHeading-Level2"/>
        <w:rPr>
          <w:b/>
        </w:rPr>
      </w:pPr>
      <w:r>
        <w:rPr>
          <w:b/>
        </w:rPr>
        <w:t>Redemption and transfer of the Charged Assets</w:t>
      </w:r>
    </w:p>
    <w:p w14:paraId="4DAACB35" w14:textId="77777777" w:rsidR="00F15482" w:rsidRDefault="00F15482" w:rsidP="00F15482">
      <w:pPr>
        <w:pStyle w:val="BodyText"/>
      </w:pPr>
      <w:r>
        <w:t>Realisation of the Charged Assets may in certain circumstances be deferred in accordance with their relevant terms.  The period of deferral may be significant.  Therefore in certain circumstances, including where the Security for the Notes (and any Further Notes) becomes enforceable, there may be a significant delay in payments under the Notes and / or it may be impossible to transfer the Charged Assets as a means of realising their value.</w:t>
      </w:r>
    </w:p>
    <w:p w14:paraId="2C42909D" w14:textId="77777777" w:rsidR="00F15482" w:rsidRDefault="00F15482" w:rsidP="00F15482">
      <w:pPr>
        <w:pStyle w:val="BodyText"/>
      </w:pPr>
      <w:r>
        <w:rPr>
          <w:b/>
        </w:rPr>
        <w:t>THE CONSIDERATIONS SET OUT ABOVE ARE NOT, AND ARE NOT INTENDED TO BE, A COMPREHENSIVE LIST OF ALL CONSIDERATIONS RELEVANT TO A DECISION TO PURCHASE OR HOLD ANY NOTES.  THE ATTENTION OF INVESTORS IS ALSO DRAWN TO THE SECTIONS HEADED “</w:t>
      </w:r>
      <w:r>
        <w:rPr>
          <w:b/>
          <w:i/>
        </w:rPr>
        <w:t>RISK FACTORS</w:t>
      </w:r>
      <w:r>
        <w:rPr>
          <w:b/>
        </w:rPr>
        <w:t>” IN THE PROGRAMME MEMORANDUM.</w:t>
      </w:r>
    </w:p>
    <w:p w14:paraId="10B2A124" w14:textId="2AAFEF83" w:rsidR="00F15482" w:rsidRDefault="00F15482" w:rsidP="00DF0AC1">
      <w:pPr>
        <w:pStyle w:val="PROSPECTUS-LEVEL1"/>
      </w:pPr>
      <w:r>
        <w:br w:type="page"/>
      </w:r>
      <w:bookmarkStart w:id="2" w:name="_Toc438553641"/>
      <w:r>
        <w:lastRenderedPageBreak/>
        <w:t>Summary</w:t>
      </w:r>
      <w:r w:rsidR="00825F36">
        <w:t xml:space="preserve"> of the T</w:t>
      </w:r>
      <w:r>
        <w:t>ransaction</w:t>
      </w:r>
      <w:bookmarkEnd w:id="2"/>
    </w:p>
    <w:p w14:paraId="2FDCAE35" w14:textId="77777777" w:rsidR="00F15482" w:rsidRDefault="00F15482" w:rsidP="00F15482">
      <w:pPr>
        <w:pStyle w:val="BodyText"/>
      </w:pPr>
      <w:r>
        <w:t>The following summary of the transaction does not purport to be complete and is qualified in its entirety by the more detailed information contained elsewhere in this Series Memorandum including, without limitation, the Conditions of the Notes.  Words and expressions used but not expressly defined in this summary of the transaction shall have the meanings given to them in the Conditions.</w:t>
      </w:r>
    </w:p>
    <w:tbl>
      <w:tblPr>
        <w:tblW w:w="0" w:type="auto"/>
        <w:tblLook w:val="01E0" w:firstRow="1" w:lastRow="1" w:firstColumn="1" w:lastColumn="1" w:noHBand="0" w:noVBand="0"/>
      </w:tblPr>
      <w:tblGrid>
        <w:gridCol w:w="2740"/>
        <w:gridCol w:w="6345"/>
      </w:tblGrid>
      <w:tr w:rsidR="00F15482" w14:paraId="43702A15" w14:textId="77777777" w:rsidTr="00F162AB">
        <w:tc>
          <w:tcPr>
            <w:tcW w:w="2740" w:type="dxa"/>
            <w:hideMark/>
          </w:tcPr>
          <w:p w14:paraId="4013EFB6" w14:textId="77777777" w:rsidR="00F15482" w:rsidRDefault="00F15482" w:rsidP="00CC1AB2">
            <w:pPr>
              <w:pStyle w:val="BodyText"/>
            </w:pPr>
            <w:r>
              <w:rPr>
                <w:b/>
              </w:rPr>
              <w:t>Issuer:</w:t>
            </w:r>
          </w:p>
        </w:tc>
        <w:tc>
          <w:tcPr>
            <w:tcW w:w="6345" w:type="dxa"/>
            <w:hideMark/>
          </w:tcPr>
          <w:p w14:paraId="57DFE565" w14:textId="77777777" w:rsidR="00F15482" w:rsidRDefault="00F15482" w:rsidP="00CC1AB2">
            <w:pPr>
              <w:pStyle w:val="BodyText"/>
            </w:pPr>
            <w:r>
              <w:t>IA Capital Structures (Ireland) plc, a special purpose company incorporated for the sole purpose of carrying out the activities described in the Programme Memorandum.  See “</w:t>
            </w:r>
            <w:r>
              <w:rPr>
                <w:i/>
              </w:rPr>
              <w:t>Information relating to the Issuer</w:t>
            </w:r>
            <w:r>
              <w:t>” below.</w:t>
            </w:r>
          </w:p>
        </w:tc>
      </w:tr>
      <w:tr w:rsidR="00F15482" w14:paraId="1A51F5EF" w14:textId="77777777" w:rsidTr="00F162AB">
        <w:tc>
          <w:tcPr>
            <w:tcW w:w="2740" w:type="dxa"/>
            <w:hideMark/>
          </w:tcPr>
          <w:p w14:paraId="410B5207" w14:textId="77777777" w:rsidR="00F15482" w:rsidRDefault="00F15482" w:rsidP="00CC1AB2">
            <w:pPr>
              <w:pStyle w:val="BodyText"/>
            </w:pPr>
            <w:r>
              <w:rPr>
                <w:b/>
              </w:rPr>
              <w:t>Programme:</w:t>
            </w:r>
          </w:p>
        </w:tc>
        <w:tc>
          <w:tcPr>
            <w:tcW w:w="6345" w:type="dxa"/>
            <w:hideMark/>
          </w:tcPr>
          <w:p w14:paraId="6A56ADAF" w14:textId="77777777" w:rsidR="00F15482" w:rsidRDefault="00F15482" w:rsidP="00CC1AB2">
            <w:pPr>
              <w:pStyle w:val="BodyText"/>
            </w:pPr>
            <w:r>
              <w:t>The Notes are issued pursuant to the Issuer’s €5,000,000,000 Secured Note Programme.</w:t>
            </w:r>
          </w:p>
        </w:tc>
      </w:tr>
      <w:tr w:rsidR="00F15482" w14:paraId="50B3736C" w14:textId="77777777" w:rsidTr="00F162AB">
        <w:tc>
          <w:tcPr>
            <w:tcW w:w="2740" w:type="dxa"/>
            <w:hideMark/>
          </w:tcPr>
          <w:p w14:paraId="55547FC1" w14:textId="77777777" w:rsidR="00F15482" w:rsidRDefault="00F15482" w:rsidP="00CC1AB2">
            <w:pPr>
              <w:pStyle w:val="BodyText"/>
            </w:pPr>
            <w:r>
              <w:rPr>
                <w:b/>
              </w:rPr>
              <w:t>Arranger:</w:t>
            </w:r>
          </w:p>
        </w:tc>
        <w:tc>
          <w:tcPr>
            <w:tcW w:w="6345" w:type="dxa"/>
            <w:hideMark/>
          </w:tcPr>
          <w:p w14:paraId="25B5F637" w14:textId="089F2D78" w:rsidR="00F15482" w:rsidRDefault="00062189" w:rsidP="00CC1AB2">
            <w:pPr>
              <w:pStyle w:val="BodyText"/>
            </w:pPr>
            <w:r>
              <w:t xml:space="preserve">FlexFunds Ltd. </w:t>
            </w:r>
          </w:p>
        </w:tc>
      </w:tr>
      <w:tr w:rsidR="00F15482" w14:paraId="28469237" w14:textId="77777777" w:rsidTr="00F162AB">
        <w:tc>
          <w:tcPr>
            <w:tcW w:w="2740" w:type="dxa"/>
            <w:hideMark/>
          </w:tcPr>
          <w:p w14:paraId="0F5FCF1A" w14:textId="77777777" w:rsidR="00F15482" w:rsidRDefault="00F15482" w:rsidP="00CC1AB2">
            <w:pPr>
              <w:pStyle w:val="BodyText"/>
            </w:pPr>
            <w:r>
              <w:rPr>
                <w:b/>
              </w:rPr>
              <w:t>Calculation Agent:</w:t>
            </w:r>
          </w:p>
        </w:tc>
        <w:tc>
          <w:tcPr>
            <w:tcW w:w="6345" w:type="dxa"/>
            <w:hideMark/>
          </w:tcPr>
          <w:p w14:paraId="6998DC41" w14:textId="6BCD764E" w:rsidR="00F15482" w:rsidRDefault="003D6537" w:rsidP="00CC1AB2">
            <w:pPr>
              <w:pStyle w:val="BodyText"/>
            </w:pPr>
            <w:r>
              <w:rPr>
                <w:highlight w:val="green"/>
              </w:rPr>
              <w:t>[B39</w:t>
            </w:r>
            <w:r w:rsidR="00EC79B0" w:rsidRPr="00EC79B0">
              <w:rPr>
                <w:highlight w:val="green"/>
              </w:rPr>
              <w:t>]</w:t>
            </w:r>
          </w:p>
        </w:tc>
      </w:tr>
      <w:tr w:rsidR="00F15482" w14:paraId="72B653F6" w14:textId="77777777" w:rsidTr="00F162AB">
        <w:tc>
          <w:tcPr>
            <w:tcW w:w="2740" w:type="dxa"/>
            <w:hideMark/>
          </w:tcPr>
          <w:p w14:paraId="36641156" w14:textId="16FCEECD" w:rsidR="00F15482" w:rsidRDefault="00086A7D" w:rsidP="00CC1AB2">
            <w:pPr>
              <w:pStyle w:val="BodyText"/>
              <w:rPr>
                <w:b/>
              </w:rPr>
            </w:pPr>
            <w:r>
              <w:rPr>
                <w:b/>
              </w:rPr>
              <w:t>Broker Dealer of Record</w:t>
            </w:r>
            <w:r w:rsidR="00F15482">
              <w:rPr>
                <w:b/>
              </w:rPr>
              <w:t>:</w:t>
            </w:r>
          </w:p>
          <w:p w14:paraId="37F9E36A" w14:textId="77777777" w:rsidR="00F15482" w:rsidRDefault="00F15482" w:rsidP="00CC1AB2">
            <w:pPr>
              <w:pStyle w:val="BodyText"/>
            </w:pPr>
            <w:r>
              <w:rPr>
                <w:b/>
              </w:rPr>
              <w:t>Placing Agent:</w:t>
            </w:r>
          </w:p>
        </w:tc>
        <w:tc>
          <w:tcPr>
            <w:tcW w:w="6345" w:type="dxa"/>
            <w:hideMark/>
          </w:tcPr>
          <w:p w14:paraId="089624D1" w14:textId="419B5D73" w:rsidR="00F15482" w:rsidRDefault="00062189" w:rsidP="00CC1AB2">
            <w:pPr>
              <w:pStyle w:val="BodyText"/>
            </w:pPr>
            <w:r>
              <w:t>GWM LTD</w:t>
            </w:r>
          </w:p>
          <w:p w14:paraId="030F0819" w14:textId="122735AE" w:rsidR="00F15482" w:rsidRDefault="00062189" w:rsidP="00CC1AB2">
            <w:pPr>
              <w:pStyle w:val="BodyText"/>
            </w:pPr>
            <w:r>
              <w:t xml:space="preserve">Both </w:t>
            </w:r>
            <w:r w:rsidR="00F15482" w:rsidRPr="00D84101">
              <w:t>GWM Group, Inc.</w:t>
            </w:r>
            <w:r>
              <w:t xml:space="preserve"> and GWM LTD</w:t>
            </w:r>
            <w:r w:rsidR="00F03D7C">
              <w:t>.</w:t>
            </w:r>
            <w:r w:rsidR="00F15482">
              <w:t xml:space="preserve"> </w:t>
            </w:r>
          </w:p>
        </w:tc>
      </w:tr>
      <w:tr w:rsidR="00F15482" w14:paraId="438DBEFA" w14:textId="77777777" w:rsidTr="00F162AB">
        <w:tc>
          <w:tcPr>
            <w:tcW w:w="2740" w:type="dxa"/>
            <w:hideMark/>
          </w:tcPr>
          <w:p w14:paraId="57BFFD01" w14:textId="77777777" w:rsidR="00F15482" w:rsidRDefault="00F15482" w:rsidP="00CC1AB2">
            <w:pPr>
              <w:pStyle w:val="BodyText"/>
              <w:rPr>
                <w:b/>
              </w:rPr>
            </w:pPr>
            <w:r>
              <w:rPr>
                <w:b/>
              </w:rPr>
              <w:t>Margin Account Provider:</w:t>
            </w:r>
          </w:p>
        </w:tc>
        <w:tc>
          <w:tcPr>
            <w:tcW w:w="6345" w:type="dxa"/>
            <w:hideMark/>
          </w:tcPr>
          <w:p w14:paraId="7B59EAB3" w14:textId="7653251D" w:rsidR="00F15482" w:rsidRDefault="003D6537" w:rsidP="00CC1AB2">
            <w:pPr>
              <w:pStyle w:val="BodyText"/>
            </w:pPr>
            <w:r>
              <w:rPr>
                <w:highlight w:val="green"/>
              </w:rPr>
              <w:t>[B29</w:t>
            </w:r>
            <w:r w:rsidR="00EC79B0" w:rsidRPr="00EC79B0">
              <w:rPr>
                <w:highlight w:val="green"/>
              </w:rPr>
              <w:t>]</w:t>
            </w:r>
            <w:r w:rsidR="004F1DDF">
              <w:t>.</w:t>
            </w:r>
          </w:p>
        </w:tc>
      </w:tr>
      <w:tr w:rsidR="00F15482" w14:paraId="26A07188" w14:textId="77777777" w:rsidTr="00F162AB">
        <w:tc>
          <w:tcPr>
            <w:tcW w:w="2740" w:type="dxa"/>
            <w:hideMark/>
          </w:tcPr>
          <w:p w14:paraId="2FE45084" w14:textId="77777777" w:rsidR="00F15482" w:rsidRDefault="00F15482" w:rsidP="00CC1AB2">
            <w:pPr>
              <w:pStyle w:val="BodyText"/>
            </w:pPr>
            <w:r>
              <w:rPr>
                <w:b/>
              </w:rPr>
              <w:t>Sale Agent:</w:t>
            </w:r>
          </w:p>
        </w:tc>
        <w:tc>
          <w:tcPr>
            <w:tcW w:w="6345" w:type="dxa"/>
            <w:hideMark/>
          </w:tcPr>
          <w:p w14:paraId="64F1ADAB" w14:textId="7C404A6A" w:rsidR="00F15482" w:rsidRDefault="00062189" w:rsidP="00CC1AB2">
            <w:pPr>
              <w:pStyle w:val="BodyText"/>
            </w:pPr>
            <w:r>
              <w:t xml:space="preserve">Both </w:t>
            </w:r>
            <w:r w:rsidR="00F15482" w:rsidRPr="00D84101">
              <w:t>GWM Group, Inc.</w:t>
            </w:r>
            <w:r>
              <w:t xml:space="preserve"> and GWM LTD</w:t>
            </w:r>
            <w:r w:rsidR="00F03D7C">
              <w:t>.</w:t>
            </w:r>
          </w:p>
        </w:tc>
      </w:tr>
      <w:tr w:rsidR="00A973AE" w14:paraId="0280DD36" w14:textId="77777777" w:rsidTr="00F162AB">
        <w:tc>
          <w:tcPr>
            <w:tcW w:w="2740" w:type="dxa"/>
            <w:hideMark/>
          </w:tcPr>
          <w:p w14:paraId="74304445" w14:textId="77777777" w:rsidR="00A973AE" w:rsidRDefault="00A973AE" w:rsidP="00CC1AB2">
            <w:pPr>
              <w:pStyle w:val="BodyText"/>
            </w:pPr>
            <w:r>
              <w:rPr>
                <w:b/>
              </w:rPr>
              <w:t xml:space="preserve">Issue Agent: </w:t>
            </w:r>
          </w:p>
        </w:tc>
        <w:tc>
          <w:tcPr>
            <w:tcW w:w="6345" w:type="dxa"/>
            <w:hideMark/>
          </w:tcPr>
          <w:p w14:paraId="7AB81169" w14:textId="77777777" w:rsidR="00A973AE" w:rsidRDefault="00A973AE" w:rsidP="00CC1AB2">
            <w:pPr>
              <w:pStyle w:val="BodyText"/>
            </w:pPr>
            <w:r>
              <w:t>Citibank N.A., London Branch.</w:t>
            </w:r>
          </w:p>
        </w:tc>
      </w:tr>
      <w:tr w:rsidR="00A973AE" w14:paraId="71561262" w14:textId="77777777" w:rsidTr="00F162AB">
        <w:tc>
          <w:tcPr>
            <w:tcW w:w="2740" w:type="dxa"/>
            <w:hideMark/>
          </w:tcPr>
          <w:p w14:paraId="24B32208" w14:textId="77777777" w:rsidR="00A973AE" w:rsidRDefault="00A973AE" w:rsidP="00CC1AB2">
            <w:pPr>
              <w:pStyle w:val="BodyText"/>
            </w:pPr>
            <w:r>
              <w:rPr>
                <w:b/>
              </w:rPr>
              <w:t>Principal Paying Agent:</w:t>
            </w:r>
          </w:p>
        </w:tc>
        <w:tc>
          <w:tcPr>
            <w:tcW w:w="6345" w:type="dxa"/>
            <w:hideMark/>
          </w:tcPr>
          <w:p w14:paraId="072D5658" w14:textId="77777777" w:rsidR="00A973AE" w:rsidRDefault="00A973AE" w:rsidP="00CC1AB2">
            <w:pPr>
              <w:pStyle w:val="BodyText"/>
            </w:pPr>
            <w:r>
              <w:t>Citibank N.A., London Branch.</w:t>
            </w:r>
          </w:p>
        </w:tc>
      </w:tr>
      <w:tr w:rsidR="00A973AE" w14:paraId="290AD9F1" w14:textId="77777777" w:rsidTr="00F162AB">
        <w:tc>
          <w:tcPr>
            <w:tcW w:w="2740" w:type="dxa"/>
            <w:hideMark/>
          </w:tcPr>
          <w:p w14:paraId="0E0C1E15" w14:textId="77777777" w:rsidR="00A973AE" w:rsidRDefault="00A973AE" w:rsidP="00CC1AB2">
            <w:pPr>
              <w:pStyle w:val="BodyText"/>
            </w:pPr>
            <w:r>
              <w:rPr>
                <w:b/>
              </w:rPr>
              <w:t>Trustee:</w:t>
            </w:r>
          </w:p>
        </w:tc>
        <w:tc>
          <w:tcPr>
            <w:tcW w:w="6345" w:type="dxa"/>
            <w:hideMark/>
          </w:tcPr>
          <w:p w14:paraId="01EAD570" w14:textId="03453697" w:rsidR="00A973AE" w:rsidRDefault="00A973AE" w:rsidP="00CC1AB2">
            <w:pPr>
              <w:pStyle w:val="BodyText"/>
            </w:pPr>
            <w:r>
              <w:t>Sanne Fiduciary Services Limited.</w:t>
            </w:r>
          </w:p>
        </w:tc>
      </w:tr>
      <w:tr w:rsidR="00A973AE" w14:paraId="576B5CFF" w14:textId="77777777" w:rsidTr="00F162AB">
        <w:tc>
          <w:tcPr>
            <w:tcW w:w="2740" w:type="dxa"/>
            <w:hideMark/>
          </w:tcPr>
          <w:p w14:paraId="2057CB7F" w14:textId="77777777" w:rsidR="00A973AE" w:rsidRDefault="00A973AE" w:rsidP="00CC1AB2">
            <w:pPr>
              <w:pStyle w:val="BodyText"/>
            </w:pPr>
            <w:r>
              <w:rPr>
                <w:b/>
              </w:rPr>
              <w:t>Principal Amount:</w:t>
            </w:r>
          </w:p>
        </w:tc>
        <w:tc>
          <w:tcPr>
            <w:tcW w:w="6345" w:type="dxa"/>
            <w:hideMark/>
          </w:tcPr>
          <w:p w14:paraId="6326828E" w14:textId="41242DEF" w:rsidR="00A973AE" w:rsidRDefault="00A973AE" w:rsidP="00CC1AB2">
            <w:pPr>
              <w:pStyle w:val="BodyText"/>
            </w:pPr>
            <w:r>
              <w:rPr>
                <w:highlight w:val="green"/>
              </w:rPr>
              <w:t>[B46</w:t>
            </w:r>
            <w:r w:rsidRPr="001848F6">
              <w:rPr>
                <w:highlight w:val="green"/>
              </w:rPr>
              <w:t>]</w:t>
            </w:r>
            <w:r>
              <w:rPr>
                <w:highlight w:val="green"/>
              </w:rPr>
              <w:t xml:space="preserve"> [B45</w:t>
            </w:r>
            <w:r w:rsidRPr="001848F6">
              <w:rPr>
                <w:highlight w:val="green"/>
              </w:rPr>
              <w:t>]</w:t>
            </w:r>
            <w:r>
              <w:t xml:space="preserve"> (subject to the provisions of Further Notes and Redemptions below).</w:t>
            </w:r>
          </w:p>
        </w:tc>
      </w:tr>
      <w:tr w:rsidR="00A973AE" w14:paraId="26CCC0FD" w14:textId="77777777" w:rsidTr="00F162AB">
        <w:tc>
          <w:tcPr>
            <w:tcW w:w="2740" w:type="dxa"/>
            <w:hideMark/>
          </w:tcPr>
          <w:p w14:paraId="4CDB938E" w14:textId="77777777" w:rsidR="00A973AE" w:rsidRDefault="00A973AE" w:rsidP="00CC1AB2">
            <w:pPr>
              <w:pStyle w:val="BodyText"/>
            </w:pPr>
            <w:r>
              <w:rPr>
                <w:b/>
              </w:rPr>
              <w:t>Currency:</w:t>
            </w:r>
          </w:p>
        </w:tc>
        <w:tc>
          <w:tcPr>
            <w:tcW w:w="6345" w:type="dxa"/>
            <w:hideMark/>
          </w:tcPr>
          <w:p w14:paraId="1EB87E2A" w14:textId="22FB1F12" w:rsidR="00A973AE" w:rsidRDefault="00A973AE" w:rsidP="00CC1AB2">
            <w:pPr>
              <w:pStyle w:val="BodyText"/>
            </w:pPr>
            <w:r>
              <w:rPr>
                <w:highlight w:val="green"/>
              </w:rPr>
              <w:t>[B46</w:t>
            </w:r>
            <w:r w:rsidRPr="00EC79B0">
              <w:rPr>
                <w:highlight w:val="green"/>
              </w:rPr>
              <w:t>]</w:t>
            </w:r>
          </w:p>
        </w:tc>
      </w:tr>
      <w:tr w:rsidR="00A973AE" w14:paraId="63EC4922" w14:textId="77777777" w:rsidTr="00F162AB">
        <w:tc>
          <w:tcPr>
            <w:tcW w:w="2740" w:type="dxa"/>
            <w:hideMark/>
          </w:tcPr>
          <w:p w14:paraId="18147870" w14:textId="77777777" w:rsidR="00A973AE" w:rsidRDefault="00A973AE" w:rsidP="00CC1AB2">
            <w:pPr>
              <w:pStyle w:val="BodyText"/>
            </w:pPr>
            <w:r>
              <w:rPr>
                <w:b/>
              </w:rPr>
              <w:t>Authorised Denomination:</w:t>
            </w:r>
          </w:p>
        </w:tc>
        <w:tc>
          <w:tcPr>
            <w:tcW w:w="6345" w:type="dxa"/>
            <w:hideMark/>
          </w:tcPr>
          <w:p w14:paraId="645D21F3" w14:textId="54963EAA" w:rsidR="00A973AE" w:rsidRDefault="00A973AE" w:rsidP="00CC1AB2">
            <w:pPr>
              <w:pStyle w:val="BodyText"/>
            </w:pPr>
            <w:r>
              <w:rPr>
                <w:highlight w:val="green"/>
              </w:rPr>
              <w:t>[B47</w:t>
            </w:r>
            <w:r w:rsidRPr="00FD0AE4">
              <w:rPr>
                <w:highlight w:val="green"/>
              </w:rPr>
              <w:t>]</w:t>
            </w:r>
            <w:r>
              <w:t>.</w:t>
            </w:r>
          </w:p>
        </w:tc>
      </w:tr>
      <w:tr w:rsidR="00A973AE" w14:paraId="514976E2" w14:textId="77777777" w:rsidTr="00F162AB">
        <w:tc>
          <w:tcPr>
            <w:tcW w:w="2740" w:type="dxa"/>
            <w:hideMark/>
          </w:tcPr>
          <w:p w14:paraId="7ABE7FBB" w14:textId="77777777" w:rsidR="00A973AE" w:rsidRDefault="00A973AE" w:rsidP="00CC1AB2">
            <w:pPr>
              <w:pStyle w:val="BodyText"/>
            </w:pPr>
            <w:r>
              <w:rPr>
                <w:b/>
              </w:rPr>
              <w:t>Issue Price:</w:t>
            </w:r>
          </w:p>
        </w:tc>
        <w:tc>
          <w:tcPr>
            <w:tcW w:w="6345" w:type="dxa"/>
            <w:hideMark/>
          </w:tcPr>
          <w:p w14:paraId="793715BA" w14:textId="3F555D4F" w:rsidR="00A973AE" w:rsidRDefault="00A973AE" w:rsidP="00CC1AB2">
            <w:pPr>
              <w:pStyle w:val="BodyText"/>
            </w:pPr>
            <w:r>
              <w:rPr>
                <w:highlight w:val="green"/>
              </w:rPr>
              <w:t>[B49</w:t>
            </w:r>
            <w:r w:rsidRPr="00EC79B0">
              <w:rPr>
                <w:highlight w:val="green"/>
              </w:rPr>
              <w:t>]</w:t>
            </w:r>
            <w:r>
              <w:t xml:space="preserve"> of the Principal Amount.</w:t>
            </w:r>
          </w:p>
        </w:tc>
      </w:tr>
      <w:tr w:rsidR="00A973AE" w14:paraId="58A24286" w14:textId="77777777" w:rsidTr="00F162AB">
        <w:tc>
          <w:tcPr>
            <w:tcW w:w="2740" w:type="dxa"/>
            <w:hideMark/>
          </w:tcPr>
          <w:p w14:paraId="0A628EC0" w14:textId="77777777" w:rsidR="00A973AE" w:rsidRDefault="00A973AE" w:rsidP="00CC1AB2">
            <w:pPr>
              <w:pStyle w:val="BodyText"/>
            </w:pPr>
            <w:r>
              <w:rPr>
                <w:b/>
              </w:rPr>
              <w:t>Interest:</w:t>
            </w:r>
          </w:p>
        </w:tc>
        <w:tc>
          <w:tcPr>
            <w:tcW w:w="6345" w:type="dxa"/>
            <w:hideMark/>
          </w:tcPr>
          <w:p w14:paraId="020B1CA4" w14:textId="77777777" w:rsidR="00A973AE" w:rsidRDefault="00A973AE" w:rsidP="00CC1AB2">
            <w:pPr>
              <w:pStyle w:val="BodyText"/>
            </w:pPr>
            <w:r>
              <w:t xml:space="preserve">Interest is determined based on the total return of the Portfolio, such that an amount in respect of Interest shall be payable in respect of each Note on the Interest Payment Date equal to the greater of: </w:t>
            </w:r>
          </w:p>
          <w:p w14:paraId="7F567E97" w14:textId="3D141565" w:rsidR="00A973AE" w:rsidRDefault="00A973AE" w:rsidP="00EC79B0">
            <w:pPr>
              <w:pStyle w:val="BodyText"/>
            </w:pPr>
            <w:r>
              <w:t xml:space="preserve">(a)  Net Proceeds – </w:t>
            </w:r>
            <w:r>
              <w:rPr>
                <w:highlight w:val="green"/>
              </w:rPr>
              <w:t>[B47</w:t>
            </w:r>
            <w:r w:rsidRPr="00EC79B0">
              <w:rPr>
                <w:highlight w:val="green"/>
              </w:rPr>
              <w:t>]</w:t>
            </w:r>
            <w:r>
              <w:t>; and</w:t>
            </w:r>
          </w:p>
          <w:p w14:paraId="34435DD8" w14:textId="77777777" w:rsidR="00A973AE" w:rsidRDefault="00A973AE" w:rsidP="00CC1AB2">
            <w:pPr>
              <w:pStyle w:val="BodyText"/>
            </w:pPr>
            <w:r>
              <w:t xml:space="preserve">(b)  Zero. </w:t>
            </w:r>
          </w:p>
          <w:p w14:paraId="177402F6" w14:textId="77777777" w:rsidR="00A973AE" w:rsidRDefault="00A973AE" w:rsidP="00CC1AB2">
            <w:pPr>
              <w:pStyle w:val="BodyText"/>
              <w:rPr>
                <w:b/>
              </w:rPr>
            </w:pPr>
            <w:r>
              <w:rPr>
                <w:b/>
              </w:rPr>
              <w:t xml:space="preserve">Interest payments shall be made on an Interest Payment Date </w:t>
            </w:r>
          </w:p>
        </w:tc>
      </w:tr>
      <w:tr w:rsidR="00A973AE" w14:paraId="3DC2AB50" w14:textId="77777777" w:rsidTr="00F162AB">
        <w:tc>
          <w:tcPr>
            <w:tcW w:w="2740" w:type="dxa"/>
            <w:hideMark/>
          </w:tcPr>
          <w:p w14:paraId="63DF007E" w14:textId="77777777" w:rsidR="00A973AE" w:rsidRDefault="00A973AE" w:rsidP="00CC1AB2">
            <w:pPr>
              <w:pStyle w:val="BodyText"/>
            </w:pPr>
            <w:r>
              <w:rPr>
                <w:b/>
              </w:rPr>
              <w:t>Interest Payment Date:</w:t>
            </w:r>
          </w:p>
        </w:tc>
        <w:tc>
          <w:tcPr>
            <w:tcW w:w="6345" w:type="dxa"/>
            <w:hideMark/>
          </w:tcPr>
          <w:p w14:paraId="7D22DE9A" w14:textId="77777777" w:rsidR="00A973AE" w:rsidRDefault="00A973AE" w:rsidP="00CC1AB2">
            <w:pPr>
              <w:pStyle w:val="BodyText"/>
            </w:pPr>
            <w:r>
              <w:t>Any Business Day within 5 Business Days following an Interest Determination Date at the discretion of the Portfolio Manager.</w:t>
            </w:r>
          </w:p>
        </w:tc>
      </w:tr>
      <w:tr w:rsidR="00A973AE" w14:paraId="42FAF016" w14:textId="77777777" w:rsidTr="00F162AB">
        <w:tc>
          <w:tcPr>
            <w:tcW w:w="2740" w:type="dxa"/>
            <w:hideMark/>
          </w:tcPr>
          <w:p w14:paraId="7032EF28" w14:textId="77777777" w:rsidR="00A973AE" w:rsidRDefault="00A973AE" w:rsidP="00CC1AB2">
            <w:pPr>
              <w:pStyle w:val="BodyText"/>
            </w:pPr>
            <w:r>
              <w:rPr>
                <w:b/>
              </w:rPr>
              <w:t>Issue Date:</w:t>
            </w:r>
          </w:p>
        </w:tc>
        <w:tc>
          <w:tcPr>
            <w:tcW w:w="6345" w:type="dxa"/>
            <w:hideMark/>
          </w:tcPr>
          <w:p w14:paraId="6D0DBC3A" w14:textId="3B0CBA4B" w:rsidR="00A973AE" w:rsidRDefault="00A973AE" w:rsidP="00CC1AB2">
            <w:pPr>
              <w:pStyle w:val="BodyText"/>
              <w:rPr>
                <w:highlight w:val="yellow"/>
              </w:rPr>
            </w:pPr>
            <w:r>
              <w:rPr>
                <w:highlight w:val="green"/>
              </w:rPr>
              <w:t>[B15]</w:t>
            </w:r>
          </w:p>
        </w:tc>
      </w:tr>
      <w:tr w:rsidR="00A973AE" w14:paraId="6D74242B" w14:textId="77777777" w:rsidTr="00F162AB">
        <w:tc>
          <w:tcPr>
            <w:tcW w:w="2740" w:type="dxa"/>
            <w:hideMark/>
          </w:tcPr>
          <w:p w14:paraId="2FD94EF0" w14:textId="77777777" w:rsidR="00A973AE" w:rsidRDefault="00A973AE" w:rsidP="00CC1AB2">
            <w:pPr>
              <w:pStyle w:val="BodyText"/>
            </w:pPr>
            <w:r>
              <w:rPr>
                <w:b/>
              </w:rPr>
              <w:lastRenderedPageBreak/>
              <w:t>Portfolio Manager:</w:t>
            </w:r>
          </w:p>
        </w:tc>
        <w:tc>
          <w:tcPr>
            <w:tcW w:w="6345" w:type="dxa"/>
            <w:hideMark/>
          </w:tcPr>
          <w:p w14:paraId="3EB629F3" w14:textId="0F4F7834" w:rsidR="00A973AE" w:rsidRDefault="00A973AE" w:rsidP="00CC1AB2">
            <w:pPr>
              <w:pStyle w:val="BodyText"/>
              <w:rPr>
                <w:color w:val="000000"/>
              </w:rPr>
            </w:pPr>
            <w:r>
              <w:rPr>
                <w:highlight w:val="green"/>
              </w:rPr>
              <w:t>[B21</w:t>
            </w:r>
            <w:r w:rsidRPr="00EC79B0">
              <w:rPr>
                <w:highlight w:val="green"/>
              </w:rPr>
              <w:t>]</w:t>
            </w:r>
            <w:r>
              <w:t xml:space="preserve">. </w:t>
            </w:r>
            <w:r>
              <w:rPr>
                <w:color w:val="000000"/>
              </w:rPr>
              <w:t>The Portfolio Manager is appointed by the Issuer pursuant to the Portfolio Management Agreement.  The role of the Portfolio Manager is to actively manage the Portfolio by the buying and / or selling of Securities pursuant to the Portfolio Management Agreement and Margin Account Agreement entered into between the Issuer and the Margin Account Provider.</w:t>
            </w:r>
          </w:p>
        </w:tc>
      </w:tr>
      <w:tr w:rsidR="00A973AE" w14:paraId="2B9ECBCE" w14:textId="77777777" w:rsidTr="00F162AB">
        <w:tc>
          <w:tcPr>
            <w:tcW w:w="2740" w:type="dxa"/>
            <w:hideMark/>
          </w:tcPr>
          <w:p w14:paraId="1B9C7E1C" w14:textId="77777777" w:rsidR="00A973AE" w:rsidRDefault="00A973AE" w:rsidP="00CC1AB2">
            <w:pPr>
              <w:pStyle w:val="BodyText"/>
            </w:pPr>
            <w:r>
              <w:rPr>
                <w:b/>
              </w:rPr>
              <w:t>Charged Assets:</w:t>
            </w:r>
          </w:p>
        </w:tc>
        <w:tc>
          <w:tcPr>
            <w:tcW w:w="6345" w:type="dxa"/>
            <w:hideMark/>
          </w:tcPr>
          <w:p w14:paraId="5D9EAEA5" w14:textId="739D75AD" w:rsidR="00A973AE" w:rsidRDefault="00A973AE" w:rsidP="00CC1AB2">
            <w:pPr>
              <w:pStyle w:val="BodyText"/>
            </w:pPr>
            <w:r>
              <w:t>The Charged Assets shall be: (i) the Margin Account; (ii) any Securities held in the Margin Account from time-to-time; and (iii) the Related Rights.  See “</w:t>
            </w:r>
            <w:r>
              <w:rPr>
                <w:i/>
              </w:rPr>
              <w:t>Information relating to the Charged Assets</w:t>
            </w:r>
            <w:r>
              <w:t>” below.</w:t>
            </w:r>
          </w:p>
        </w:tc>
      </w:tr>
      <w:tr w:rsidR="00A973AE" w14:paraId="46CFE1FB" w14:textId="77777777" w:rsidTr="00F162AB">
        <w:tc>
          <w:tcPr>
            <w:tcW w:w="2740" w:type="dxa"/>
            <w:hideMark/>
          </w:tcPr>
          <w:p w14:paraId="05FD6BD7" w14:textId="77777777" w:rsidR="00A973AE" w:rsidRDefault="00A973AE" w:rsidP="00CC1AB2">
            <w:pPr>
              <w:pStyle w:val="BodyText"/>
            </w:pPr>
            <w:r>
              <w:rPr>
                <w:b/>
              </w:rPr>
              <w:t>Margin Account:</w:t>
            </w:r>
          </w:p>
        </w:tc>
        <w:tc>
          <w:tcPr>
            <w:tcW w:w="6345" w:type="dxa"/>
            <w:hideMark/>
          </w:tcPr>
          <w:p w14:paraId="661ECDF3" w14:textId="233DC9C3" w:rsidR="00A973AE" w:rsidRDefault="00A973AE" w:rsidP="00CC1AB2">
            <w:pPr>
              <w:pStyle w:val="BodyText"/>
            </w:pPr>
            <w:r>
              <w:t>The proceeds of the Notes may be invested in a Margin Account held with the Margin Account Provider.  See “</w:t>
            </w:r>
            <w:r>
              <w:rPr>
                <w:i/>
              </w:rPr>
              <w:t>Description of the Margin Account</w:t>
            </w:r>
            <w:r>
              <w:t>” below.</w:t>
            </w:r>
          </w:p>
        </w:tc>
      </w:tr>
      <w:tr w:rsidR="00A973AE" w14:paraId="44E2AFBC" w14:textId="77777777" w:rsidTr="00F162AB">
        <w:tc>
          <w:tcPr>
            <w:tcW w:w="2740" w:type="dxa"/>
            <w:hideMark/>
          </w:tcPr>
          <w:p w14:paraId="301D39F1" w14:textId="77777777" w:rsidR="00A973AE" w:rsidRDefault="00A973AE" w:rsidP="00CC1AB2">
            <w:pPr>
              <w:pStyle w:val="BodyText"/>
            </w:pPr>
            <w:r>
              <w:rPr>
                <w:b/>
              </w:rPr>
              <w:t>Fees:</w:t>
            </w:r>
          </w:p>
        </w:tc>
        <w:tc>
          <w:tcPr>
            <w:tcW w:w="6345" w:type="dxa"/>
            <w:hideMark/>
          </w:tcPr>
          <w:p w14:paraId="6C44B1A2" w14:textId="77777777" w:rsidR="00A973AE" w:rsidRDefault="00A973AE" w:rsidP="00CC1AB2">
            <w:pPr>
              <w:pStyle w:val="BodyText"/>
            </w:pPr>
            <w:r>
              <w:t>The amounts payable under the Notes are based on the performance of the Charged Assets after deduction of fees due to the Margin Account Provider and the Portfolio Manager.  Such fees are in addition to the fees due to the Trustee and any Agents, and any other transaction related fees incurred by the Issuer in respect of the issuance of the Notes.</w:t>
            </w:r>
          </w:p>
          <w:p w14:paraId="225F80F3" w14:textId="77777777" w:rsidR="00A973AE" w:rsidRDefault="00A973AE" w:rsidP="00CC1AB2">
            <w:pPr>
              <w:pStyle w:val="BodyText"/>
            </w:pPr>
            <w:r>
              <w:t>All fees are payable prior to any amounts being payable in respect of the Notes to any Noteholders.  The fees will be applied in calculating the value of the Portfolio and therefore will result in a reduction in the value of the Notes.</w:t>
            </w:r>
          </w:p>
        </w:tc>
      </w:tr>
      <w:tr w:rsidR="00A973AE" w14:paraId="63774908" w14:textId="77777777" w:rsidTr="00F162AB">
        <w:tc>
          <w:tcPr>
            <w:tcW w:w="2740" w:type="dxa"/>
            <w:hideMark/>
          </w:tcPr>
          <w:p w14:paraId="477CA7BF" w14:textId="77777777" w:rsidR="00A973AE" w:rsidRDefault="00A973AE" w:rsidP="00CC1AB2">
            <w:pPr>
              <w:pStyle w:val="BodyText"/>
            </w:pPr>
            <w:r>
              <w:rPr>
                <w:b/>
              </w:rPr>
              <w:t>Scheduled Maturity Date:</w:t>
            </w:r>
          </w:p>
        </w:tc>
        <w:tc>
          <w:tcPr>
            <w:tcW w:w="6345" w:type="dxa"/>
            <w:hideMark/>
          </w:tcPr>
          <w:p w14:paraId="143C2C2C" w14:textId="33E4F557" w:rsidR="00A973AE" w:rsidRDefault="00A973AE" w:rsidP="00CC1AB2">
            <w:pPr>
              <w:pStyle w:val="BodyText"/>
            </w:pPr>
            <w:r>
              <w:rPr>
                <w:highlight w:val="green"/>
              </w:rPr>
              <w:t>[B16</w:t>
            </w:r>
            <w:r w:rsidRPr="00EC79B0">
              <w:rPr>
                <w:highlight w:val="green"/>
              </w:rPr>
              <w:t>]</w:t>
            </w:r>
          </w:p>
        </w:tc>
      </w:tr>
      <w:tr w:rsidR="00A973AE" w14:paraId="1767CAC9" w14:textId="77777777" w:rsidTr="00F162AB">
        <w:tc>
          <w:tcPr>
            <w:tcW w:w="2740" w:type="dxa"/>
            <w:hideMark/>
          </w:tcPr>
          <w:p w14:paraId="7239A8D2" w14:textId="77777777" w:rsidR="00A973AE" w:rsidRDefault="00A973AE" w:rsidP="00CC1AB2">
            <w:pPr>
              <w:pStyle w:val="BodyText"/>
            </w:pPr>
            <w:r>
              <w:rPr>
                <w:b/>
              </w:rPr>
              <w:t>Reports:</w:t>
            </w:r>
          </w:p>
        </w:tc>
        <w:tc>
          <w:tcPr>
            <w:tcW w:w="6345" w:type="dxa"/>
            <w:hideMark/>
          </w:tcPr>
          <w:p w14:paraId="290E763A" w14:textId="47ED26D2" w:rsidR="00A973AE" w:rsidRDefault="00A973AE" w:rsidP="00CC1AB2">
            <w:pPr>
              <w:pStyle w:val="BodyText"/>
            </w:pPr>
            <w:r>
              <w:t>The Arranger will publish a summary of the NAV Report received from the Calculation Agent on Bloomberg and will disseminate the NAV to SIX Financial Information USA Inc. and to the Vienna Stock Exchange.</w:t>
            </w:r>
          </w:p>
          <w:p w14:paraId="2ADA652A" w14:textId="77777777" w:rsidR="00A973AE" w:rsidRDefault="00A973AE" w:rsidP="00CC1AB2">
            <w:pPr>
              <w:pStyle w:val="BodyText"/>
            </w:pPr>
            <w:r>
              <w:t>See Special Condition (V) below.</w:t>
            </w:r>
          </w:p>
        </w:tc>
      </w:tr>
      <w:tr w:rsidR="00A973AE" w14:paraId="60AAE95D" w14:textId="77777777" w:rsidTr="00F162AB">
        <w:trPr>
          <w:trHeight w:val="2450"/>
        </w:trPr>
        <w:tc>
          <w:tcPr>
            <w:tcW w:w="2740" w:type="dxa"/>
            <w:hideMark/>
          </w:tcPr>
          <w:p w14:paraId="03DB4249" w14:textId="77777777" w:rsidR="00A973AE" w:rsidRDefault="00A973AE" w:rsidP="00CC1AB2">
            <w:pPr>
              <w:pStyle w:val="BodyText"/>
            </w:pPr>
            <w:r>
              <w:rPr>
                <w:b/>
              </w:rPr>
              <w:t>Redemption Amount:</w:t>
            </w:r>
          </w:p>
        </w:tc>
        <w:tc>
          <w:tcPr>
            <w:tcW w:w="6345" w:type="dxa"/>
            <w:hideMark/>
          </w:tcPr>
          <w:p w14:paraId="0D8AA604" w14:textId="5D3042D8" w:rsidR="00A973AE" w:rsidRDefault="00A973AE" w:rsidP="00CC1AB2">
            <w:pPr>
              <w:pStyle w:val="BodyText"/>
            </w:pPr>
            <w:r>
              <w:t xml:space="preserve">Unless previously redeemed the Notes will be redeemed by a payment in respect of each Note on the Final Maturity Payment Date of an amount in </w:t>
            </w:r>
            <w:r>
              <w:rPr>
                <w:highlight w:val="green"/>
              </w:rPr>
              <w:t>[B46</w:t>
            </w:r>
            <w:r w:rsidRPr="00EC79B0">
              <w:rPr>
                <w:highlight w:val="green"/>
              </w:rPr>
              <w:t>]</w:t>
            </w:r>
            <w:r>
              <w:t xml:space="preserve"> (the “</w:t>
            </w:r>
            <w:r>
              <w:rPr>
                <w:b/>
              </w:rPr>
              <w:t>Redemption Amount</w:t>
            </w:r>
            <w:r>
              <w:t>”) equal to the lesser of:</w:t>
            </w:r>
          </w:p>
          <w:p w14:paraId="1B0FA379" w14:textId="3CF7B567" w:rsidR="00A973AE" w:rsidRDefault="00A973AE" w:rsidP="00CC1AB2">
            <w:pPr>
              <w:pStyle w:val="BodyText"/>
            </w:pPr>
            <w:r>
              <w:t xml:space="preserve">(a)   </w:t>
            </w:r>
            <w:r>
              <w:rPr>
                <w:highlight w:val="green"/>
              </w:rPr>
              <w:t>[B47</w:t>
            </w:r>
            <w:r w:rsidRPr="00EC79B0">
              <w:rPr>
                <w:highlight w:val="green"/>
              </w:rPr>
              <w:t>]</w:t>
            </w:r>
            <w:r>
              <w:t>; and</w:t>
            </w:r>
          </w:p>
          <w:p w14:paraId="41FF1F64" w14:textId="77777777" w:rsidR="00A973AE" w:rsidRDefault="00A973AE" w:rsidP="00CC1AB2">
            <w:pPr>
              <w:pStyle w:val="BodyText"/>
            </w:pPr>
            <w:r>
              <w:t>(b)   Net Proceeds.</w:t>
            </w:r>
          </w:p>
          <w:p w14:paraId="73640F46" w14:textId="77777777" w:rsidR="00A973AE" w:rsidRDefault="00A973AE" w:rsidP="00CC1AB2">
            <w:pPr>
              <w:pStyle w:val="BodyText"/>
            </w:pPr>
            <w:r>
              <w:t>See “</w:t>
            </w:r>
            <w:r>
              <w:rPr>
                <w:i/>
              </w:rPr>
              <w:t>Limited recourse</w:t>
            </w:r>
            <w:r>
              <w:t>” below.</w:t>
            </w:r>
          </w:p>
        </w:tc>
      </w:tr>
      <w:tr w:rsidR="00A973AE" w14:paraId="731E1B18" w14:textId="77777777" w:rsidTr="00F162AB">
        <w:tc>
          <w:tcPr>
            <w:tcW w:w="2740" w:type="dxa"/>
          </w:tcPr>
          <w:p w14:paraId="17C77512" w14:textId="77777777" w:rsidR="00A973AE" w:rsidRDefault="00A973AE" w:rsidP="00CC1AB2">
            <w:pPr>
              <w:pStyle w:val="BodyText"/>
            </w:pPr>
          </w:p>
        </w:tc>
        <w:tc>
          <w:tcPr>
            <w:tcW w:w="6345" w:type="dxa"/>
            <w:hideMark/>
          </w:tcPr>
          <w:p w14:paraId="59E2F6AC" w14:textId="77777777" w:rsidR="00A973AE" w:rsidRDefault="00A973AE" w:rsidP="00CC1AB2">
            <w:pPr>
              <w:pStyle w:val="BodyText"/>
            </w:pPr>
            <w:r>
              <w:t>The Final Maturity Payment Date may be significantly later than the Maturity Date.  See “</w:t>
            </w:r>
            <w:r>
              <w:rPr>
                <w:i/>
              </w:rPr>
              <w:t>Risk Factors – Payments</w:t>
            </w:r>
            <w:r>
              <w:t>” above.</w:t>
            </w:r>
          </w:p>
        </w:tc>
      </w:tr>
      <w:tr w:rsidR="00A973AE" w14:paraId="2CA66989" w14:textId="77777777" w:rsidTr="00F162AB">
        <w:tc>
          <w:tcPr>
            <w:tcW w:w="2740" w:type="dxa"/>
            <w:hideMark/>
          </w:tcPr>
          <w:p w14:paraId="5A476327" w14:textId="77777777" w:rsidR="00A973AE" w:rsidRDefault="00A973AE" w:rsidP="00CC1AB2">
            <w:pPr>
              <w:pStyle w:val="BodyText"/>
            </w:pPr>
            <w:r>
              <w:rPr>
                <w:b/>
              </w:rPr>
              <w:t>Optional Redemption by the Issuer:</w:t>
            </w:r>
          </w:p>
        </w:tc>
        <w:tc>
          <w:tcPr>
            <w:tcW w:w="6345" w:type="dxa"/>
            <w:hideMark/>
          </w:tcPr>
          <w:p w14:paraId="7FB3B7FD" w14:textId="77777777" w:rsidR="00A973AE" w:rsidRPr="006272B7" w:rsidRDefault="00A973AE" w:rsidP="00CC1AB2">
            <w:pPr>
              <w:pStyle w:val="BodyText"/>
              <w:rPr>
                <w:color w:val="000000"/>
              </w:rPr>
            </w:pPr>
            <w:r w:rsidRPr="006272B7">
              <w:rPr>
                <w:color w:val="000000"/>
              </w:rPr>
              <w:t xml:space="preserve">The Issuer may, on giving not less than </w:t>
            </w:r>
            <w:r w:rsidRPr="006272B7">
              <w:t xml:space="preserve">ten (10) Business Days’ </w:t>
            </w:r>
            <w:r w:rsidRPr="006272B7">
              <w:rPr>
                <w:color w:val="000000"/>
              </w:rPr>
              <w:t>prior notice to Noteholders, redeem any amount of the Notes by a payment to the holders of the Notes that are so redeemed on the Optional Redemption Payment Date of an amount equal to the Early Redemption Amount.</w:t>
            </w:r>
          </w:p>
        </w:tc>
      </w:tr>
      <w:tr w:rsidR="00A973AE" w14:paraId="5CEA261E" w14:textId="77777777" w:rsidTr="00F162AB">
        <w:tc>
          <w:tcPr>
            <w:tcW w:w="2740" w:type="dxa"/>
            <w:hideMark/>
          </w:tcPr>
          <w:p w14:paraId="780D2924" w14:textId="77777777" w:rsidR="00A973AE" w:rsidRDefault="00A973AE" w:rsidP="00CC1AB2">
            <w:pPr>
              <w:pStyle w:val="BodyText"/>
            </w:pPr>
            <w:r w:rsidRPr="007908D8">
              <w:rPr>
                <w:b/>
              </w:rPr>
              <w:t>Early Redemption:</w:t>
            </w:r>
          </w:p>
        </w:tc>
        <w:tc>
          <w:tcPr>
            <w:tcW w:w="6345" w:type="dxa"/>
            <w:hideMark/>
          </w:tcPr>
          <w:p w14:paraId="2BF04855" w14:textId="70E41C8F" w:rsidR="00A973AE" w:rsidRDefault="00A973AE" w:rsidP="00CC1AB2">
            <w:pPr>
              <w:pStyle w:val="BodyText"/>
            </w:pPr>
            <w:r>
              <w:t>(a)</w:t>
            </w:r>
            <w:r>
              <w:tab/>
              <w:t xml:space="preserve">If the Notes become due and repayable in accordance with Condition 2(b)(1), the Notes will be redeemed by a payment in respect of each Note on the Early Redemption Payment Date of an </w:t>
            </w:r>
            <w:r>
              <w:lastRenderedPageBreak/>
              <w:t xml:space="preserve">amount in </w:t>
            </w:r>
            <w:r>
              <w:rPr>
                <w:highlight w:val="green"/>
              </w:rPr>
              <w:t>[B46</w:t>
            </w:r>
            <w:r w:rsidRPr="00EC79B0">
              <w:rPr>
                <w:highlight w:val="green"/>
              </w:rPr>
              <w:t>]</w:t>
            </w:r>
            <w:r>
              <w:t xml:space="preserve"> equal to the Net Proceeds of the Charged Assets.</w:t>
            </w:r>
          </w:p>
          <w:p w14:paraId="3C13C144" w14:textId="03161743" w:rsidR="00A973AE" w:rsidRDefault="00A973AE" w:rsidP="004625B8">
            <w:pPr>
              <w:pStyle w:val="BodyText"/>
            </w:pPr>
            <w:r>
              <w:t>(b)</w:t>
            </w:r>
            <w:r>
              <w:tab/>
              <w:t xml:space="preserve">If the Notes become due and repayable in accordance with Condition 2(b)(2) or Condition 2(c) (as the case may be), the Notes will be redeemed by a payment in respect of each Note on the Early Redemption Payment Date of an amount in </w:t>
            </w:r>
            <w:r>
              <w:rPr>
                <w:highlight w:val="green"/>
              </w:rPr>
              <w:t>[B46</w:t>
            </w:r>
            <w:r w:rsidRPr="00EC79B0">
              <w:rPr>
                <w:highlight w:val="green"/>
              </w:rPr>
              <w:t>]</w:t>
            </w:r>
            <w:r>
              <w:t xml:space="preserve"> equal to the applicable Early Redemption Amount.</w:t>
            </w:r>
          </w:p>
        </w:tc>
      </w:tr>
      <w:tr w:rsidR="00A973AE" w14:paraId="728BA576" w14:textId="77777777" w:rsidTr="00F162AB">
        <w:tc>
          <w:tcPr>
            <w:tcW w:w="2740" w:type="dxa"/>
            <w:hideMark/>
          </w:tcPr>
          <w:p w14:paraId="1DC533A1" w14:textId="0D1B603C" w:rsidR="00A973AE" w:rsidRDefault="00A973AE" w:rsidP="00F162AB">
            <w:pPr>
              <w:pStyle w:val="BodyText"/>
              <w:jc w:val="left"/>
            </w:pPr>
            <w:r>
              <w:rPr>
                <w:b/>
              </w:rPr>
              <w:lastRenderedPageBreak/>
              <w:t>Early Redemption Amount:</w:t>
            </w:r>
          </w:p>
        </w:tc>
        <w:tc>
          <w:tcPr>
            <w:tcW w:w="6345" w:type="dxa"/>
            <w:hideMark/>
          </w:tcPr>
          <w:p w14:paraId="315A5C17" w14:textId="5E4631DB" w:rsidR="00A973AE" w:rsidRDefault="00A973AE" w:rsidP="00CC1AB2">
            <w:pPr>
              <w:pStyle w:val="BodyText"/>
            </w:pPr>
            <w:r>
              <w:t xml:space="preserve">Subject to the provisions of Special Condition (IV) below, </w:t>
            </w:r>
            <w:r w:rsidRPr="003D6537">
              <w:t>the lesser of (i) the outstanding principal amount of such Note plus any accrued but unpaid interest thereon and (ii) the Net Proceeds.</w:t>
            </w:r>
            <w:r w:rsidRPr="004625B8">
              <w:t xml:space="preserve"> The </w:t>
            </w:r>
            <w:r>
              <w:t>Early Redemption Amount shall be determined as an amount equal to the Redemption Amount as if the Early Redemption Date was the Final Maturity Payment Date.</w:t>
            </w:r>
          </w:p>
        </w:tc>
      </w:tr>
      <w:tr w:rsidR="00A973AE" w14:paraId="2B7E91F6" w14:textId="77777777" w:rsidTr="00F162AB">
        <w:tc>
          <w:tcPr>
            <w:tcW w:w="2740" w:type="dxa"/>
            <w:hideMark/>
          </w:tcPr>
          <w:p w14:paraId="7257882A" w14:textId="77777777" w:rsidR="00A973AE" w:rsidRDefault="00A973AE" w:rsidP="00CC1AB2">
            <w:pPr>
              <w:pStyle w:val="BodyText"/>
            </w:pPr>
            <w:r>
              <w:rPr>
                <w:b/>
              </w:rPr>
              <w:t>Net Proceeds:</w:t>
            </w:r>
          </w:p>
        </w:tc>
        <w:tc>
          <w:tcPr>
            <w:tcW w:w="6345" w:type="dxa"/>
            <w:hideMark/>
          </w:tcPr>
          <w:p w14:paraId="230FAD78" w14:textId="6DB32774" w:rsidR="00A973AE" w:rsidRDefault="00A973AE" w:rsidP="00B90296">
            <w:pPr>
              <w:pStyle w:val="BodyText"/>
            </w:pPr>
            <w:r>
              <w:t xml:space="preserve">An amount determined by the Calculation Agent being the </w:t>
            </w:r>
            <w:r>
              <w:rPr>
                <w:i/>
              </w:rPr>
              <w:t>pro rata</w:t>
            </w:r>
            <w:r>
              <w:t xml:space="preserve"> share of the Sale Proceeds of the Charged Assets in respect of one Note; </w:t>
            </w:r>
            <w:r>
              <w:rPr>
                <w:i/>
              </w:rPr>
              <w:t>less</w:t>
            </w:r>
            <w:r>
              <w:t xml:space="preserve"> any redemption and settlement costs and expenses in respect of the Charged Assets; </w:t>
            </w:r>
            <w:r>
              <w:rPr>
                <w:i/>
              </w:rPr>
              <w:t>less</w:t>
            </w:r>
            <w:r>
              <w:t xml:space="preserve"> any fees, costs or expenses owing to the Trustee and the Agents in connection with the Notes; and </w:t>
            </w:r>
            <w:r>
              <w:rPr>
                <w:i/>
              </w:rPr>
              <w:t xml:space="preserve">less </w:t>
            </w:r>
            <w:r>
              <w:t>any fees payable to the Margin Account Provider, the Portfoli</w:t>
            </w:r>
            <w:r w:rsidR="00B90296">
              <w:t xml:space="preserve">o Manager, and the Arranger </w:t>
            </w:r>
            <w:r>
              <w:t xml:space="preserve">pursuant to the Conditions of the Notes, less </w:t>
            </w:r>
            <w:r w:rsidRPr="00A973AE">
              <w:rPr>
                <w:highlight w:val="green"/>
              </w:rPr>
              <w:t>[B47]</w:t>
            </w:r>
            <w:r>
              <w:t xml:space="preserve"> per annum to be retained by the Issuer.</w:t>
            </w:r>
          </w:p>
        </w:tc>
      </w:tr>
      <w:tr w:rsidR="00A973AE" w14:paraId="3C234EB8" w14:textId="77777777" w:rsidTr="00F162AB">
        <w:tc>
          <w:tcPr>
            <w:tcW w:w="2740" w:type="dxa"/>
            <w:hideMark/>
          </w:tcPr>
          <w:p w14:paraId="31B25B24" w14:textId="77777777" w:rsidR="00A973AE" w:rsidRDefault="00A973AE" w:rsidP="00CC1AB2">
            <w:pPr>
              <w:pStyle w:val="BodyText"/>
            </w:pPr>
            <w:r>
              <w:rPr>
                <w:b/>
              </w:rPr>
              <w:t>Sale Proceeds:</w:t>
            </w:r>
          </w:p>
        </w:tc>
        <w:tc>
          <w:tcPr>
            <w:tcW w:w="6345" w:type="dxa"/>
            <w:hideMark/>
          </w:tcPr>
          <w:p w14:paraId="225F4694" w14:textId="45F37E2B" w:rsidR="00A973AE" w:rsidRDefault="00A973AE" w:rsidP="00CC1AB2">
            <w:pPr>
              <w:pStyle w:val="BodyText"/>
            </w:pPr>
            <w:r>
              <w:t>An amount determined by the Calculation Agent being the</w:t>
            </w:r>
            <w:r>
              <w:rPr>
                <w:i/>
              </w:rPr>
              <w:t xml:space="preserve"> pro rata</w:t>
            </w:r>
            <w:r>
              <w:t xml:space="preserve"> share in respect of one Note of: (a) the proceeds of sale or other means of realisation of the Charged Assets; </w:t>
            </w:r>
            <w:r>
              <w:rPr>
                <w:i/>
              </w:rPr>
              <w:t>less</w:t>
            </w:r>
            <w:r>
              <w:t xml:space="preserve"> (b) any costs, expenses, taxes and duties incurred in connection with the disposal or transfer of the Charged Assets by the Sale Agent or any agent of the Issuer.</w:t>
            </w:r>
          </w:p>
        </w:tc>
      </w:tr>
      <w:tr w:rsidR="00A973AE" w14:paraId="39CA0664" w14:textId="77777777" w:rsidTr="00F162AB">
        <w:tc>
          <w:tcPr>
            <w:tcW w:w="2740" w:type="dxa"/>
            <w:hideMark/>
          </w:tcPr>
          <w:p w14:paraId="318FB01A" w14:textId="77777777" w:rsidR="00A973AE" w:rsidRDefault="00A973AE" w:rsidP="00CC1AB2">
            <w:pPr>
              <w:pStyle w:val="BodyText"/>
            </w:pPr>
            <w:r>
              <w:rPr>
                <w:b/>
              </w:rPr>
              <w:t>Payment:</w:t>
            </w:r>
          </w:p>
        </w:tc>
        <w:tc>
          <w:tcPr>
            <w:tcW w:w="6345" w:type="dxa"/>
            <w:hideMark/>
          </w:tcPr>
          <w:p w14:paraId="7063A551" w14:textId="77777777" w:rsidR="00A973AE" w:rsidRDefault="00A973AE" w:rsidP="00CC1AB2">
            <w:pPr>
              <w:pStyle w:val="BodyText"/>
            </w:pPr>
            <w:r>
              <w:t>Payments in respect of redemption of the Notes will be made on the Final Maturity Payment Date, the Optional Redemption Payment Date or the Early Redemption Payment Date, as the case may be, in accordance with the Conditions.</w:t>
            </w:r>
          </w:p>
        </w:tc>
      </w:tr>
      <w:tr w:rsidR="00A973AE" w14:paraId="5F934E1C" w14:textId="77777777" w:rsidTr="00F162AB">
        <w:tc>
          <w:tcPr>
            <w:tcW w:w="2740" w:type="dxa"/>
            <w:hideMark/>
          </w:tcPr>
          <w:p w14:paraId="16640ECF" w14:textId="77777777" w:rsidR="00A973AE" w:rsidRDefault="00A973AE" w:rsidP="00CC1AB2">
            <w:pPr>
              <w:pStyle w:val="BodyText"/>
            </w:pPr>
            <w:r>
              <w:rPr>
                <w:b/>
              </w:rPr>
              <w:t>Limited recourse:</w:t>
            </w:r>
          </w:p>
        </w:tc>
        <w:tc>
          <w:tcPr>
            <w:tcW w:w="6345" w:type="dxa"/>
            <w:hideMark/>
          </w:tcPr>
          <w:p w14:paraId="1798E4EE" w14:textId="77777777" w:rsidR="00A973AE" w:rsidRDefault="00A973AE" w:rsidP="00CC1AB2">
            <w:pPr>
              <w:pStyle w:val="BodyText"/>
            </w:pPr>
            <w:r>
              <w:t>Amounts due under the Notes will be payable only to the extent that funds are available from the Mortgaged Property and the proceeds thereof.  If the Mortgaged Property is insufficient to pay any amounts due in respect of the Notes, the Issuer will have no other assets available to meet such insufficiency.  In the event that Charged Assets are sold or realised or the Security is enforced and after payment of all other claims with a senior priority in the relevant order of priority the remaining proceeds of such sale, realisation or enforcement are insufficient to pay in full all amounts whatsoever due in respect of the Notes, then the Noteholders' claims against the Issuer in respect of the Notes shall be limited to their respective shares of such remaining proceeds and, after payment to each Noteholder of its respective share of such remaining proceeds, the obligations of the Issuer to such Noteholder shall cease to be due and shall be extinguished.</w:t>
            </w:r>
          </w:p>
        </w:tc>
      </w:tr>
      <w:tr w:rsidR="00A973AE" w14:paraId="73F68186" w14:textId="77777777" w:rsidTr="00F162AB">
        <w:tc>
          <w:tcPr>
            <w:tcW w:w="2740" w:type="dxa"/>
            <w:hideMark/>
          </w:tcPr>
          <w:p w14:paraId="3128653C" w14:textId="77777777" w:rsidR="00A973AE" w:rsidRDefault="00A973AE" w:rsidP="00CC1AB2">
            <w:pPr>
              <w:pStyle w:val="BodyText"/>
            </w:pPr>
            <w:r>
              <w:rPr>
                <w:b/>
              </w:rPr>
              <w:t>Security:</w:t>
            </w:r>
          </w:p>
        </w:tc>
        <w:tc>
          <w:tcPr>
            <w:tcW w:w="6345" w:type="dxa"/>
            <w:hideMark/>
          </w:tcPr>
          <w:p w14:paraId="75C07933" w14:textId="7510196C" w:rsidR="00A973AE" w:rsidRDefault="00A973AE" w:rsidP="00CC1AB2">
            <w:pPr>
              <w:pStyle w:val="BodyText"/>
            </w:pPr>
            <w:r>
              <w:t>The Security for the Notes will be constituted by the Constituting Instrument, a Trust Deed entered into by the execution of a Constituting Instrument dated the Issue Date between the Issuer and the Trustee, amongst others (the “</w:t>
            </w:r>
            <w:r>
              <w:rPr>
                <w:b/>
              </w:rPr>
              <w:t>Trust Deed</w:t>
            </w:r>
            <w:r>
              <w:t xml:space="preserve">”) </w:t>
            </w:r>
            <w:r w:rsidRPr="001920FF">
              <w:t>and the Charging Instrument as described in the Conditions of the Notes.</w:t>
            </w:r>
          </w:p>
        </w:tc>
      </w:tr>
      <w:tr w:rsidR="00A973AE" w14:paraId="11F302A2" w14:textId="77777777" w:rsidTr="00F162AB">
        <w:tc>
          <w:tcPr>
            <w:tcW w:w="2740" w:type="dxa"/>
          </w:tcPr>
          <w:p w14:paraId="52D3F660" w14:textId="77777777" w:rsidR="00A973AE" w:rsidRDefault="00A973AE" w:rsidP="00CC1AB2">
            <w:pPr>
              <w:pStyle w:val="BodyText"/>
            </w:pPr>
          </w:p>
        </w:tc>
        <w:tc>
          <w:tcPr>
            <w:tcW w:w="6345" w:type="dxa"/>
            <w:hideMark/>
          </w:tcPr>
          <w:p w14:paraId="289FB517" w14:textId="7F293C8A" w:rsidR="00A973AE" w:rsidRDefault="00A973AE" w:rsidP="00CC1AB2">
            <w:pPr>
              <w:pStyle w:val="BodyText"/>
            </w:pPr>
            <w:r>
              <w:t xml:space="preserve">The Security is subject to (i) a lien retained by the Margin Account Provider; and (ii) the security interests created pursuant to the </w:t>
            </w:r>
            <w:r>
              <w:lastRenderedPageBreak/>
              <w:t>Margin Account Agreement over the assets held in the Margin Account, which supersede any security interests created by either the Trust Deed or the Charging Instrument.  See “</w:t>
            </w:r>
            <w:r>
              <w:rPr>
                <w:i/>
              </w:rPr>
              <w:t>Description of the security arrangements in respect of the Notes</w:t>
            </w:r>
            <w:r>
              <w:t>” below.</w:t>
            </w:r>
          </w:p>
        </w:tc>
      </w:tr>
      <w:tr w:rsidR="00A973AE" w14:paraId="693EF155" w14:textId="77777777" w:rsidTr="00F162AB">
        <w:tc>
          <w:tcPr>
            <w:tcW w:w="2740" w:type="dxa"/>
            <w:hideMark/>
          </w:tcPr>
          <w:p w14:paraId="32B8BB12" w14:textId="77777777" w:rsidR="00A973AE" w:rsidRDefault="00A973AE" w:rsidP="00CC1AB2">
            <w:pPr>
              <w:pStyle w:val="BodyText"/>
            </w:pPr>
            <w:r>
              <w:rPr>
                <w:b/>
              </w:rPr>
              <w:lastRenderedPageBreak/>
              <w:t>Priority on Enforcement of Security:</w:t>
            </w:r>
          </w:p>
        </w:tc>
        <w:tc>
          <w:tcPr>
            <w:tcW w:w="6345" w:type="dxa"/>
            <w:hideMark/>
          </w:tcPr>
          <w:p w14:paraId="73ED808C" w14:textId="77777777" w:rsidR="00A973AE" w:rsidRDefault="00A973AE" w:rsidP="00CC1AB2">
            <w:pPr>
              <w:pStyle w:val="BodyText"/>
            </w:pPr>
            <w:r>
              <w:t>On enforcement of Security in respect of the Notes the Trustee will apply the enforcement proceeds in the following order of priority:</w:t>
            </w:r>
          </w:p>
          <w:p w14:paraId="796960FC" w14:textId="77777777" w:rsidR="00A973AE" w:rsidRDefault="00A973AE" w:rsidP="00CC1AB2">
            <w:pPr>
              <w:pStyle w:val="NA-LEVEL1"/>
            </w:pPr>
            <w:r>
              <w:t>payment of the fees, costs, charges, expenses (including legal fees), liabilities, indemnity payments and all other amounts payable to the Trustee or incurred by the Trustee or by any receiver, custodian or other person appointed by it in connection with the performance of its duties and obligations;</w:t>
            </w:r>
          </w:p>
          <w:p w14:paraId="5ABA9390" w14:textId="77777777" w:rsidR="00A973AE" w:rsidRDefault="00A973AE" w:rsidP="00CC1AB2">
            <w:pPr>
              <w:pStyle w:val="NA-LEVEL1"/>
            </w:pPr>
            <w:r>
              <w:rPr>
                <w:i/>
              </w:rPr>
              <w:t>pro rata</w:t>
            </w:r>
            <w:r>
              <w:t xml:space="preserve"> and </w:t>
            </w:r>
            <w:r>
              <w:rPr>
                <w:i/>
              </w:rPr>
              <w:t>pari passu</w:t>
            </w:r>
            <w:r>
              <w:t xml:space="preserve"> according to the respective amounts thereof payment of the fees, costs, charges, expenses (including legal fees), liabilities, indemnity payments and all other amounts payable to the respective Agents in connection with the performance of their respective duties and obligations;</w:t>
            </w:r>
          </w:p>
          <w:p w14:paraId="42BBEA6E" w14:textId="77777777" w:rsidR="00A973AE" w:rsidRDefault="00A973AE" w:rsidP="00CC1AB2">
            <w:pPr>
              <w:pStyle w:val="NA-LEVEL1"/>
            </w:pPr>
            <w:r>
              <w:t>payment of any unpaid taxes or other governmental duties or charges owing by the Issuer;</w:t>
            </w:r>
          </w:p>
          <w:p w14:paraId="3E1D661D" w14:textId="77777777" w:rsidR="00A973AE" w:rsidRDefault="00A973AE" w:rsidP="00CC1AB2">
            <w:pPr>
              <w:pStyle w:val="NA-LEVEL1"/>
            </w:pPr>
            <w:r>
              <w:t>in meeting the claims of the Portfolio Manager under the Portfolio Management Agreement;</w:t>
            </w:r>
          </w:p>
          <w:p w14:paraId="08E32C72" w14:textId="77777777" w:rsidR="00A973AE" w:rsidRDefault="00A973AE" w:rsidP="00CC1AB2">
            <w:pPr>
              <w:pStyle w:val="NA-LEVEL1"/>
            </w:pPr>
            <w:r>
              <w:t xml:space="preserve">in meeting the amounts due to Noteholders </w:t>
            </w:r>
            <w:r>
              <w:rPr>
                <w:i/>
              </w:rPr>
              <w:t>pari passu</w:t>
            </w:r>
            <w:r>
              <w:t xml:space="preserve"> and rateably; and</w:t>
            </w:r>
          </w:p>
          <w:p w14:paraId="0E2CD6F3" w14:textId="6C046534" w:rsidR="00A973AE" w:rsidRDefault="00A973AE" w:rsidP="00CC1AB2">
            <w:pPr>
              <w:pStyle w:val="NA-LEVEL1"/>
            </w:pPr>
            <w:r>
              <w:t>in payment of the balance (if any) owed to the Issuer.</w:t>
            </w:r>
          </w:p>
        </w:tc>
      </w:tr>
      <w:tr w:rsidR="00A973AE" w14:paraId="620388C4" w14:textId="77777777" w:rsidTr="00F162AB">
        <w:tc>
          <w:tcPr>
            <w:tcW w:w="2740" w:type="dxa"/>
            <w:hideMark/>
          </w:tcPr>
          <w:p w14:paraId="2EBD278A" w14:textId="77777777" w:rsidR="00A973AE" w:rsidRDefault="00A973AE" w:rsidP="00CC1AB2">
            <w:pPr>
              <w:pStyle w:val="BodyText"/>
            </w:pPr>
            <w:r>
              <w:rPr>
                <w:b/>
              </w:rPr>
              <w:t>Events of Default:</w:t>
            </w:r>
          </w:p>
        </w:tc>
        <w:tc>
          <w:tcPr>
            <w:tcW w:w="6345" w:type="dxa"/>
            <w:hideMark/>
          </w:tcPr>
          <w:p w14:paraId="29A2B4EC" w14:textId="62A28C0F" w:rsidR="00A973AE" w:rsidRDefault="00A973AE" w:rsidP="00CC1AB2">
            <w:pPr>
              <w:pStyle w:val="BodyText"/>
            </w:pPr>
            <w:r>
              <w:t xml:space="preserve">The Security in respect of the Notes will become enforceable in the circumstances described in Condition 4 relating to Events of Default.  The Events of Default include, without limitation, unremedied defaults by the Issuer relating to the payment of amounts due on the Notes and the insolvency of the Issuer.  Upon the occurrence of an Event of Default the Trustee may at its discretion (or, in certain cases, shall) deliver a notice to the Issuer and others declaring the Notes to be immediately due and payable and the amount payable in respect of each Note is set out in Condition 2(e)(2).  See </w:t>
            </w:r>
            <w:r w:rsidRPr="004625B8">
              <w:t>“</w:t>
            </w:r>
            <w:r w:rsidRPr="004625B8">
              <w:rPr>
                <w:i/>
              </w:rPr>
              <w:t>Conditions of the Notes</w:t>
            </w:r>
            <w:r w:rsidRPr="004625B8">
              <w:t xml:space="preserve">” below, see </w:t>
            </w:r>
            <w:r>
              <w:t>also Conditions 4 and 5.</w:t>
            </w:r>
          </w:p>
        </w:tc>
      </w:tr>
      <w:tr w:rsidR="00A973AE" w14:paraId="74207A93" w14:textId="77777777" w:rsidTr="00F162AB">
        <w:tc>
          <w:tcPr>
            <w:tcW w:w="2740" w:type="dxa"/>
            <w:hideMark/>
          </w:tcPr>
          <w:p w14:paraId="3CA2A889" w14:textId="77777777" w:rsidR="00A973AE" w:rsidRDefault="00A973AE" w:rsidP="00CC1AB2">
            <w:pPr>
              <w:pStyle w:val="BodyText"/>
            </w:pPr>
            <w:r>
              <w:rPr>
                <w:b/>
              </w:rPr>
              <w:t>Form:</w:t>
            </w:r>
          </w:p>
        </w:tc>
        <w:tc>
          <w:tcPr>
            <w:tcW w:w="6345" w:type="dxa"/>
            <w:hideMark/>
          </w:tcPr>
          <w:p w14:paraId="472867BC" w14:textId="77777777" w:rsidR="00A973AE" w:rsidRDefault="00A973AE" w:rsidP="00CC1AB2">
            <w:pPr>
              <w:pStyle w:val="BodyText"/>
            </w:pPr>
            <w:r>
              <w:t>The Notes will initially each be represented by beneficial interests in a temporary global note (the “</w:t>
            </w:r>
            <w:r>
              <w:rPr>
                <w:b/>
              </w:rPr>
              <w:t>Temporary Global Note</w:t>
            </w:r>
            <w:r>
              <w:t>”) in bearer form.  Pursuant to the Conditions of the Notes, each Temporary Global Note may be exchanged for a permanent global note in bearer form (the “</w:t>
            </w:r>
            <w:r>
              <w:rPr>
                <w:b/>
              </w:rPr>
              <w:t>Permanent Global Note</w:t>
            </w:r>
            <w:r>
              <w:t>”).  Except in limited circumstances, bearer definitive Notes will not be issued in exchange for beneficial interests in the Permanent Global Notes.</w:t>
            </w:r>
          </w:p>
        </w:tc>
      </w:tr>
      <w:tr w:rsidR="00A973AE" w14:paraId="769B42D4" w14:textId="77777777" w:rsidTr="00F162AB">
        <w:tc>
          <w:tcPr>
            <w:tcW w:w="2740" w:type="dxa"/>
            <w:hideMark/>
          </w:tcPr>
          <w:p w14:paraId="1D0B4D18" w14:textId="77777777" w:rsidR="00A973AE" w:rsidRDefault="00A973AE" w:rsidP="00CC1AB2">
            <w:pPr>
              <w:pStyle w:val="BodyText"/>
            </w:pPr>
            <w:r>
              <w:rPr>
                <w:b/>
              </w:rPr>
              <w:t>Status:</w:t>
            </w:r>
          </w:p>
        </w:tc>
        <w:tc>
          <w:tcPr>
            <w:tcW w:w="6345" w:type="dxa"/>
            <w:hideMark/>
          </w:tcPr>
          <w:p w14:paraId="55995694" w14:textId="77777777" w:rsidR="00A973AE" w:rsidRDefault="00A973AE" w:rsidP="00CC1AB2">
            <w:pPr>
              <w:pStyle w:val="BodyText"/>
            </w:pPr>
            <w:r>
              <w:t>The Notes are limited recourse obligations of the Issuer secured in the manner described herein.</w:t>
            </w:r>
          </w:p>
        </w:tc>
      </w:tr>
      <w:tr w:rsidR="00A973AE" w14:paraId="1E52F800" w14:textId="77777777" w:rsidTr="00F162AB">
        <w:tc>
          <w:tcPr>
            <w:tcW w:w="2740" w:type="dxa"/>
            <w:hideMark/>
          </w:tcPr>
          <w:p w14:paraId="3D5FC1C4" w14:textId="77777777" w:rsidR="00A973AE" w:rsidRDefault="00A973AE" w:rsidP="00CC1AB2">
            <w:pPr>
              <w:pStyle w:val="BodyText"/>
            </w:pPr>
            <w:r>
              <w:rPr>
                <w:b/>
              </w:rPr>
              <w:t>Use of Proceeds:</w:t>
            </w:r>
          </w:p>
        </w:tc>
        <w:tc>
          <w:tcPr>
            <w:tcW w:w="6345" w:type="dxa"/>
            <w:hideMark/>
          </w:tcPr>
          <w:p w14:paraId="1D9954B2" w14:textId="77777777" w:rsidR="00A973AE" w:rsidRDefault="00A973AE" w:rsidP="00CC1AB2">
            <w:pPr>
              <w:pStyle w:val="BodyText"/>
            </w:pPr>
            <w:r>
              <w:t>The entire net proceeds from the issue of the Notes will be used by the Issuer to purchase the Charged Assets.</w:t>
            </w:r>
          </w:p>
        </w:tc>
      </w:tr>
      <w:tr w:rsidR="00A973AE" w14:paraId="53B2D609" w14:textId="77777777" w:rsidTr="00F162AB">
        <w:tc>
          <w:tcPr>
            <w:tcW w:w="2740" w:type="dxa"/>
            <w:hideMark/>
          </w:tcPr>
          <w:p w14:paraId="7000C87A" w14:textId="77777777" w:rsidR="00A973AE" w:rsidRDefault="00A973AE" w:rsidP="00CC1AB2">
            <w:pPr>
              <w:pStyle w:val="BodyText"/>
            </w:pPr>
            <w:r>
              <w:rPr>
                <w:b/>
              </w:rPr>
              <w:t>Further Notes:</w:t>
            </w:r>
          </w:p>
        </w:tc>
        <w:tc>
          <w:tcPr>
            <w:tcW w:w="6345" w:type="dxa"/>
            <w:hideMark/>
          </w:tcPr>
          <w:p w14:paraId="6917DE2A" w14:textId="77777777" w:rsidR="00A973AE" w:rsidRDefault="00A973AE" w:rsidP="00CC1AB2">
            <w:pPr>
              <w:pStyle w:val="BodyText"/>
            </w:pPr>
            <w:r>
              <w:t>Further Notes may be issued which will be consolidated and form a single series with the Notes.</w:t>
            </w:r>
          </w:p>
        </w:tc>
      </w:tr>
      <w:tr w:rsidR="00A973AE" w14:paraId="1A7778B2" w14:textId="77777777" w:rsidTr="00F162AB">
        <w:tc>
          <w:tcPr>
            <w:tcW w:w="2740" w:type="dxa"/>
            <w:hideMark/>
          </w:tcPr>
          <w:p w14:paraId="0EC9FCE0" w14:textId="77777777" w:rsidR="00A973AE" w:rsidRDefault="00A973AE" w:rsidP="00CC1AB2">
            <w:pPr>
              <w:pStyle w:val="BodyText"/>
            </w:pPr>
            <w:r>
              <w:rPr>
                <w:b/>
              </w:rPr>
              <w:lastRenderedPageBreak/>
              <w:t>Listing:</w:t>
            </w:r>
          </w:p>
        </w:tc>
        <w:tc>
          <w:tcPr>
            <w:tcW w:w="6345" w:type="dxa"/>
            <w:hideMark/>
          </w:tcPr>
          <w:p w14:paraId="75F6DC89" w14:textId="77777777" w:rsidR="00A973AE" w:rsidRDefault="00A973AE" w:rsidP="00CC1AB2">
            <w:pPr>
              <w:pStyle w:val="BodyText"/>
            </w:pPr>
            <w:r>
              <w:t>Application has been made to list the Notes on the</w:t>
            </w:r>
            <w:r w:rsidRPr="002D6534">
              <w:t xml:space="preserve"> Third Market of the</w:t>
            </w:r>
            <w:r>
              <w:t xml:space="preserve"> Vienna Stock Exchange.  Listing is expected to take place on or about the Issue Date but no assurance can be given that such application will be granted.</w:t>
            </w:r>
          </w:p>
        </w:tc>
      </w:tr>
      <w:tr w:rsidR="00A973AE" w14:paraId="3F1FC43D" w14:textId="77777777" w:rsidTr="00F162AB">
        <w:tc>
          <w:tcPr>
            <w:tcW w:w="2740" w:type="dxa"/>
            <w:hideMark/>
          </w:tcPr>
          <w:p w14:paraId="745E00FA" w14:textId="77777777" w:rsidR="00A973AE" w:rsidRDefault="00A973AE" w:rsidP="00CC1AB2">
            <w:pPr>
              <w:pStyle w:val="BodyText"/>
            </w:pPr>
            <w:r>
              <w:rPr>
                <w:b/>
              </w:rPr>
              <w:t>Rating:</w:t>
            </w:r>
          </w:p>
        </w:tc>
        <w:tc>
          <w:tcPr>
            <w:tcW w:w="6345" w:type="dxa"/>
            <w:hideMark/>
          </w:tcPr>
          <w:p w14:paraId="55587F7D" w14:textId="77777777" w:rsidR="00A973AE" w:rsidRDefault="00A973AE" w:rsidP="00CC1AB2">
            <w:pPr>
              <w:pStyle w:val="BodyText"/>
            </w:pPr>
            <w:r>
              <w:t>The Notes will not be rated.</w:t>
            </w:r>
          </w:p>
        </w:tc>
      </w:tr>
      <w:tr w:rsidR="00A973AE" w14:paraId="462FF54B" w14:textId="77777777" w:rsidTr="00F162AB">
        <w:tc>
          <w:tcPr>
            <w:tcW w:w="2740" w:type="dxa"/>
            <w:hideMark/>
          </w:tcPr>
          <w:p w14:paraId="40B82C3B" w14:textId="77777777" w:rsidR="00A973AE" w:rsidRDefault="00A973AE" w:rsidP="00CC1AB2">
            <w:pPr>
              <w:pStyle w:val="BodyText"/>
            </w:pPr>
            <w:r>
              <w:rPr>
                <w:b/>
              </w:rPr>
              <w:t>Business Days:</w:t>
            </w:r>
          </w:p>
        </w:tc>
        <w:tc>
          <w:tcPr>
            <w:tcW w:w="6345" w:type="dxa"/>
            <w:hideMark/>
          </w:tcPr>
          <w:p w14:paraId="7485A5A1" w14:textId="1B6E6604" w:rsidR="00A973AE" w:rsidRDefault="00EB0B41" w:rsidP="00CC1AB2">
            <w:pPr>
              <w:pStyle w:val="BodyText"/>
            </w:pPr>
            <w:r>
              <w:t xml:space="preserve">New York, Dublin </w:t>
            </w:r>
            <w:r w:rsidR="00A973AE">
              <w:t>and London.</w:t>
            </w:r>
          </w:p>
        </w:tc>
      </w:tr>
      <w:tr w:rsidR="00A973AE" w14:paraId="41D81F35" w14:textId="77777777" w:rsidTr="00F162AB">
        <w:tc>
          <w:tcPr>
            <w:tcW w:w="2740" w:type="dxa"/>
            <w:hideMark/>
          </w:tcPr>
          <w:p w14:paraId="38E215FD" w14:textId="77777777" w:rsidR="00A973AE" w:rsidRDefault="00A973AE" w:rsidP="00CC1AB2">
            <w:pPr>
              <w:pStyle w:val="BodyText"/>
            </w:pPr>
            <w:r>
              <w:rPr>
                <w:b/>
              </w:rPr>
              <w:t>Governing Law:</w:t>
            </w:r>
          </w:p>
        </w:tc>
        <w:tc>
          <w:tcPr>
            <w:tcW w:w="6345" w:type="dxa"/>
            <w:hideMark/>
          </w:tcPr>
          <w:p w14:paraId="54725949" w14:textId="75F1DD7D" w:rsidR="00A973AE" w:rsidRDefault="009F45F5" w:rsidP="00CC1AB2">
            <w:pPr>
              <w:pStyle w:val="BodyText"/>
            </w:pPr>
            <w:r w:rsidRPr="005B6D9C">
              <w:t xml:space="preserve">The Notes and any dispute or claim arising out of or in connection with them (including non-contractual </w:t>
            </w:r>
            <w:r w:rsidR="00457D90">
              <w:t xml:space="preserve">obligations, </w:t>
            </w:r>
            <w:r w:rsidRPr="005B6D9C">
              <w:t>disputes or claims) shall be governed by and construed</w:t>
            </w:r>
            <w:r>
              <w:t xml:space="preserve"> in accordance with Irish law. </w:t>
            </w:r>
            <w:r w:rsidR="00A973AE">
              <w:t>The courts of Ireland shall have non-exclusive jurisdiction in respect of any dispute.  The New York Security is governed by New York law and New York State and / or Federal Courts may have jurisdiction over any dispute or enforcement proceedings relating thereto.</w:t>
            </w:r>
          </w:p>
        </w:tc>
      </w:tr>
      <w:tr w:rsidR="00A973AE" w14:paraId="02A23E13" w14:textId="77777777" w:rsidTr="00F162AB">
        <w:tc>
          <w:tcPr>
            <w:tcW w:w="2740" w:type="dxa"/>
            <w:hideMark/>
          </w:tcPr>
          <w:p w14:paraId="1B321E5B" w14:textId="77777777" w:rsidR="00A973AE" w:rsidRDefault="00A973AE" w:rsidP="00CC1AB2">
            <w:pPr>
              <w:pStyle w:val="BodyText"/>
            </w:pPr>
            <w:r>
              <w:rPr>
                <w:b/>
              </w:rPr>
              <w:t>Placing Agreement:</w:t>
            </w:r>
          </w:p>
        </w:tc>
        <w:tc>
          <w:tcPr>
            <w:tcW w:w="6345" w:type="dxa"/>
            <w:hideMark/>
          </w:tcPr>
          <w:p w14:paraId="6CC34453" w14:textId="77777777" w:rsidR="00A973AE" w:rsidRDefault="00A973AE" w:rsidP="00CC1AB2">
            <w:pPr>
              <w:pStyle w:val="BodyText"/>
            </w:pPr>
            <w:r>
              <w:t>The Issuer has entered into the Placing Agreement with the Placing Agent, whereby the Placing Agent agreed to place the Notes with investors, subject to the selling restrictions.</w:t>
            </w:r>
          </w:p>
          <w:p w14:paraId="1A2117FE" w14:textId="77777777" w:rsidR="00A973AE" w:rsidRDefault="00A973AE" w:rsidP="00CC1AB2">
            <w:pPr>
              <w:pStyle w:val="BodyText"/>
            </w:pPr>
            <w:r>
              <w:t xml:space="preserve">The Issuer, after prior consultation with the Arranger, reserves the right to modify the total nominal amount of the Notes to which investors can subscribe.  </w:t>
            </w:r>
          </w:p>
        </w:tc>
      </w:tr>
      <w:tr w:rsidR="00A973AE" w14:paraId="4638E11C" w14:textId="77777777" w:rsidTr="00F162AB">
        <w:tc>
          <w:tcPr>
            <w:tcW w:w="2740" w:type="dxa"/>
            <w:hideMark/>
          </w:tcPr>
          <w:p w14:paraId="2534075E" w14:textId="77777777" w:rsidR="00A973AE" w:rsidRDefault="00A973AE" w:rsidP="00CC1AB2">
            <w:pPr>
              <w:pStyle w:val="BodyText"/>
            </w:pPr>
            <w:r>
              <w:rPr>
                <w:b/>
              </w:rPr>
              <w:t>Risk Factors:</w:t>
            </w:r>
          </w:p>
        </w:tc>
        <w:tc>
          <w:tcPr>
            <w:tcW w:w="6345" w:type="dxa"/>
            <w:hideMark/>
          </w:tcPr>
          <w:p w14:paraId="580B57EC" w14:textId="77777777" w:rsidR="00A973AE" w:rsidRDefault="00A973AE" w:rsidP="00CC1AB2">
            <w:pPr>
              <w:pStyle w:val="BodyText"/>
            </w:pPr>
            <w:r>
              <w:t>The Notes are not principal protected and involve significant risks.  The attention of prospective Noteholders is drawn to the section “</w:t>
            </w:r>
            <w:r>
              <w:rPr>
                <w:i/>
              </w:rPr>
              <w:t>Risk Factors</w:t>
            </w:r>
            <w:r>
              <w:t>” in the Programme Memorandum and in this Series Memorandum, the section “</w:t>
            </w:r>
            <w:r>
              <w:rPr>
                <w:i/>
              </w:rPr>
              <w:t>Information on the Portfolio Manager</w:t>
            </w:r>
            <w:r>
              <w:t>” and, in respect of the Charged Assets, to the section “</w:t>
            </w:r>
            <w:r>
              <w:rPr>
                <w:i/>
              </w:rPr>
              <w:t>Information relating to the Charged Assets</w:t>
            </w:r>
            <w:r>
              <w:t>” of this Series Memorandum.</w:t>
            </w:r>
          </w:p>
        </w:tc>
      </w:tr>
    </w:tbl>
    <w:p w14:paraId="0F20C9FD" w14:textId="77777777" w:rsidR="00F15482" w:rsidRDefault="00F15482" w:rsidP="00F15482">
      <w:pPr>
        <w:pStyle w:val="BodyText"/>
      </w:pPr>
    </w:p>
    <w:p w14:paraId="77F1A814" w14:textId="77777777" w:rsidR="00F15482" w:rsidRDefault="00F15482" w:rsidP="00F15482">
      <w:pPr>
        <w:pStyle w:val="BodyText"/>
      </w:pPr>
    </w:p>
    <w:p w14:paraId="0CC9F7D0" w14:textId="77777777" w:rsidR="00F15482" w:rsidRDefault="00F15482" w:rsidP="00F15482">
      <w:pPr>
        <w:pStyle w:val="PROSPECTUS-LEVEL1"/>
      </w:pPr>
      <w:r>
        <w:rPr>
          <w:b w:val="0"/>
        </w:rPr>
        <w:br w:type="page"/>
      </w:r>
      <w:bookmarkStart w:id="3" w:name="_Toc438553642"/>
      <w:r>
        <w:lastRenderedPageBreak/>
        <w:t>Conditions of the Notes</w:t>
      </w:r>
      <w:bookmarkEnd w:id="3"/>
    </w:p>
    <w:p w14:paraId="2C3BB4A2" w14:textId="30D34DF1" w:rsidR="00D107EE" w:rsidRPr="00D107EE" w:rsidRDefault="002D2444" w:rsidP="00D107EE">
      <w:pPr>
        <w:pStyle w:val="BodyText"/>
        <w:jc w:val="center"/>
        <w:rPr>
          <w:b/>
          <w:sz w:val="22"/>
          <w:szCs w:val="22"/>
        </w:rPr>
      </w:pPr>
      <w:r>
        <w:rPr>
          <w:b/>
          <w:sz w:val="22"/>
          <w:szCs w:val="22"/>
          <w:highlight w:val="green"/>
        </w:rPr>
        <w:t>[B8]</w:t>
      </w:r>
      <w:r w:rsidRPr="002D2444">
        <w:rPr>
          <w:b/>
          <w:sz w:val="22"/>
          <w:szCs w:val="22"/>
        </w:rPr>
        <w:t xml:space="preserve"> Notes due </w:t>
      </w:r>
      <w:r>
        <w:rPr>
          <w:b/>
          <w:sz w:val="22"/>
          <w:szCs w:val="22"/>
          <w:highlight w:val="green"/>
        </w:rPr>
        <w:t>[B12</w:t>
      </w:r>
      <w:r w:rsidR="00D107EE" w:rsidRPr="00D107EE">
        <w:rPr>
          <w:b/>
          <w:sz w:val="22"/>
          <w:szCs w:val="22"/>
          <w:highlight w:val="green"/>
        </w:rPr>
        <w:t>]</w:t>
      </w:r>
    </w:p>
    <w:p w14:paraId="6B038EF1" w14:textId="2C140C53" w:rsidR="00F15482" w:rsidRDefault="00F15482" w:rsidP="00F15482">
      <w:pPr>
        <w:pStyle w:val="BodyText"/>
      </w:pPr>
      <w:r>
        <w:t xml:space="preserve">The Noteholders should note that words and expressions not otherwise defined below shall have the meanings respectively ascribed to them by Special Condition (I) below. </w:t>
      </w:r>
    </w:p>
    <w:p w14:paraId="028FA692" w14:textId="77777777" w:rsidR="00F15482" w:rsidRDefault="00F15482" w:rsidP="00F15482">
      <w:pPr>
        <w:pStyle w:val="BodyText"/>
      </w:pPr>
      <w:r>
        <w:t>The Notes designated as above (the “</w:t>
      </w:r>
      <w:r>
        <w:rPr>
          <w:b/>
        </w:rPr>
        <w:t>Notes</w:t>
      </w:r>
      <w:r>
        <w:t>”) shall have the following terms and conditions which shall complete, modify and amend the Master Conditions (March 2014 Edition), which shall apply to the Notes as so completed, modified and amended.  References to “</w:t>
      </w:r>
      <w:r>
        <w:rPr>
          <w:b/>
        </w:rPr>
        <w:t>Conditions</w:t>
      </w:r>
      <w:r>
        <w:t>” or “</w:t>
      </w:r>
      <w:r>
        <w:rPr>
          <w:b/>
        </w:rPr>
        <w:t>Condition</w:t>
      </w:r>
      <w:r>
        <w:t xml:space="preserve">” shall mean references to the Conditions of the Notes as modified herein.  </w:t>
      </w:r>
    </w:p>
    <w:p w14:paraId="5BF5DB9F" w14:textId="77777777" w:rsidR="00F15482" w:rsidRDefault="00F15482" w:rsidP="00F15482">
      <w:pPr>
        <w:pStyle w:val="BodyText"/>
      </w:pPr>
      <w:r>
        <w:t>The Issuer intends that any Further Notes which are issued pursuant to Condition 16 as amended by Special Condition (VI) (as defined herein) shall (save in respect of the relevant issue date) have the same Conditions as, and form a single Series with, the Notes of this Series.</w:t>
      </w:r>
    </w:p>
    <w:tbl>
      <w:tblPr>
        <w:tblW w:w="9170" w:type="dxa"/>
        <w:tblLook w:val="01E0" w:firstRow="1" w:lastRow="1" w:firstColumn="1" w:lastColumn="1" w:noHBand="0" w:noVBand="0"/>
      </w:tblPr>
      <w:tblGrid>
        <w:gridCol w:w="630"/>
        <w:gridCol w:w="579"/>
        <w:gridCol w:w="3004"/>
        <w:gridCol w:w="4957"/>
      </w:tblGrid>
      <w:tr w:rsidR="00F15482" w14:paraId="7F46066D" w14:textId="77777777" w:rsidTr="003D6537">
        <w:tc>
          <w:tcPr>
            <w:tcW w:w="630" w:type="dxa"/>
          </w:tcPr>
          <w:p w14:paraId="01F73F88" w14:textId="77777777" w:rsidR="00F15482" w:rsidRDefault="00F15482" w:rsidP="001920FF">
            <w:pPr>
              <w:pStyle w:val="NA-LEVEL1"/>
              <w:numPr>
                <w:ilvl w:val="0"/>
                <w:numId w:val="47"/>
              </w:numPr>
              <w:tabs>
                <w:tab w:val="left" w:pos="0"/>
              </w:tabs>
              <w:jc w:val="left"/>
            </w:pPr>
          </w:p>
        </w:tc>
        <w:tc>
          <w:tcPr>
            <w:tcW w:w="579" w:type="dxa"/>
            <w:hideMark/>
          </w:tcPr>
          <w:p w14:paraId="054CE395" w14:textId="77777777" w:rsidR="00F15482" w:rsidRDefault="00F15482" w:rsidP="00CC1AB2">
            <w:pPr>
              <w:pStyle w:val="BodyText"/>
            </w:pPr>
            <w:r>
              <w:t>(i)</w:t>
            </w:r>
          </w:p>
        </w:tc>
        <w:tc>
          <w:tcPr>
            <w:tcW w:w="3004" w:type="dxa"/>
            <w:hideMark/>
          </w:tcPr>
          <w:p w14:paraId="71C36DD2" w14:textId="77777777" w:rsidR="00F15482" w:rsidRDefault="00F15482" w:rsidP="00CC1AB2">
            <w:pPr>
              <w:pStyle w:val="BodyText"/>
            </w:pPr>
            <w:r>
              <w:t>Issuer:</w:t>
            </w:r>
          </w:p>
        </w:tc>
        <w:tc>
          <w:tcPr>
            <w:tcW w:w="4957" w:type="dxa"/>
            <w:hideMark/>
          </w:tcPr>
          <w:p w14:paraId="715905F2" w14:textId="77777777" w:rsidR="00F15482" w:rsidRDefault="00F15482" w:rsidP="00CC1AB2">
            <w:pPr>
              <w:pStyle w:val="BodyText"/>
            </w:pPr>
            <w:r>
              <w:t>IA Capital Structures (Ireland) plc.</w:t>
            </w:r>
          </w:p>
        </w:tc>
      </w:tr>
      <w:tr w:rsidR="00F15482" w14:paraId="3CC577B0" w14:textId="77777777" w:rsidTr="003D6537">
        <w:tc>
          <w:tcPr>
            <w:tcW w:w="630" w:type="dxa"/>
          </w:tcPr>
          <w:p w14:paraId="3C718AFE" w14:textId="77777777" w:rsidR="00F15482" w:rsidRDefault="00F15482" w:rsidP="00CC1AB2">
            <w:pPr>
              <w:pStyle w:val="BodyText"/>
              <w:jc w:val="left"/>
            </w:pPr>
          </w:p>
        </w:tc>
        <w:tc>
          <w:tcPr>
            <w:tcW w:w="579" w:type="dxa"/>
            <w:hideMark/>
          </w:tcPr>
          <w:p w14:paraId="6AEE14CD" w14:textId="77777777" w:rsidR="00F15482" w:rsidRDefault="00F15482" w:rsidP="00CC1AB2">
            <w:pPr>
              <w:pStyle w:val="BodyText"/>
            </w:pPr>
            <w:r>
              <w:t>(ii)</w:t>
            </w:r>
          </w:p>
        </w:tc>
        <w:tc>
          <w:tcPr>
            <w:tcW w:w="3004" w:type="dxa"/>
            <w:hideMark/>
          </w:tcPr>
          <w:p w14:paraId="4AA0F734" w14:textId="77777777" w:rsidR="00F15482" w:rsidRDefault="00F15482" w:rsidP="00CC1AB2">
            <w:pPr>
              <w:pStyle w:val="BodyText"/>
            </w:pPr>
            <w:r>
              <w:t>Arranger:</w:t>
            </w:r>
          </w:p>
        </w:tc>
        <w:tc>
          <w:tcPr>
            <w:tcW w:w="4957" w:type="dxa"/>
            <w:hideMark/>
          </w:tcPr>
          <w:p w14:paraId="1C3873F6" w14:textId="28F9602B" w:rsidR="00F15482" w:rsidRDefault="00062189" w:rsidP="00CC1AB2">
            <w:pPr>
              <w:pStyle w:val="BodyText"/>
            </w:pPr>
            <w:r>
              <w:t xml:space="preserve">FlexFunds Ltd. </w:t>
            </w:r>
          </w:p>
        </w:tc>
      </w:tr>
      <w:tr w:rsidR="00F15482" w14:paraId="4B25FB36" w14:textId="77777777" w:rsidTr="003D6537">
        <w:tc>
          <w:tcPr>
            <w:tcW w:w="630" w:type="dxa"/>
          </w:tcPr>
          <w:p w14:paraId="7E8D742C" w14:textId="77777777" w:rsidR="00F15482" w:rsidRDefault="00F15482" w:rsidP="00CC1AB2">
            <w:pPr>
              <w:pStyle w:val="NA-LEVEL1"/>
              <w:ind w:left="693"/>
              <w:jc w:val="left"/>
            </w:pPr>
          </w:p>
        </w:tc>
        <w:tc>
          <w:tcPr>
            <w:tcW w:w="579" w:type="dxa"/>
            <w:hideMark/>
          </w:tcPr>
          <w:p w14:paraId="13AEC901" w14:textId="77777777" w:rsidR="00F15482" w:rsidRDefault="00F15482" w:rsidP="00CC1AB2">
            <w:pPr>
              <w:pStyle w:val="BodyText"/>
            </w:pPr>
            <w:r>
              <w:t>(i)</w:t>
            </w:r>
          </w:p>
        </w:tc>
        <w:tc>
          <w:tcPr>
            <w:tcW w:w="3004" w:type="dxa"/>
            <w:hideMark/>
          </w:tcPr>
          <w:p w14:paraId="3361D8FF" w14:textId="77777777" w:rsidR="00F15482" w:rsidRDefault="00F15482" w:rsidP="00CC1AB2">
            <w:pPr>
              <w:pStyle w:val="BodyText"/>
            </w:pPr>
            <w:r>
              <w:t>Series Number:</w:t>
            </w:r>
          </w:p>
        </w:tc>
        <w:tc>
          <w:tcPr>
            <w:tcW w:w="4957" w:type="dxa"/>
            <w:hideMark/>
          </w:tcPr>
          <w:p w14:paraId="4BCE79DD" w14:textId="77037365" w:rsidR="00F15482" w:rsidRPr="002F2652" w:rsidRDefault="001848F6" w:rsidP="00CC1AB2">
            <w:pPr>
              <w:pStyle w:val="BodyText"/>
              <w:rPr>
                <w:highlight w:val="green"/>
              </w:rPr>
            </w:pPr>
            <w:r>
              <w:rPr>
                <w:highlight w:val="green"/>
              </w:rPr>
              <w:t>[B9</w:t>
            </w:r>
            <w:r w:rsidR="00EC79B0">
              <w:rPr>
                <w:highlight w:val="green"/>
              </w:rPr>
              <w:t>]</w:t>
            </w:r>
            <w:r w:rsidR="00F15482" w:rsidRPr="002D2444">
              <w:t>.</w:t>
            </w:r>
          </w:p>
        </w:tc>
      </w:tr>
      <w:tr w:rsidR="00F15482" w14:paraId="40751E0A" w14:textId="77777777" w:rsidTr="003D6537">
        <w:tc>
          <w:tcPr>
            <w:tcW w:w="630" w:type="dxa"/>
          </w:tcPr>
          <w:p w14:paraId="0B231DFD" w14:textId="77777777" w:rsidR="00F15482" w:rsidRDefault="00F15482" w:rsidP="00CC1AB2">
            <w:pPr>
              <w:pStyle w:val="BodyText"/>
              <w:jc w:val="left"/>
            </w:pPr>
          </w:p>
        </w:tc>
        <w:tc>
          <w:tcPr>
            <w:tcW w:w="579" w:type="dxa"/>
            <w:hideMark/>
          </w:tcPr>
          <w:p w14:paraId="5D421E71" w14:textId="77777777" w:rsidR="00F15482" w:rsidRDefault="00F15482" w:rsidP="00CC1AB2">
            <w:pPr>
              <w:pStyle w:val="BodyText"/>
            </w:pPr>
            <w:r>
              <w:t>(ii)</w:t>
            </w:r>
          </w:p>
        </w:tc>
        <w:tc>
          <w:tcPr>
            <w:tcW w:w="3004" w:type="dxa"/>
            <w:hideMark/>
          </w:tcPr>
          <w:p w14:paraId="4C96C358" w14:textId="77777777" w:rsidR="00F15482" w:rsidRDefault="00F15482" w:rsidP="00CC1AB2">
            <w:pPr>
              <w:pStyle w:val="BodyText"/>
            </w:pPr>
            <w:r>
              <w:t>Tranche Number:</w:t>
            </w:r>
          </w:p>
        </w:tc>
        <w:tc>
          <w:tcPr>
            <w:tcW w:w="4957" w:type="dxa"/>
            <w:hideMark/>
          </w:tcPr>
          <w:p w14:paraId="4ED0EF32" w14:textId="24247D5C" w:rsidR="00F15482" w:rsidRDefault="001848F6" w:rsidP="00CC1AB2">
            <w:pPr>
              <w:pStyle w:val="BodyText"/>
            </w:pPr>
            <w:r>
              <w:t>1</w:t>
            </w:r>
            <w:r w:rsidR="00F15482">
              <w:t>.</w:t>
            </w:r>
          </w:p>
        </w:tc>
      </w:tr>
      <w:tr w:rsidR="00F15482" w14:paraId="23FC4A1E" w14:textId="77777777" w:rsidTr="003D6537">
        <w:tc>
          <w:tcPr>
            <w:tcW w:w="630" w:type="dxa"/>
          </w:tcPr>
          <w:p w14:paraId="680E4D68" w14:textId="77777777" w:rsidR="00F15482" w:rsidRDefault="00F15482" w:rsidP="00CC1AB2">
            <w:pPr>
              <w:pStyle w:val="NA-LEVEL1"/>
              <w:ind w:left="693"/>
              <w:jc w:val="left"/>
            </w:pPr>
          </w:p>
        </w:tc>
        <w:tc>
          <w:tcPr>
            <w:tcW w:w="3583" w:type="dxa"/>
            <w:gridSpan w:val="2"/>
            <w:hideMark/>
          </w:tcPr>
          <w:p w14:paraId="07BC7E94" w14:textId="77777777" w:rsidR="00F15482" w:rsidRDefault="00F15482" w:rsidP="00CC1AB2">
            <w:pPr>
              <w:pStyle w:val="BodyText"/>
            </w:pPr>
            <w:r>
              <w:t>Principal Amount:</w:t>
            </w:r>
          </w:p>
        </w:tc>
        <w:tc>
          <w:tcPr>
            <w:tcW w:w="4957" w:type="dxa"/>
            <w:hideMark/>
          </w:tcPr>
          <w:p w14:paraId="6550A78A" w14:textId="08E77136" w:rsidR="00F15482" w:rsidRDefault="003D6537" w:rsidP="00CC1AB2">
            <w:pPr>
              <w:pStyle w:val="BodyText"/>
            </w:pPr>
            <w:r>
              <w:rPr>
                <w:highlight w:val="green"/>
              </w:rPr>
              <w:t>[B46</w:t>
            </w:r>
            <w:r w:rsidR="00EC79B0" w:rsidRPr="001848F6">
              <w:rPr>
                <w:highlight w:val="green"/>
              </w:rPr>
              <w:t>]</w:t>
            </w:r>
            <w:r w:rsidR="004E2F85" w:rsidRPr="002D2444">
              <w:t xml:space="preserve"> </w:t>
            </w:r>
            <w:r>
              <w:rPr>
                <w:highlight w:val="green"/>
              </w:rPr>
              <w:t>[B45</w:t>
            </w:r>
            <w:r w:rsidR="001848F6" w:rsidRPr="001848F6">
              <w:rPr>
                <w:highlight w:val="green"/>
              </w:rPr>
              <w:t>]</w:t>
            </w:r>
            <w:r w:rsidR="00F15482">
              <w:t>.</w:t>
            </w:r>
          </w:p>
          <w:p w14:paraId="623846AD" w14:textId="10E40B78" w:rsidR="00F15482" w:rsidRDefault="00F15482" w:rsidP="00CC1AB2">
            <w:pPr>
              <w:pStyle w:val="BodyText"/>
            </w:pPr>
            <w:r>
              <w:t>The Principal Amount of the Notes may be increased</w:t>
            </w:r>
            <w:r w:rsidR="004625B8">
              <w:t>, at the discretion of the Issuer,</w:t>
            </w:r>
            <w:r>
              <w:t xml:space="preserve"> by the issue of Further Notes from time to time (without requiring the consent of Noteholders) which shall be consolidated and form a single Series with the Notes of this Series, subject as provided in Special Condition (VI).</w:t>
            </w:r>
          </w:p>
        </w:tc>
      </w:tr>
      <w:tr w:rsidR="00F15482" w14:paraId="501EBDEB" w14:textId="77777777" w:rsidTr="003D6537">
        <w:tc>
          <w:tcPr>
            <w:tcW w:w="630" w:type="dxa"/>
          </w:tcPr>
          <w:p w14:paraId="20B430A0" w14:textId="77777777" w:rsidR="00F15482" w:rsidRDefault="00F15482" w:rsidP="00CC1AB2">
            <w:pPr>
              <w:pStyle w:val="NA-LEVEL1"/>
              <w:ind w:left="693"/>
              <w:jc w:val="left"/>
            </w:pPr>
          </w:p>
        </w:tc>
        <w:tc>
          <w:tcPr>
            <w:tcW w:w="3583" w:type="dxa"/>
            <w:gridSpan w:val="2"/>
            <w:hideMark/>
          </w:tcPr>
          <w:p w14:paraId="3BBA27CB" w14:textId="77777777" w:rsidR="00F15482" w:rsidRDefault="00F15482" w:rsidP="00CC1AB2">
            <w:pPr>
              <w:pStyle w:val="BodyText"/>
            </w:pPr>
            <w:r>
              <w:t>Issue Price:</w:t>
            </w:r>
          </w:p>
        </w:tc>
        <w:tc>
          <w:tcPr>
            <w:tcW w:w="4957" w:type="dxa"/>
            <w:hideMark/>
          </w:tcPr>
          <w:p w14:paraId="6F955D07" w14:textId="32078C5A" w:rsidR="00F15482" w:rsidRDefault="003D6537" w:rsidP="00CC1AB2">
            <w:pPr>
              <w:pStyle w:val="BodyText"/>
            </w:pPr>
            <w:r>
              <w:rPr>
                <w:highlight w:val="green"/>
              </w:rPr>
              <w:t>[B49</w:t>
            </w:r>
            <w:r w:rsidR="00EC79B0" w:rsidRPr="00EC79B0">
              <w:rPr>
                <w:highlight w:val="green"/>
              </w:rPr>
              <w:t>]</w:t>
            </w:r>
            <w:r w:rsidR="001920FF">
              <w:t xml:space="preserve"> of the Principal Amount</w:t>
            </w:r>
            <w:r w:rsidR="00F15482">
              <w:t>.</w:t>
            </w:r>
          </w:p>
        </w:tc>
      </w:tr>
      <w:tr w:rsidR="00F15482" w14:paraId="3861717F" w14:textId="77777777" w:rsidTr="003D6537">
        <w:tc>
          <w:tcPr>
            <w:tcW w:w="630" w:type="dxa"/>
          </w:tcPr>
          <w:p w14:paraId="4668BB42" w14:textId="77777777" w:rsidR="00F15482" w:rsidRDefault="00F15482" w:rsidP="00CC1AB2">
            <w:pPr>
              <w:pStyle w:val="NA-LEVEL1"/>
              <w:ind w:left="693"/>
              <w:jc w:val="left"/>
            </w:pPr>
          </w:p>
        </w:tc>
        <w:tc>
          <w:tcPr>
            <w:tcW w:w="3583" w:type="dxa"/>
            <w:gridSpan w:val="2"/>
            <w:hideMark/>
          </w:tcPr>
          <w:p w14:paraId="3AE4B97B" w14:textId="77777777" w:rsidR="00F15482" w:rsidRDefault="00F15482" w:rsidP="00CC1AB2">
            <w:pPr>
              <w:pStyle w:val="BodyText"/>
            </w:pPr>
            <w:r>
              <w:t>Authorised Denomination:</w:t>
            </w:r>
          </w:p>
        </w:tc>
        <w:tc>
          <w:tcPr>
            <w:tcW w:w="4957" w:type="dxa"/>
            <w:hideMark/>
          </w:tcPr>
          <w:p w14:paraId="73AC69BD" w14:textId="41E5A2DB" w:rsidR="00F15482" w:rsidRDefault="003D6537" w:rsidP="00CC1AB2">
            <w:pPr>
              <w:pStyle w:val="BodyText"/>
            </w:pPr>
            <w:r>
              <w:rPr>
                <w:highlight w:val="green"/>
              </w:rPr>
              <w:t>[B47</w:t>
            </w:r>
            <w:r w:rsidR="00EC79B0" w:rsidRPr="00EC79B0">
              <w:rPr>
                <w:highlight w:val="green"/>
              </w:rPr>
              <w:t>]</w:t>
            </w:r>
            <w:r w:rsidR="00F15482">
              <w:t>.</w:t>
            </w:r>
          </w:p>
        </w:tc>
      </w:tr>
      <w:tr w:rsidR="00F15482" w14:paraId="2EE0018E" w14:textId="77777777" w:rsidTr="003D6537">
        <w:tc>
          <w:tcPr>
            <w:tcW w:w="630" w:type="dxa"/>
          </w:tcPr>
          <w:p w14:paraId="0D4BD5F4" w14:textId="77777777" w:rsidR="00F15482" w:rsidRDefault="00F15482" w:rsidP="003D6537">
            <w:pPr>
              <w:pStyle w:val="NA-LEVEL1"/>
              <w:tabs>
                <w:tab w:val="left" w:pos="360"/>
              </w:tabs>
              <w:jc w:val="left"/>
            </w:pPr>
          </w:p>
        </w:tc>
        <w:tc>
          <w:tcPr>
            <w:tcW w:w="579" w:type="dxa"/>
            <w:hideMark/>
          </w:tcPr>
          <w:p w14:paraId="315BA9B0" w14:textId="77777777" w:rsidR="00F15482" w:rsidRDefault="00F15482" w:rsidP="00CC1AB2">
            <w:pPr>
              <w:pStyle w:val="BodyText"/>
            </w:pPr>
            <w:r>
              <w:t>(i)</w:t>
            </w:r>
          </w:p>
        </w:tc>
        <w:tc>
          <w:tcPr>
            <w:tcW w:w="3004" w:type="dxa"/>
            <w:hideMark/>
          </w:tcPr>
          <w:p w14:paraId="248999AF" w14:textId="77777777" w:rsidR="00F15482" w:rsidRDefault="00F15482" w:rsidP="00CC1AB2">
            <w:pPr>
              <w:pStyle w:val="BodyText"/>
            </w:pPr>
            <w:r>
              <w:t>Issue Date:</w:t>
            </w:r>
          </w:p>
        </w:tc>
        <w:tc>
          <w:tcPr>
            <w:tcW w:w="4957" w:type="dxa"/>
            <w:hideMark/>
          </w:tcPr>
          <w:p w14:paraId="4DD992C2" w14:textId="0FD7F3AA" w:rsidR="00F15482" w:rsidRDefault="003D6537" w:rsidP="00CC1AB2">
            <w:pPr>
              <w:pStyle w:val="BodyText"/>
            </w:pPr>
            <w:r>
              <w:rPr>
                <w:highlight w:val="green"/>
              </w:rPr>
              <w:t>[B15]</w:t>
            </w:r>
            <w:r w:rsidR="00F15482">
              <w:t>.</w:t>
            </w:r>
          </w:p>
        </w:tc>
      </w:tr>
      <w:tr w:rsidR="00F15482" w14:paraId="238FAE09" w14:textId="77777777" w:rsidTr="003D6537">
        <w:tc>
          <w:tcPr>
            <w:tcW w:w="630" w:type="dxa"/>
          </w:tcPr>
          <w:p w14:paraId="62A87FB2" w14:textId="77777777" w:rsidR="00F15482" w:rsidRDefault="00F15482" w:rsidP="00CC1AB2">
            <w:pPr>
              <w:pStyle w:val="BodyText"/>
              <w:jc w:val="left"/>
            </w:pPr>
          </w:p>
        </w:tc>
        <w:tc>
          <w:tcPr>
            <w:tcW w:w="579" w:type="dxa"/>
            <w:hideMark/>
          </w:tcPr>
          <w:p w14:paraId="7537CB11" w14:textId="77777777" w:rsidR="00F15482" w:rsidRDefault="00F15482" w:rsidP="00CC1AB2">
            <w:pPr>
              <w:pStyle w:val="BodyText"/>
            </w:pPr>
            <w:r>
              <w:t>(ii)</w:t>
            </w:r>
          </w:p>
        </w:tc>
        <w:tc>
          <w:tcPr>
            <w:tcW w:w="3004" w:type="dxa"/>
            <w:hideMark/>
          </w:tcPr>
          <w:p w14:paraId="78765198" w14:textId="77777777" w:rsidR="00F15482" w:rsidRDefault="00F15482" w:rsidP="00CC1AB2">
            <w:pPr>
              <w:pStyle w:val="BodyText"/>
            </w:pPr>
            <w:r>
              <w:t>Interest Commencement Date:</w:t>
            </w:r>
          </w:p>
        </w:tc>
        <w:tc>
          <w:tcPr>
            <w:tcW w:w="4957" w:type="dxa"/>
            <w:hideMark/>
          </w:tcPr>
          <w:p w14:paraId="6E252F2C" w14:textId="686E0F88" w:rsidR="00F15482" w:rsidRDefault="003D6537" w:rsidP="00CC1AB2">
            <w:pPr>
              <w:pStyle w:val="BodyText"/>
            </w:pPr>
            <w:r>
              <w:rPr>
                <w:highlight w:val="green"/>
              </w:rPr>
              <w:t>[B74</w:t>
            </w:r>
            <w:r w:rsidR="00EC79B0" w:rsidRPr="00EC79B0">
              <w:rPr>
                <w:highlight w:val="green"/>
              </w:rPr>
              <w:t>]</w:t>
            </w:r>
            <w:r w:rsidR="00F15482">
              <w:t>.</w:t>
            </w:r>
          </w:p>
        </w:tc>
      </w:tr>
      <w:tr w:rsidR="00F15482" w14:paraId="73ABA91B" w14:textId="77777777" w:rsidTr="003D6537">
        <w:tc>
          <w:tcPr>
            <w:tcW w:w="630" w:type="dxa"/>
          </w:tcPr>
          <w:p w14:paraId="5A145D45" w14:textId="77777777" w:rsidR="00F15482" w:rsidRDefault="00F15482" w:rsidP="00CC1AB2">
            <w:pPr>
              <w:pStyle w:val="NA-LEVEL1"/>
              <w:ind w:left="693"/>
              <w:jc w:val="left"/>
            </w:pPr>
          </w:p>
        </w:tc>
        <w:tc>
          <w:tcPr>
            <w:tcW w:w="3583" w:type="dxa"/>
            <w:gridSpan w:val="2"/>
            <w:hideMark/>
          </w:tcPr>
          <w:p w14:paraId="5A4AFD47" w14:textId="77777777" w:rsidR="00F15482" w:rsidRDefault="00F15482" w:rsidP="00CC1AB2">
            <w:pPr>
              <w:pStyle w:val="BodyText"/>
            </w:pPr>
            <w:r>
              <w:t>Maturity Date:</w:t>
            </w:r>
          </w:p>
        </w:tc>
        <w:tc>
          <w:tcPr>
            <w:tcW w:w="4957" w:type="dxa"/>
            <w:hideMark/>
          </w:tcPr>
          <w:p w14:paraId="09E36523" w14:textId="58AED2CB" w:rsidR="00F15482" w:rsidRDefault="00323AE3" w:rsidP="00AE7D2F">
            <w:pPr>
              <w:pStyle w:val="BodyText"/>
            </w:pPr>
            <w:r>
              <w:t xml:space="preserve">The earlier of (i) </w:t>
            </w:r>
            <w:r w:rsidR="003D6537">
              <w:rPr>
                <w:highlight w:val="green"/>
              </w:rPr>
              <w:t>[B16</w:t>
            </w:r>
            <w:r w:rsidR="005C77F7" w:rsidRPr="005C77F7">
              <w:rPr>
                <w:highlight w:val="green"/>
              </w:rPr>
              <w:t>]</w:t>
            </w:r>
            <w:r w:rsidR="00A81A95">
              <w:t xml:space="preserve"> </w:t>
            </w:r>
            <w:r w:rsidR="00F15482">
              <w:t>(the “</w:t>
            </w:r>
            <w:r w:rsidR="00F15482">
              <w:rPr>
                <w:b/>
              </w:rPr>
              <w:t>Scheduled Maturity Date</w:t>
            </w:r>
            <w:r w:rsidR="00F15482">
              <w:t>”); and (ii) the date that all of the Notes are fully redeemed.</w:t>
            </w:r>
          </w:p>
        </w:tc>
      </w:tr>
      <w:tr w:rsidR="00F15482" w14:paraId="2EA620BF" w14:textId="77777777" w:rsidTr="003D6537">
        <w:tc>
          <w:tcPr>
            <w:tcW w:w="630" w:type="dxa"/>
          </w:tcPr>
          <w:p w14:paraId="1B837642" w14:textId="77777777" w:rsidR="00F15482" w:rsidRDefault="00F15482" w:rsidP="00CC1AB2">
            <w:pPr>
              <w:pStyle w:val="NA-LEVEL1"/>
              <w:ind w:left="693"/>
              <w:jc w:val="left"/>
            </w:pPr>
          </w:p>
        </w:tc>
        <w:tc>
          <w:tcPr>
            <w:tcW w:w="3583" w:type="dxa"/>
            <w:gridSpan w:val="2"/>
            <w:hideMark/>
          </w:tcPr>
          <w:p w14:paraId="1D5C88C9" w14:textId="77777777" w:rsidR="00F15482" w:rsidRDefault="00F15482" w:rsidP="00CC1AB2">
            <w:pPr>
              <w:pStyle w:val="BodyText"/>
            </w:pPr>
            <w:r>
              <w:t>Extended Maturity Date</w:t>
            </w:r>
          </w:p>
        </w:tc>
        <w:tc>
          <w:tcPr>
            <w:tcW w:w="4957" w:type="dxa"/>
            <w:hideMark/>
          </w:tcPr>
          <w:p w14:paraId="60DA9AD0" w14:textId="5A88359C" w:rsidR="007F23B6" w:rsidRPr="00D37168" w:rsidRDefault="004625B8" w:rsidP="007F23B6">
            <w:pPr>
              <w:jc w:val="both"/>
              <w:rPr>
                <w:color w:val="000000" w:themeColor="text1"/>
              </w:rPr>
            </w:pPr>
            <w:r>
              <w:rPr>
                <w:color w:val="000000" w:themeColor="text1"/>
              </w:rPr>
              <w:t>The Date to which the term of the Notes may be extended under Special Condition (XII).</w:t>
            </w:r>
          </w:p>
          <w:p w14:paraId="01F85373" w14:textId="10ADFDF8" w:rsidR="00F15482" w:rsidRDefault="00F15482" w:rsidP="007F23B6">
            <w:pPr>
              <w:pStyle w:val="BodyText"/>
            </w:pPr>
          </w:p>
        </w:tc>
      </w:tr>
      <w:tr w:rsidR="00F15482" w14:paraId="67E764DB" w14:textId="77777777" w:rsidTr="003D6537">
        <w:tc>
          <w:tcPr>
            <w:tcW w:w="630" w:type="dxa"/>
          </w:tcPr>
          <w:p w14:paraId="3642FB2F" w14:textId="77777777" w:rsidR="00F15482" w:rsidRDefault="00F15482" w:rsidP="00CC1AB2">
            <w:pPr>
              <w:pStyle w:val="NA-LEVEL1"/>
              <w:ind w:left="693"/>
              <w:jc w:val="left"/>
            </w:pPr>
          </w:p>
        </w:tc>
        <w:tc>
          <w:tcPr>
            <w:tcW w:w="3583" w:type="dxa"/>
            <w:gridSpan w:val="2"/>
            <w:hideMark/>
          </w:tcPr>
          <w:p w14:paraId="42AB029B" w14:textId="77777777" w:rsidR="00F15482" w:rsidRDefault="00F15482" w:rsidP="00CC1AB2">
            <w:pPr>
              <w:pStyle w:val="BodyText"/>
            </w:pPr>
            <w:r>
              <w:t>Interest Basis:</w:t>
            </w:r>
          </w:p>
        </w:tc>
        <w:tc>
          <w:tcPr>
            <w:tcW w:w="4957" w:type="dxa"/>
            <w:hideMark/>
          </w:tcPr>
          <w:p w14:paraId="358FC78E" w14:textId="49F8560A" w:rsidR="00F15482" w:rsidRDefault="003D6537" w:rsidP="00D84101">
            <w:pPr>
              <w:pStyle w:val="BodyText"/>
              <w:tabs>
                <w:tab w:val="left" w:pos="3324"/>
              </w:tabs>
            </w:pPr>
            <w:r>
              <w:rPr>
                <w:highlight w:val="green"/>
              </w:rPr>
              <w:t>[B75</w:t>
            </w:r>
            <w:r w:rsidR="005C77F7" w:rsidRPr="005C77F7">
              <w:rPr>
                <w:highlight w:val="green"/>
              </w:rPr>
              <w:t>]</w:t>
            </w:r>
            <w:r w:rsidR="00F15482">
              <w:t>.</w:t>
            </w:r>
            <w:r w:rsidR="00D84101">
              <w:tab/>
            </w:r>
          </w:p>
        </w:tc>
      </w:tr>
      <w:tr w:rsidR="00F15482" w14:paraId="6F8EB66A" w14:textId="77777777" w:rsidTr="003D6537">
        <w:tc>
          <w:tcPr>
            <w:tcW w:w="630" w:type="dxa"/>
          </w:tcPr>
          <w:p w14:paraId="33151055" w14:textId="77777777" w:rsidR="00F15482" w:rsidRDefault="00F15482" w:rsidP="00CC1AB2">
            <w:pPr>
              <w:pStyle w:val="NA-LEVEL1"/>
              <w:ind w:left="693"/>
              <w:jc w:val="left"/>
            </w:pPr>
          </w:p>
        </w:tc>
        <w:tc>
          <w:tcPr>
            <w:tcW w:w="3583" w:type="dxa"/>
            <w:gridSpan w:val="2"/>
            <w:hideMark/>
          </w:tcPr>
          <w:p w14:paraId="4A206080" w14:textId="77777777" w:rsidR="00F15482" w:rsidRDefault="00F15482" w:rsidP="00CC1AB2">
            <w:pPr>
              <w:pStyle w:val="BodyText"/>
            </w:pPr>
            <w:r>
              <w:t>Status of the Notes:</w:t>
            </w:r>
          </w:p>
        </w:tc>
        <w:tc>
          <w:tcPr>
            <w:tcW w:w="4957" w:type="dxa"/>
          </w:tcPr>
          <w:p w14:paraId="5722DD40" w14:textId="77777777" w:rsidR="00F15482" w:rsidRDefault="00F15482" w:rsidP="00CC1AB2">
            <w:pPr>
              <w:pStyle w:val="BodyText"/>
            </w:pPr>
          </w:p>
        </w:tc>
      </w:tr>
      <w:tr w:rsidR="00F15482" w14:paraId="6F82A215" w14:textId="77777777" w:rsidTr="003D6537">
        <w:tc>
          <w:tcPr>
            <w:tcW w:w="630" w:type="dxa"/>
          </w:tcPr>
          <w:p w14:paraId="50F8FC5D" w14:textId="77777777" w:rsidR="00F15482" w:rsidRDefault="00F15482" w:rsidP="00CC1AB2">
            <w:pPr>
              <w:pStyle w:val="BodyText"/>
              <w:jc w:val="left"/>
            </w:pPr>
          </w:p>
        </w:tc>
        <w:tc>
          <w:tcPr>
            <w:tcW w:w="579" w:type="dxa"/>
            <w:hideMark/>
          </w:tcPr>
          <w:p w14:paraId="7AF65F5D" w14:textId="77777777" w:rsidR="00F15482" w:rsidRDefault="00F15482" w:rsidP="00CC1AB2">
            <w:pPr>
              <w:pStyle w:val="BodyText"/>
            </w:pPr>
            <w:r>
              <w:t>(i)</w:t>
            </w:r>
          </w:p>
        </w:tc>
        <w:tc>
          <w:tcPr>
            <w:tcW w:w="3004" w:type="dxa"/>
            <w:hideMark/>
          </w:tcPr>
          <w:p w14:paraId="58B55BFC" w14:textId="77777777" w:rsidR="00F15482" w:rsidRDefault="00F15482" w:rsidP="00CC1AB2">
            <w:pPr>
              <w:pStyle w:val="BodyText"/>
            </w:pPr>
            <w:r>
              <w:t>Status of the Notes:</w:t>
            </w:r>
          </w:p>
        </w:tc>
        <w:tc>
          <w:tcPr>
            <w:tcW w:w="4957" w:type="dxa"/>
            <w:hideMark/>
          </w:tcPr>
          <w:p w14:paraId="4096AD49" w14:textId="77777777" w:rsidR="00F15482" w:rsidRDefault="00F15482" w:rsidP="00CC1AB2">
            <w:pPr>
              <w:pStyle w:val="BodyText"/>
            </w:pPr>
            <w:r>
              <w:t xml:space="preserve">Secured and limited recourse obligations of the Issuer ranking </w:t>
            </w:r>
            <w:r>
              <w:rPr>
                <w:i/>
              </w:rPr>
              <w:t>pari passu</w:t>
            </w:r>
            <w:r>
              <w:t xml:space="preserve"> without any preferences amongst themselves secured as set out under Security below and subject to the priority set out </w:t>
            </w:r>
            <w:r>
              <w:lastRenderedPageBreak/>
              <w:t>under Priority below.</w:t>
            </w:r>
          </w:p>
        </w:tc>
      </w:tr>
      <w:tr w:rsidR="00F15482" w14:paraId="2407DC28" w14:textId="77777777" w:rsidTr="003D6537">
        <w:tc>
          <w:tcPr>
            <w:tcW w:w="630" w:type="dxa"/>
          </w:tcPr>
          <w:p w14:paraId="0190F44C" w14:textId="77777777" w:rsidR="00F15482" w:rsidRDefault="00F15482" w:rsidP="00CC1AB2">
            <w:pPr>
              <w:pStyle w:val="BodyText"/>
              <w:jc w:val="left"/>
            </w:pPr>
          </w:p>
        </w:tc>
        <w:tc>
          <w:tcPr>
            <w:tcW w:w="579" w:type="dxa"/>
            <w:hideMark/>
          </w:tcPr>
          <w:p w14:paraId="30F8B40B" w14:textId="77777777" w:rsidR="00F15482" w:rsidRDefault="00F15482" w:rsidP="00CC1AB2">
            <w:pPr>
              <w:pStyle w:val="BodyText"/>
            </w:pPr>
            <w:r>
              <w:t>(ii)</w:t>
            </w:r>
          </w:p>
        </w:tc>
        <w:tc>
          <w:tcPr>
            <w:tcW w:w="3004" w:type="dxa"/>
            <w:hideMark/>
          </w:tcPr>
          <w:p w14:paraId="501FD8D2" w14:textId="77777777" w:rsidR="00F15482" w:rsidRDefault="00F15482" w:rsidP="00CC1AB2">
            <w:pPr>
              <w:pStyle w:val="BodyText"/>
            </w:pPr>
            <w:r>
              <w:t>Priority:</w:t>
            </w:r>
          </w:p>
        </w:tc>
        <w:tc>
          <w:tcPr>
            <w:tcW w:w="4957" w:type="dxa"/>
            <w:hideMark/>
          </w:tcPr>
          <w:p w14:paraId="70CDD8EC" w14:textId="77777777" w:rsidR="00F15482" w:rsidRDefault="00F15482" w:rsidP="00CC1AB2">
            <w:pPr>
              <w:pStyle w:val="BodyText"/>
            </w:pPr>
            <w:r>
              <w:t>Counterparty Priority applies.</w:t>
            </w:r>
          </w:p>
        </w:tc>
      </w:tr>
      <w:tr w:rsidR="00F15482" w14:paraId="0DF35B57" w14:textId="77777777" w:rsidTr="003D6537">
        <w:tc>
          <w:tcPr>
            <w:tcW w:w="630" w:type="dxa"/>
          </w:tcPr>
          <w:p w14:paraId="5C95BF20" w14:textId="77777777" w:rsidR="00F15482" w:rsidRDefault="00F15482" w:rsidP="00CC1AB2">
            <w:pPr>
              <w:pStyle w:val="NA-LEVEL1"/>
              <w:ind w:left="693"/>
              <w:jc w:val="left"/>
            </w:pPr>
          </w:p>
        </w:tc>
        <w:tc>
          <w:tcPr>
            <w:tcW w:w="3583" w:type="dxa"/>
            <w:gridSpan w:val="2"/>
            <w:hideMark/>
          </w:tcPr>
          <w:p w14:paraId="77D20B3C" w14:textId="77777777" w:rsidR="00F15482" w:rsidRDefault="00F15482" w:rsidP="00CC1AB2">
            <w:pPr>
              <w:pStyle w:val="BodyText"/>
            </w:pPr>
            <w:r>
              <w:t>Listing:</w:t>
            </w:r>
          </w:p>
        </w:tc>
        <w:tc>
          <w:tcPr>
            <w:tcW w:w="4957" w:type="dxa"/>
            <w:hideMark/>
          </w:tcPr>
          <w:p w14:paraId="5005EA1E" w14:textId="77777777" w:rsidR="00F15482" w:rsidRDefault="00F15482" w:rsidP="00CC1AB2">
            <w:pPr>
              <w:pStyle w:val="BodyText"/>
            </w:pPr>
            <w:r>
              <w:t xml:space="preserve">An application has been made for admission of the Notes to the official list of the Third Market of the Vienna Stock Exchange.  Such listing is expected to take place on or about the Issue Date.  However, no assurance is given that approval of such application will be granted.  </w:t>
            </w:r>
          </w:p>
        </w:tc>
      </w:tr>
      <w:tr w:rsidR="00F15482" w14:paraId="10AA28F4" w14:textId="77777777" w:rsidTr="003D6537">
        <w:tc>
          <w:tcPr>
            <w:tcW w:w="630" w:type="dxa"/>
          </w:tcPr>
          <w:p w14:paraId="4C03D54C" w14:textId="77777777" w:rsidR="00F15482" w:rsidRDefault="00F15482" w:rsidP="00CC1AB2">
            <w:pPr>
              <w:pStyle w:val="NA-LEVEL1"/>
              <w:ind w:left="693"/>
              <w:jc w:val="left"/>
            </w:pPr>
          </w:p>
        </w:tc>
        <w:tc>
          <w:tcPr>
            <w:tcW w:w="3583" w:type="dxa"/>
            <w:gridSpan w:val="2"/>
            <w:hideMark/>
          </w:tcPr>
          <w:p w14:paraId="4A1AA365" w14:textId="77777777" w:rsidR="00F15482" w:rsidRDefault="00F15482" w:rsidP="00CC1AB2">
            <w:pPr>
              <w:pStyle w:val="BodyText"/>
            </w:pPr>
            <w:r>
              <w:t>Fixed Rate Note Provisions:</w:t>
            </w:r>
          </w:p>
        </w:tc>
        <w:tc>
          <w:tcPr>
            <w:tcW w:w="4957" w:type="dxa"/>
            <w:hideMark/>
          </w:tcPr>
          <w:p w14:paraId="7AFB2AE9" w14:textId="2507DA03" w:rsidR="00F15482" w:rsidRDefault="003D6537" w:rsidP="00CC1AB2">
            <w:pPr>
              <w:pStyle w:val="BodyText"/>
            </w:pPr>
            <w:r>
              <w:rPr>
                <w:highlight w:val="green"/>
              </w:rPr>
              <w:t>[B80</w:t>
            </w:r>
            <w:r w:rsidR="005C77F7">
              <w:rPr>
                <w:highlight w:val="green"/>
              </w:rPr>
              <w:t>]</w:t>
            </w:r>
            <w:r w:rsidR="00F15482">
              <w:t>.</w:t>
            </w:r>
          </w:p>
        </w:tc>
      </w:tr>
      <w:tr w:rsidR="00F15482" w14:paraId="3D8ECBE0" w14:textId="77777777" w:rsidTr="003D6537">
        <w:tc>
          <w:tcPr>
            <w:tcW w:w="630" w:type="dxa"/>
          </w:tcPr>
          <w:p w14:paraId="6AF1D94D" w14:textId="77777777" w:rsidR="00F15482" w:rsidRDefault="00F15482" w:rsidP="00CC1AB2">
            <w:pPr>
              <w:pStyle w:val="NA-LEVEL1"/>
              <w:ind w:left="693"/>
              <w:jc w:val="left"/>
            </w:pPr>
          </w:p>
        </w:tc>
        <w:tc>
          <w:tcPr>
            <w:tcW w:w="3583" w:type="dxa"/>
            <w:gridSpan w:val="2"/>
            <w:hideMark/>
          </w:tcPr>
          <w:p w14:paraId="5B2A55CF" w14:textId="77777777" w:rsidR="00F15482" w:rsidRDefault="00F15482" w:rsidP="00CC1AB2">
            <w:pPr>
              <w:pStyle w:val="BodyText"/>
            </w:pPr>
            <w:r>
              <w:t>Floating Rate Note Provisions:</w:t>
            </w:r>
          </w:p>
        </w:tc>
        <w:tc>
          <w:tcPr>
            <w:tcW w:w="4957" w:type="dxa"/>
            <w:hideMark/>
          </w:tcPr>
          <w:p w14:paraId="022AC330" w14:textId="6A33271E" w:rsidR="00F15482" w:rsidRDefault="003D6537" w:rsidP="00CC1AB2">
            <w:pPr>
              <w:pStyle w:val="BodyText"/>
            </w:pPr>
            <w:r>
              <w:rPr>
                <w:highlight w:val="green"/>
              </w:rPr>
              <w:t>[B81</w:t>
            </w:r>
            <w:r w:rsidR="005C77F7">
              <w:rPr>
                <w:highlight w:val="green"/>
              </w:rPr>
              <w:t>]</w:t>
            </w:r>
            <w:r w:rsidR="00F15482">
              <w:t>.</w:t>
            </w:r>
          </w:p>
        </w:tc>
      </w:tr>
      <w:tr w:rsidR="00F15482" w14:paraId="73FB0CC4" w14:textId="77777777" w:rsidTr="003D6537">
        <w:tc>
          <w:tcPr>
            <w:tcW w:w="630" w:type="dxa"/>
          </w:tcPr>
          <w:p w14:paraId="2A301623" w14:textId="77777777" w:rsidR="00F15482" w:rsidRDefault="00F15482" w:rsidP="00CC1AB2">
            <w:pPr>
              <w:pStyle w:val="NA-LEVEL1"/>
              <w:ind w:left="693"/>
              <w:jc w:val="left"/>
            </w:pPr>
          </w:p>
        </w:tc>
        <w:tc>
          <w:tcPr>
            <w:tcW w:w="3583" w:type="dxa"/>
            <w:gridSpan w:val="2"/>
            <w:hideMark/>
          </w:tcPr>
          <w:p w14:paraId="11CE0B51" w14:textId="77777777" w:rsidR="00F15482" w:rsidRDefault="00F15482" w:rsidP="00CC1AB2">
            <w:pPr>
              <w:pStyle w:val="BodyText"/>
            </w:pPr>
            <w:r>
              <w:t>Zero Coupon Note provisions:</w:t>
            </w:r>
          </w:p>
        </w:tc>
        <w:tc>
          <w:tcPr>
            <w:tcW w:w="4957" w:type="dxa"/>
            <w:hideMark/>
          </w:tcPr>
          <w:p w14:paraId="2894EAA9" w14:textId="46910C42" w:rsidR="00F15482" w:rsidRDefault="003D6537" w:rsidP="00CC1AB2">
            <w:pPr>
              <w:pStyle w:val="BodyText"/>
            </w:pPr>
            <w:r>
              <w:rPr>
                <w:highlight w:val="green"/>
              </w:rPr>
              <w:t>[B82</w:t>
            </w:r>
            <w:r w:rsidR="005C77F7">
              <w:rPr>
                <w:highlight w:val="green"/>
              </w:rPr>
              <w:t>]</w:t>
            </w:r>
            <w:r w:rsidR="00F15482">
              <w:t>.</w:t>
            </w:r>
          </w:p>
        </w:tc>
      </w:tr>
      <w:tr w:rsidR="00F15482" w14:paraId="1CE41073" w14:textId="77777777" w:rsidTr="003D6537">
        <w:tc>
          <w:tcPr>
            <w:tcW w:w="630" w:type="dxa"/>
          </w:tcPr>
          <w:p w14:paraId="01259DF6" w14:textId="77777777" w:rsidR="00F15482" w:rsidRDefault="00F15482" w:rsidP="00CC1AB2">
            <w:pPr>
              <w:pStyle w:val="NA-LEVEL1"/>
              <w:ind w:left="693"/>
              <w:jc w:val="left"/>
            </w:pPr>
          </w:p>
        </w:tc>
        <w:tc>
          <w:tcPr>
            <w:tcW w:w="3583" w:type="dxa"/>
            <w:gridSpan w:val="2"/>
            <w:hideMark/>
          </w:tcPr>
          <w:p w14:paraId="1B29A948" w14:textId="77777777" w:rsidR="00F15482" w:rsidRDefault="00F15482" w:rsidP="00CC1AB2">
            <w:pPr>
              <w:pStyle w:val="BodyText"/>
            </w:pPr>
            <w:r>
              <w:t>Dual Currency Note Provisions:</w:t>
            </w:r>
          </w:p>
        </w:tc>
        <w:tc>
          <w:tcPr>
            <w:tcW w:w="4957" w:type="dxa"/>
            <w:hideMark/>
          </w:tcPr>
          <w:p w14:paraId="284FEA81" w14:textId="1A21D8ED" w:rsidR="00F15482" w:rsidRDefault="008F4393" w:rsidP="00CC1AB2">
            <w:pPr>
              <w:pStyle w:val="BodyText"/>
            </w:pPr>
            <w:r>
              <w:rPr>
                <w:highlight w:val="green"/>
              </w:rPr>
              <w:t>[B83</w:t>
            </w:r>
            <w:r w:rsidR="005C77F7">
              <w:rPr>
                <w:highlight w:val="green"/>
              </w:rPr>
              <w:t>]</w:t>
            </w:r>
            <w:r w:rsidR="00F15482">
              <w:t>.</w:t>
            </w:r>
          </w:p>
        </w:tc>
      </w:tr>
      <w:tr w:rsidR="00F15482" w14:paraId="313CE15D" w14:textId="77777777" w:rsidTr="003D6537">
        <w:tc>
          <w:tcPr>
            <w:tcW w:w="630" w:type="dxa"/>
          </w:tcPr>
          <w:p w14:paraId="7457C2BC" w14:textId="77777777" w:rsidR="00F15482" w:rsidRDefault="00F15482" w:rsidP="00CC1AB2">
            <w:pPr>
              <w:pStyle w:val="NA-LEVEL1"/>
              <w:ind w:left="693"/>
              <w:jc w:val="left"/>
            </w:pPr>
          </w:p>
        </w:tc>
        <w:tc>
          <w:tcPr>
            <w:tcW w:w="3583" w:type="dxa"/>
            <w:gridSpan w:val="2"/>
            <w:hideMark/>
          </w:tcPr>
          <w:p w14:paraId="65D69C45" w14:textId="77777777" w:rsidR="00F15482" w:rsidRDefault="00F15482" w:rsidP="00CC1AB2">
            <w:pPr>
              <w:pStyle w:val="BodyText"/>
              <w:jc w:val="left"/>
            </w:pPr>
            <w:r>
              <w:t>Variable Coupon Amount Note Provisions:</w:t>
            </w:r>
          </w:p>
        </w:tc>
        <w:tc>
          <w:tcPr>
            <w:tcW w:w="4957" w:type="dxa"/>
            <w:hideMark/>
          </w:tcPr>
          <w:p w14:paraId="7535EFC9" w14:textId="4C9C2EEB" w:rsidR="00F15482" w:rsidRDefault="008F4393" w:rsidP="00CC1AB2">
            <w:pPr>
              <w:pStyle w:val="BodyText"/>
            </w:pPr>
            <w:r>
              <w:rPr>
                <w:highlight w:val="green"/>
              </w:rPr>
              <w:t>[B84</w:t>
            </w:r>
            <w:r w:rsidR="005C77F7">
              <w:rPr>
                <w:highlight w:val="green"/>
              </w:rPr>
              <w:t>]</w:t>
            </w:r>
            <w:r w:rsidR="00F15482">
              <w:t>.</w:t>
            </w:r>
          </w:p>
        </w:tc>
      </w:tr>
      <w:tr w:rsidR="00F15482" w14:paraId="2E8741D4" w14:textId="77777777" w:rsidTr="003D6537">
        <w:tc>
          <w:tcPr>
            <w:tcW w:w="630" w:type="dxa"/>
          </w:tcPr>
          <w:p w14:paraId="079E837B" w14:textId="77777777" w:rsidR="00F15482" w:rsidRDefault="00F15482" w:rsidP="00CC1AB2">
            <w:pPr>
              <w:pStyle w:val="NA-LEVEL1"/>
              <w:numPr>
                <w:ilvl w:val="0"/>
                <w:numId w:val="0"/>
              </w:numPr>
              <w:tabs>
                <w:tab w:val="left" w:pos="720"/>
              </w:tabs>
              <w:ind w:left="284"/>
              <w:jc w:val="left"/>
            </w:pPr>
          </w:p>
        </w:tc>
        <w:tc>
          <w:tcPr>
            <w:tcW w:w="579" w:type="dxa"/>
            <w:hideMark/>
          </w:tcPr>
          <w:p w14:paraId="6726BF3A" w14:textId="77777777" w:rsidR="00F15482" w:rsidRDefault="00F15482" w:rsidP="00CC1AB2">
            <w:pPr>
              <w:pStyle w:val="BodyText"/>
            </w:pPr>
            <w:r>
              <w:t>(i)</w:t>
            </w:r>
          </w:p>
        </w:tc>
        <w:tc>
          <w:tcPr>
            <w:tcW w:w="3004" w:type="dxa"/>
            <w:hideMark/>
          </w:tcPr>
          <w:p w14:paraId="54830117" w14:textId="77777777" w:rsidR="00F15482" w:rsidRDefault="00F15482" w:rsidP="00CC1AB2">
            <w:pPr>
              <w:pStyle w:val="BodyText"/>
            </w:pPr>
            <w:r>
              <w:t>Interest Period:</w:t>
            </w:r>
          </w:p>
        </w:tc>
        <w:tc>
          <w:tcPr>
            <w:tcW w:w="4957" w:type="dxa"/>
            <w:hideMark/>
          </w:tcPr>
          <w:p w14:paraId="40CDB436" w14:textId="0A595B57" w:rsidR="00F15482" w:rsidRDefault="00F15482" w:rsidP="00CC1AB2">
            <w:pPr>
              <w:pStyle w:val="BodyText"/>
            </w:pPr>
            <w:r>
              <w:t xml:space="preserve">As regards the first interest period, the period from and including the Issue Date to and excluding the Interest Determination Date and as regards all subsequent interest periods the period from and including an Interest Determination Date to and excluding the next Interest Determination Date or to and including the </w:t>
            </w:r>
            <w:r w:rsidR="004625B8">
              <w:t xml:space="preserve">Scheduled </w:t>
            </w:r>
            <w:r>
              <w:t xml:space="preserve">Maturity Date </w:t>
            </w:r>
            <w:r w:rsidR="004625B8">
              <w:t xml:space="preserve">or any Extended Maturity Date, </w:t>
            </w:r>
            <w:r>
              <w:t>as applicable.</w:t>
            </w:r>
          </w:p>
        </w:tc>
      </w:tr>
      <w:tr w:rsidR="00F15482" w14:paraId="054584D6" w14:textId="77777777" w:rsidTr="003D6537">
        <w:tc>
          <w:tcPr>
            <w:tcW w:w="630" w:type="dxa"/>
          </w:tcPr>
          <w:p w14:paraId="15F51D10" w14:textId="77777777" w:rsidR="00F15482" w:rsidRDefault="00F15482" w:rsidP="00CC1AB2">
            <w:pPr>
              <w:pStyle w:val="NA-LEVEL1"/>
              <w:numPr>
                <w:ilvl w:val="0"/>
                <w:numId w:val="0"/>
              </w:numPr>
              <w:tabs>
                <w:tab w:val="left" w:pos="720"/>
              </w:tabs>
              <w:ind w:left="284"/>
              <w:jc w:val="left"/>
            </w:pPr>
          </w:p>
        </w:tc>
        <w:tc>
          <w:tcPr>
            <w:tcW w:w="579" w:type="dxa"/>
            <w:hideMark/>
          </w:tcPr>
          <w:p w14:paraId="7768A761" w14:textId="77777777" w:rsidR="00F15482" w:rsidRDefault="00F15482" w:rsidP="00CC1AB2">
            <w:pPr>
              <w:pStyle w:val="BodyText"/>
            </w:pPr>
            <w:r>
              <w:t>(ii)</w:t>
            </w:r>
          </w:p>
        </w:tc>
        <w:tc>
          <w:tcPr>
            <w:tcW w:w="3004" w:type="dxa"/>
            <w:hideMark/>
          </w:tcPr>
          <w:p w14:paraId="04EA39C4" w14:textId="77777777" w:rsidR="00F15482" w:rsidRDefault="00F15482" w:rsidP="00CC1AB2">
            <w:pPr>
              <w:pStyle w:val="BodyText"/>
            </w:pPr>
            <w:r>
              <w:t>Interest Determination Date:</w:t>
            </w:r>
          </w:p>
        </w:tc>
        <w:tc>
          <w:tcPr>
            <w:tcW w:w="4957" w:type="dxa"/>
            <w:hideMark/>
          </w:tcPr>
          <w:p w14:paraId="28B6BB8B" w14:textId="77777777" w:rsidR="00F15482" w:rsidRDefault="00F15482" w:rsidP="00CC1AB2">
            <w:pPr>
              <w:pStyle w:val="BodyText"/>
            </w:pPr>
            <w:r>
              <w:t>Any Business Day at the discretion of the Portfolio Manager.</w:t>
            </w:r>
          </w:p>
        </w:tc>
      </w:tr>
      <w:tr w:rsidR="00F15482" w14:paraId="2A2E4F38" w14:textId="77777777" w:rsidTr="003D6537">
        <w:tc>
          <w:tcPr>
            <w:tcW w:w="630" w:type="dxa"/>
          </w:tcPr>
          <w:p w14:paraId="5705C834" w14:textId="77777777" w:rsidR="00F15482" w:rsidRDefault="00F15482" w:rsidP="00CC1AB2">
            <w:pPr>
              <w:pStyle w:val="NA-LEVEL1"/>
              <w:numPr>
                <w:ilvl w:val="0"/>
                <w:numId w:val="0"/>
              </w:numPr>
              <w:tabs>
                <w:tab w:val="left" w:pos="720"/>
              </w:tabs>
              <w:ind w:left="284"/>
              <w:jc w:val="left"/>
            </w:pPr>
          </w:p>
        </w:tc>
        <w:tc>
          <w:tcPr>
            <w:tcW w:w="579" w:type="dxa"/>
            <w:hideMark/>
          </w:tcPr>
          <w:p w14:paraId="13DE5127" w14:textId="77777777" w:rsidR="00F15482" w:rsidRDefault="00F15482" w:rsidP="00CC1AB2">
            <w:pPr>
              <w:pStyle w:val="BodyText"/>
            </w:pPr>
            <w:r>
              <w:t>(iii)</w:t>
            </w:r>
          </w:p>
        </w:tc>
        <w:tc>
          <w:tcPr>
            <w:tcW w:w="3004" w:type="dxa"/>
            <w:hideMark/>
          </w:tcPr>
          <w:p w14:paraId="52DC0BF9" w14:textId="77777777" w:rsidR="00F15482" w:rsidRDefault="00F15482" w:rsidP="00CC1AB2">
            <w:pPr>
              <w:pStyle w:val="BodyText"/>
            </w:pPr>
            <w:r>
              <w:t>Interest Rate:</w:t>
            </w:r>
          </w:p>
        </w:tc>
        <w:tc>
          <w:tcPr>
            <w:tcW w:w="4957" w:type="dxa"/>
            <w:hideMark/>
          </w:tcPr>
          <w:p w14:paraId="5EC4423F" w14:textId="77777777" w:rsidR="00F15482" w:rsidRDefault="00F15482" w:rsidP="00CC1AB2">
            <w:pPr>
              <w:pStyle w:val="BodyText"/>
            </w:pPr>
            <w:r>
              <w:t>The Notes shall receive a total return based on the performance of the Portfolio during the Interest Period.</w:t>
            </w:r>
          </w:p>
        </w:tc>
      </w:tr>
      <w:tr w:rsidR="00F15482" w14:paraId="6D02C42D" w14:textId="77777777" w:rsidTr="003D6537">
        <w:tc>
          <w:tcPr>
            <w:tcW w:w="630" w:type="dxa"/>
          </w:tcPr>
          <w:p w14:paraId="4DA1D323" w14:textId="77777777" w:rsidR="00F15482" w:rsidRDefault="00F15482" w:rsidP="00CC1AB2">
            <w:pPr>
              <w:pStyle w:val="NA-LEVEL1"/>
              <w:numPr>
                <w:ilvl w:val="0"/>
                <w:numId w:val="0"/>
              </w:numPr>
              <w:tabs>
                <w:tab w:val="left" w:pos="720"/>
              </w:tabs>
              <w:ind w:left="284"/>
              <w:jc w:val="left"/>
            </w:pPr>
          </w:p>
        </w:tc>
        <w:tc>
          <w:tcPr>
            <w:tcW w:w="579" w:type="dxa"/>
            <w:hideMark/>
          </w:tcPr>
          <w:p w14:paraId="542DBD9B" w14:textId="77777777" w:rsidR="00F15482" w:rsidRDefault="00F15482" w:rsidP="00CC1AB2">
            <w:pPr>
              <w:pStyle w:val="BodyText"/>
            </w:pPr>
            <w:r>
              <w:t>(iv)</w:t>
            </w:r>
          </w:p>
        </w:tc>
        <w:tc>
          <w:tcPr>
            <w:tcW w:w="3004" w:type="dxa"/>
            <w:hideMark/>
          </w:tcPr>
          <w:p w14:paraId="79CFBF9E" w14:textId="77777777" w:rsidR="00F15482" w:rsidRDefault="00F15482" w:rsidP="00CC1AB2">
            <w:pPr>
              <w:pStyle w:val="BodyText"/>
            </w:pPr>
            <w:r>
              <w:t>Interest Amounts:</w:t>
            </w:r>
          </w:p>
        </w:tc>
        <w:tc>
          <w:tcPr>
            <w:tcW w:w="4957" w:type="dxa"/>
            <w:hideMark/>
          </w:tcPr>
          <w:p w14:paraId="31F70836" w14:textId="77777777" w:rsidR="00F15482" w:rsidRDefault="00F15482" w:rsidP="00CC1AB2">
            <w:pPr>
              <w:pStyle w:val="BodyText"/>
            </w:pPr>
            <w:r>
              <w:t>The greater of:</w:t>
            </w:r>
          </w:p>
        </w:tc>
      </w:tr>
      <w:tr w:rsidR="00F15482" w14:paraId="11C4F8E5" w14:textId="77777777" w:rsidTr="003D6537">
        <w:tc>
          <w:tcPr>
            <w:tcW w:w="630" w:type="dxa"/>
          </w:tcPr>
          <w:p w14:paraId="1E2CD3E8" w14:textId="77777777" w:rsidR="00F15482" w:rsidRDefault="00F15482" w:rsidP="00CC1AB2">
            <w:pPr>
              <w:pStyle w:val="NA-LEVEL1"/>
              <w:numPr>
                <w:ilvl w:val="0"/>
                <w:numId w:val="0"/>
              </w:numPr>
              <w:tabs>
                <w:tab w:val="left" w:pos="720"/>
              </w:tabs>
              <w:ind w:left="284"/>
              <w:jc w:val="left"/>
            </w:pPr>
          </w:p>
        </w:tc>
        <w:tc>
          <w:tcPr>
            <w:tcW w:w="579" w:type="dxa"/>
          </w:tcPr>
          <w:p w14:paraId="38CA31CA" w14:textId="77777777" w:rsidR="00F15482" w:rsidRDefault="00F15482" w:rsidP="00CC1AB2">
            <w:pPr>
              <w:pStyle w:val="BodyText"/>
            </w:pPr>
          </w:p>
        </w:tc>
        <w:tc>
          <w:tcPr>
            <w:tcW w:w="3004" w:type="dxa"/>
          </w:tcPr>
          <w:p w14:paraId="3FE4E94D" w14:textId="77777777" w:rsidR="00F15482" w:rsidRDefault="00F15482" w:rsidP="00CC1AB2">
            <w:pPr>
              <w:pStyle w:val="BodyText"/>
            </w:pPr>
          </w:p>
        </w:tc>
        <w:tc>
          <w:tcPr>
            <w:tcW w:w="4957" w:type="dxa"/>
            <w:hideMark/>
          </w:tcPr>
          <w:p w14:paraId="4BD6FD6C" w14:textId="16BDB428" w:rsidR="00F15482" w:rsidRDefault="001920FF" w:rsidP="00CC1AB2">
            <w:pPr>
              <w:pStyle w:val="Level4"/>
              <w:numPr>
                <w:ilvl w:val="3"/>
                <w:numId w:val="15"/>
              </w:numPr>
              <w:tabs>
                <w:tab w:val="num" w:pos="902"/>
              </w:tabs>
              <w:ind w:left="902"/>
            </w:pPr>
            <w:r>
              <w:t xml:space="preserve">Net Proceeds – </w:t>
            </w:r>
            <w:r w:rsidR="008F4393">
              <w:rPr>
                <w:highlight w:val="green"/>
              </w:rPr>
              <w:t>[B47</w:t>
            </w:r>
            <w:r w:rsidR="005C77F7" w:rsidRPr="005C77F7">
              <w:rPr>
                <w:highlight w:val="green"/>
              </w:rPr>
              <w:t>]</w:t>
            </w:r>
            <w:r w:rsidR="00F15482">
              <w:t>; and</w:t>
            </w:r>
          </w:p>
        </w:tc>
      </w:tr>
      <w:tr w:rsidR="00F15482" w14:paraId="0AB9CD16" w14:textId="77777777" w:rsidTr="003D6537">
        <w:tc>
          <w:tcPr>
            <w:tcW w:w="630" w:type="dxa"/>
          </w:tcPr>
          <w:p w14:paraId="4C8D28CE" w14:textId="77777777" w:rsidR="00F15482" w:rsidRDefault="00F15482" w:rsidP="00CC1AB2">
            <w:pPr>
              <w:pStyle w:val="NA-LEVEL1"/>
              <w:numPr>
                <w:ilvl w:val="0"/>
                <w:numId w:val="0"/>
              </w:numPr>
              <w:tabs>
                <w:tab w:val="left" w:pos="720"/>
              </w:tabs>
              <w:ind w:left="284"/>
              <w:jc w:val="left"/>
            </w:pPr>
          </w:p>
        </w:tc>
        <w:tc>
          <w:tcPr>
            <w:tcW w:w="579" w:type="dxa"/>
          </w:tcPr>
          <w:p w14:paraId="5E6348D7" w14:textId="77777777" w:rsidR="00F15482" w:rsidRDefault="00F15482" w:rsidP="00CC1AB2">
            <w:pPr>
              <w:pStyle w:val="BodyText"/>
            </w:pPr>
          </w:p>
        </w:tc>
        <w:tc>
          <w:tcPr>
            <w:tcW w:w="3004" w:type="dxa"/>
          </w:tcPr>
          <w:p w14:paraId="21EE506D" w14:textId="77777777" w:rsidR="00F15482" w:rsidRDefault="00F15482" w:rsidP="00CC1AB2">
            <w:pPr>
              <w:pStyle w:val="BodyText"/>
            </w:pPr>
          </w:p>
        </w:tc>
        <w:tc>
          <w:tcPr>
            <w:tcW w:w="4957" w:type="dxa"/>
            <w:hideMark/>
          </w:tcPr>
          <w:p w14:paraId="4E9023CA" w14:textId="77777777" w:rsidR="00F15482" w:rsidRDefault="00F15482" w:rsidP="00CC1AB2">
            <w:pPr>
              <w:pStyle w:val="Level4"/>
              <w:numPr>
                <w:ilvl w:val="3"/>
                <w:numId w:val="15"/>
              </w:numPr>
              <w:tabs>
                <w:tab w:val="num" w:pos="902"/>
              </w:tabs>
              <w:ind w:left="902"/>
            </w:pPr>
            <w:r>
              <w:t>Zero.</w:t>
            </w:r>
          </w:p>
        </w:tc>
      </w:tr>
      <w:tr w:rsidR="00F15482" w14:paraId="57BB4130" w14:textId="77777777" w:rsidTr="003D6537">
        <w:tc>
          <w:tcPr>
            <w:tcW w:w="630" w:type="dxa"/>
          </w:tcPr>
          <w:p w14:paraId="14FD6A29" w14:textId="77777777" w:rsidR="00F15482" w:rsidRDefault="00F15482" w:rsidP="00CC1AB2">
            <w:pPr>
              <w:pStyle w:val="NA-LEVEL1"/>
              <w:numPr>
                <w:ilvl w:val="0"/>
                <w:numId w:val="0"/>
              </w:numPr>
              <w:tabs>
                <w:tab w:val="left" w:pos="720"/>
              </w:tabs>
              <w:ind w:left="284"/>
              <w:jc w:val="left"/>
            </w:pPr>
          </w:p>
        </w:tc>
        <w:tc>
          <w:tcPr>
            <w:tcW w:w="579" w:type="dxa"/>
            <w:hideMark/>
          </w:tcPr>
          <w:p w14:paraId="58DE5DF7" w14:textId="77777777" w:rsidR="00F15482" w:rsidRDefault="00F15482" w:rsidP="00CC1AB2">
            <w:pPr>
              <w:pStyle w:val="BodyText"/>
            </w:pPr>
            <w:r>
              <w:t>(v)</w:t>
            </w:r>
          </w:p>
        </w:tc>
        <w:tc>
          <w:tcPr>
            <w:tcW w:w="3004" w:type="dxa"/>
            <w:hideMark/>
          </w:tcPr>
          <w:p w14:paraId="65C7B9F9" w14:textId="77777777" w:rsidR="00F15482" w:rsidRDefault="00F15482" w:rsidP="00CC1AB2">
            <w:pPr>
              <w:pStyle w:val="BodyText"/>
            </w:pPr>
            <w:r>
              <w:t>Interest Payment Dates:</w:t>
            </w:r>
          </w:p>
        </w:tc>
        <w:tc>
          <w:tcPr>
            <w:tcW w:w="4957" w:type="dxa"/>
            <w:hideMark/>
          </w:tcPr>
          <w:p w14:paraId="3A367F37" w14:textId="77777777" w:rsidR="00F15482" w:rsidRDefault="00F15482" w:rsidP="00CC1AB2">
            <w:pPr>
              <w:pStyle w:val="BodyText"/>
            </w:pPr>
            <w:r>
              <w:t>Any Business Day within 5 Business Days following an Interest Determination Date at the discretion of the Portfolio Manager.</w:t>
            </w:r>
          </w:p>
        </w:tc>
      </w:tr>
      <w:tr w:rsidR="00F15482" w14:paraId="6B93D877" w14:textId="77777777" w:rsidTr="003D6537">
        <w:tc>
          <w:tcPr>
            <w:tcW w:w="630" w:type="dxa"/>
          </w:tcPr>
          <w:p w14:paraId="45C0B0F8" w14:textId="77777777" w:rsidR="00F15482" w:rsidRDefault="00F15482" w:rsidP="00CC1AB2">
            <w:pPr>
              <w:pStyle w:val="NA-LEVEL1"/>
              <w:numPr>
                <w:ilvl w:val="0"/>
                <w:numId w:val="0"/>
              </w:numPr>
              <w:tabs>
                <w:tab w:val="left" w:pos="720"/>
              </w:tabs>
              <w:ind w:left="284"/>
              <w:jc w:val="left"/>
            </w:pPr>
          </w:p>
        </w:tc>
        <w:tc>
          <w:tcPr>
            <w:tcW w:w="579" w:type="dxa"/>
            <w:hideMark/>
          </w:tcPr>
          <w:p w14:paraId="0C51EE77" w14:textId="77777777" w:rsidR="00F15482" w:rsidRDefault="00F15482" w:rsidP="00CC1AB2">
            <w:pPr>
              <w:pStyle w:val="BodyText"/>
            </w:pPr>
            <w:r>
              <w:t>(vi)</w:t>
            </w:r>
          </w:p>
        </w:tc>
        <w:tc>
          <w:tcPr>
            <w:tcW w:w="3004" w:type="dxa"/>
            <w:hideMark/>
          </w:tcPr>
          <w:p w14:paraId="3E3612F0" w14:textId="77777777" w:rsidR="00F15482" w:rsidRDefault="00F15482" w:rsidP="00CC1AB2">
            <w:pPr>
              <w:pStyle w:val="BodyText"/>
            </w:pPr>
            <w:r>
              <w:t>Business Day Convention:</w:t>
            </w:r>
          </w:p>
        </w:tc>
        <w:tc>
          <w:tcPr>
            <w:tcW w:w="4957" w:type="dxa"/>
            <w:hideMark/>
          </w:tcPr>
          <w:p w14:paraId="3B815482" w14:textId="77777777" w:rsidR="00F15482" w:rsidRDefault="00F15482" w:rsidP="00CC1AB2">
            <w:pPr>
              <w:pStyle w:val="BodyText"/>
            </w:pPr>
            <w:r>
              <w:t>Following Business Day Convention.</w:t>
            </w:r>
          </w:p>
        </w:tc>
      </w:tr>
      <w:tr w:rsidR="00F15482" w14:paraId="20004E7E" w14:textId="77777777" w:rsidTr="003D6537">
        <w:tc>
          <w:tcPr>
            <w:tcW w:w="630" w:type="dxa"/>
          </w:tcPr>
          <w:p w14:paraId="21E433E2" w14:textId="77777777" w:rsidR="00F15482" w:rsidRDefault="00F15482" w:rsidP="00CC1AB2">
            <w:pPr>
              <w:pStyle w:val="NA-LEVEL1"/>
              <w:ind w:left="693"/>
              <w:jc w:val="left"/>
            </w:pPr>
          </w:p>
        </w:tc>
        <w:tc>
          <w:tcPr>
            <w:tcW w:w="3583" w:type="dxa"/>
            <w:gridSpan w:val="2"/>
            <w:hideMark/>
          </w:tcPr>
          <w:p w14:paraId="4AA73919" w14:textId="77777777" w:rsidR="00F15482" w:rsidRDefault="00F15482" w:rsidP="00CC1AB2">
            <w:pPr>
              <w:pStyle w:val="BodyText"/>
            </w:pPr>
            <w:r>
              <w:t>Optional Redemption:</w:t>
            </w:r>
          </w:p>
        </w:tc>
        <w:tc>
          <w:tcPr>
            <w:tcW w:w="4957" w:type="dxa"/>
            <w:hideMark/>
          </w:tcPr>
          <w:p w14:paraId="7DF7A19F" w14:textId="4F9B18BD" w:rsidR="00F15482" w:rsidRDefault="00F15482" w:rsidP="00CC1AB2">
            <w:pPr>
              <w:pStyle w:val="BodyText"/>
            </w:pPr>
            <w:r>
              <w:t>Condition 2(f)(2) applies as amended by Special Condition (III).</w:t>
            </w:r>
            <w:r w:rsidR="00940136">
              <w:t xml:space="preserve"> Optional redemption by the Arranger applies as set out in Special Condition (III).</w:t>
            </w:r>
          </w:p>
        </w:tc>
      </w:tr>
      <w:tr w:rsidR="00F15482" w14:paraId="48CE062C" w14:textId="77777777" w:rsidTr="003D6537">
        <w:tc>
          <w:tcPr>
            <w:tcW w:w="630" w:type="dxa"/>
          </w:tcPr>
          <w:p w14:paraId="46D009AC" w14:textId="77777777" w:rsidR="00F15482" w:rsidRDefault="00F15482" w:rsidP="00CC1AB2">
            <w:pPr>
              <w:pStyle w:val="NA-LEVEL1"/>
              <w:ind w:left="693"/>
              <w:jc w:val="left"/>
            </w:pPr>
          </w:p>
        </w:tc>
        <w:tc>
          <w:tcPr>
            <w:tcW w:w="3583" w:type="dxa"/>
            <w:gridSpan w:val="2"/>
            <w:hideMark/>
          </w:tcPr>
          <w:p w14:paraId="360FD36B" w14:textId="77777777" w:rsidR="00F15482" w:rsidRDefault="00F15482" w:rsidP="00CC1AB2">
            <w:pPr>
              <w:pStyle w:val="BodyText"/>
            </w:pPr>
            <w:r>
              <w:t>Redemption Amount:</w:t>
            </w:r>
          </w:p>
        </w:tc>
        <w:tc>
          <w:tcPr>
            <w:tcW w:w="4957" w:type="dxa"/>
            <w:hideMark/>
          </w:tcPr>
          <w:p w14:paraId="182E71BC" w14:textId="77777777" w:rsidR="00F15482" w:rsidRDefault="00F15482" w:rsidP="00CC1AB2">
            <w:pPr>
              <w:pStyle w:val="BodyText"/>
            </w:pPr>
            <w:r>
              <w:t>Special Condition (II) applies.</w:t>
            </w:r>
          </w:p>
        </w:tc>
      </w:tr>
      <w:tr w:rsidR="00F15482" w14:paraId="3D737870" w14:textId="77777777" w:rsidTr="003D6537">
        <w:trPr>
          <w:trHeight w:val="525"/>
        </w:trPr>
        <w:tc>
          <w:tcPr>
            <w:tcW w:w="630" w:type="dxa"/>
          </w:tcPr>
          <w:p w14:paraId="22CFADC3" w14:textId="77777777" w:rsidR="00F15482" w:rsidRDefault="00F15482" w:rsidP="00CC1AB2">
            <w:pPr>
              <w:pStyle w:val="NA-LEVEL1"/>
              <w:ind w:left="693"/>
              <w:jc w:val="left"/>
            </w:pPr>
          </w:p>
        </w:tc>
        <w:tc>
          <w:tcPr>
            <w:tcW w:w="3583" w:type="dxa"/>
            <w:gridSpan w:val="2"/>
            <w:hideMark/>
          </w:tcPr>
          <w:p w14:paraId="1449DB46" w14:textId="77777777" w:rsidR="00F15482" w:rsidRDefault="00F15482" w:rsidP="00CC1AB2">
            <w:pPr>
              <w:pStyle w:val="BodyText"/>
            </w:pPr>
            <w:r>
              <w:t>Early Redemption Amount:</w:t>
            </w:r>
          </w:p>
        </w:tc>
        <w:tc>
          <w:tcPr>
            <w:tcW w:w="4957" w:type="dxa"/>
            <w:hideMark/>
          </w:tcPr>
          <w:p w14:paraId="706DC034" w14:textId="77777777" w:rsidR="00F15482" w:rsidRDefault="00F15482" w:rsidP="00CC1AB2">
            <w:pPr>
              <w:pStyle w:val="BodyText"/>
            </w:pPr>
            <w:r>
              <w:t xml:space="preserve">Special Condition (IV) applies.  </w:t>
            </w:r>
          </w:p>
        </w:tc>
      </w:tr>
      <w:tr w:rsidR="00F15482" w14:paraId="052E0A6A" w14:textId="77777777" w:rsidTr="003D6537">
        <w:tc>
          <w:tcPr>
            <w:tcW w:w="630" w:type="dxa"/>
          </w:tcPr>
          <w:p w14:paraId="11E02999" w14:textId="77777777" w:rsidR="00F15482" w:rsidRDefault="00F15482" w:rsidP="00CC1AB2">
            <w:pPr>
              <w:pStyle w:val="NA-LEVEL1"/>
              <w:ind w:left="693"/>
              <w:jc w:val="left"/>
            </w:pPr>
          </w:p>
        </w:tc>
        <w:tc>
          <w:tcPr>
            <w:tcW w:w="3583" w:type="dxa"/>
            <w:gridSpan w:val="2"/>
            <w:hideMark/>
          </w:tcPr>
          <w:p w14:paraId="5FA87BF1" w14:textId="77777777" w:rsidR="00F15482" w:rsidRDefault="00F15482" w:rsidP="00CC1AB2">
            <w:pPr>
              <w:pStyle w:val="BodyText"/>
            </w:pPr>
            <w:r>
              <w:t>Redemption Amount on redemption for taxation:</w:t>
            </w:r>
          </w:p>
        </w:tc>
        <w:tc>
          <w:tcPr>
            <w:tcW w:w="4957" w:type="dxa"/>
            <w:hideMark/>
          </w:tcPr>
          <w:p w14:paraId="5DA7B094" w14:textId="77777777" w:rsidR="00F15482" w:rsidRDefault="00F15482" w:rsidP="00CC1AB2">
            <w:pPr>
              <w:pStyle w:val="BodyText"/>
            </w:pPr>
            <w:r>
              <w:t>Condition 2(c)(A)(1) shall apply as amended by Special Condition (IV).</w:t>
            </w:r>
          </w:p>
        </w:tc>
      </w:tr>
      <w:tr w:rsidR="00F15482" w14:paraId="220DFADC" w14:textId="77777777" w:rsidTr="003D6537">
        <w:tc>
          <w:tcPr>
            <w:tcW w:w="630" w:type="dxa"/>
          </w:tcPr>
          <w:p w14:paraId="52524685" w14:textId="77777777" w:rsidR="00F15482" w:rsidRDefault="00F15482" w:rsidP="00CC1AB2">
            <w:pPr>
              <w:pStyle w:val="NA-LEVEL1"/>
              <w:ind w:left="693"/>
              <w:jc w:val="left"/>
            </w:pPr>
          </w:p>
        </w:tc>
        <w:tc>
          <w:tcPr>
            <w:tcW w:w="3583" w:type="dxa"/>
            <w:gridSpan w:val="2"/>
            <w:hideMark/>
          </w:tcPr>
          <w:p w14:paraId="39683721" w14:textId="77777777" w:rsidR="00F15482" w:rsidRDefault="00F15482" w:rsidP="00CC1AB2">
            <w:pPr>
              <w:pStyle w:val="BodyText"/>
            </w:pPr>
            <w:r>
              <w:t>Form of Notes:</w:t>
            </w:r>
          </w:p>
        </w:tc>
        <w:tc>
          <w:tcPr>
            <w:tcW w:w="4957" w:type="dxa"/>
            <w:hideMark/>
          </w:tcPr>
          <w:p w14:paraId="6E17CC85" w14:textId="77777777" w:rsidR="00F15482" w:rsidRDefault="00F15482" w:rsidP="00CC1AB2">
            <w:pPr>
              <w:pStyle w:val="BodyText"/>
            </w:pPr>
            <w:r>
              <w:t>Bearer Notes:</w:t>
            </w:r>
          </w:p>
        </w:tc>
      </w:tr>
      <w:tr w:rsidR="00F15482" w14:paraId="03FEBEB1" w14:textId="77777777" w:rsidTr="003D6537">
        <w:tc>
          <w:tcPr>
            <w:tcW w:w="630" w:type="dxa"/>
          </w:tcPr>
          <w:p w14:paraId="0D5D9D05" w14:textId="77777777" w:rsidR="00F15482" w:rsidRDefault="00F15482" w:rsidP="00CC1AB2">
            <w:pPr>
              <w:pStyle w:val="BodyText"/>
              <w:jc w:val="left"/>
            </w:pPr>
          </w:p>
        </w:tc>
        <w:tc>
          <w:tcPr>
            <w:tcW w:w="579" w:type="dxa"/>
            <w:hideMark/>
          </w:tcPr>
          <w:p w14:paraId="5B5D8D26" w14:textId="77777777" w:rsidR="00F15482" w:rsidRDefault="00F15482" w:rsidP="00CC1AB2">
            <w:pPr>
              <w:pStyle w:val="BodyText"/>
            </w:pPr>
            <w:r>
              <w:t>(i)</w:t>
            </w:r>
          </w:p>
        </w:tc>
        <w:tc>
          <w:tcPr>
            <w:tcW w:w="3004" w:type="dxa"/>
            <w:hideMark/>
          </w:tcPr>
          <w:p w14:paraId="2EFCDDD2" w14:textId="77777777" w:rsidR="00F15482" w:rsidRDefault="00F15482" w:rsidP="00CC1AB2">
            <w:pPr>
              <w:pStyle w:val="BodyText"/>
            </w:pPr>
            <w:r>
              <w:t>The Notes will initially be represented by:</w:t>
            </w:r>
          </w:p>
        </w:tc>
        <w:tc>
          <w:tcPr>
            <w:tcW w:w="4957" w:type="dxa"/>
            <w:hideMark/>
          </w:tcPr>
          <w:p w14:paraId="35D69429" w14:textId="77777777" w:rsidR="00F15482" w:rsidRDefault="00F15482" w:rsidP="00CC1AB2">
            <w:pPr>
              <w:pStyle w:val="BodyText"/>
            </w:pPr>
            <w:r>
              <w:t>Temporary Global Note.</w:t>
            </w:r>
          </w:p>
        </w:tc>
      </w:tr>
      <w:tr w:rsidR="00F15482" w14:paraId="796E301A" w14:textId="77777777" w:rsidTr="003D6537">
        <w:tc>
          <w:tcPr>
            <w:tcW w:w="630" w:type="dxa"/>
          </w:tcPr>
          <w:p w14:paraId="5EE63EF3" w14:textId="77777777" w:rsidR="00F15482" w:rsidRDefault="00F15482" w:rsidP="00CC1AB2">
            <w:pPr>
              <w:pStyle w:val="BodyText"/>
              <w:jc w:val="left"/>
            </w:pPr>
          </w:p>
        </w:tc>
        <w:tc>
          <w:tcPr>
            <w:tcW w:w="579" w:type="dxa"/>
            <w:hideMark/>
          </w:tcPr>
          <w:p w14:paraId="4209E863" w14:textId="77777777" w:rsidR="00F15482" w:rsidRDefault="00F15482" w:rsidP="00CC1AB2">
            <w:pPr>
              <w:pStyle w:val="BodyText"/>
            </w:pPr>
            <w:r>
              <w:t>(ii)</w:t>
            </w:r>
          </w:p>
        </w:tc>
        <w:tc>
          <w:tcPr>
            <w:tcW w:w="3004" w:type="dxa"/>
            <w:hideMark/>
          </w:tcPr>
          <w:p w14:paraId="1124FE53" w14:textId="77777777" w:rsidR="00F15482" w:rsidRDefault="00F15482" w:rsidP="00CC1AB2">
            <w:pPr>
              <w:pStyle w:val="BodyText"/>
            </w:pPr>
            <w:r>
              <w:t>Applicable TEFRA exemption:</w:t>
            </w:r>
          </w:p>
        </w:tc>
        <w:tc>
          <w:tcPr>
            <w:tcW w:w="4957" w:type="dxa"/>
            <w:hideMark/>
          </w:tcPr>
          <w:p w14:paraId="533D8041" w14:textId="77777777" w:rsidR="00F15482" w:rsidRDefault="00F15482" w:rsidP="00CC1AB2">
            <w:pPr>
              <w:pStyle w:val="BodyText"/>
            </w:pPr>
            <w:r>
              <w:t>D Rules</w:t>
            </w:r>
          </w:p>
        </w:tc>
      </w:tr>
      <w:tr w:rsidR="00F15482" w14:paraId="151127D2" w14:textId="77777777" w:rsidTr="003D6537">
        <w:tc>
          <w:tcPr>
            <w:tcW w:w="630" w:type="dxa"/>
          </w:tcPr>
          <w:p w14:paraId="13384444" w14:textId="77777777" w:rsidR="00F15482" w:rsidRDefault="00F15482" w:rsidP="00CC1AB2">
            <w:pPr>
              <w:pStyle w:val="BodyText"/>
              <w:jc w:val="left"/>
            </w:pPr>
          </w:p>
        </w:tc>
        <w:tc>
          <w:tcPr>
            <w:tcW w:w="579" w:type="dxa"/>
            <w:hideMark/>
          </w:tcPr>
          <w:p w14:paraId="709FB10D" w14:textId="77777777" w:rsidR="00F15482" w:rsidRDefault="00F15482" w:rsidP="00CC1AB2">
            <w:pPr>
              <w:pStyle w:val="BodyText"/>
            </w:pPr>
            <w:r>
              <w:t>(iii)</w:t>
            </w:r>
          </w:p>
        </w:tc>
        <w:tc>
          <w:tcPr>
            <w:tcW w:w="3004" w:type="dxa"/>
            <w:hideMark/>
          </w:tcPr>
          <w:p w14:paraId="39584373" w14:textId="77777777" w:rsidR="00F15482" w:rsidRDefault="00F15482" w:rsidP="00CC1AB2">
            <w:pPr>
              <w:pStyle w:val="BodyText"/>
            </w:pPr>
            <w:r>
              <w:t>Temporary Global Note exchangeable for Permanent Global / Definitive Bearer / Registered Notes:</w:t>
            </w:r>
          </w:p>
        </w:tc>
        <w:tc>
          <w:tcPr>
            <w:tcW w:w="4957" w:type="dxa"/>
            <w:hideMark/>
          </w:tcPr>
          <w:p w14:paraId="0A2052B2" w14:textId="77777777" w:rsidR="00F15482" w:rsidRDefault="00F15482" w:rsidP="00CC1AB2">
            <w:pPr>
              <w:pStyle w:val="BodyText"/>
            </w:pPr>
            <w:r>
              <w:t>Condition 10(a) applies.</w:t>
            </w:r>
          </w:p>
        </w:tc>
      </w:tr>
      <w:tr w:rsidR="00F15482" w14:paraId="7D484E3B" w14:textId="77777777" w:rsidTr="003D6537">
        <w:tc>
          <w:tcPr>
            <w:tcW w:w="630" w:type="dxa"/>
          </w:tcPr>
          <w:p w14:paraId="4E315CC2" w14:textId="77777777" w:rsidR="00F15482" w:rsidRDefault="00F15482" w:rsidP="00CC1AB2">
            <w:pPr>
              <w:pStyle w:val="BodyText"/>
              <w:jc w:val="left"/>
            </w:pPr>
          </w:p>
        </w:tc>
        <w:tc>
          <w:tcPr>
            <w:tcW w:w="579" w:type="dxa"/>
            <w:hideMark/>
          </w:tcPr>
          <w:p w14:paraId="56C06487" w14:textId="77777777" w:rsidR="00F15482" w:rsidRDefault="00F15482" w:rsidP="00CC1AB2">
            <w:pPr>
              <w:pStyle w:val="BodyText"/>
            </w:pPr>
            <w:r>
              <w:t>(iv)</w:t>
            </w:r>
          </w:p>
        </w:tc>
        <w:tc>
          <w:tcPr>
            <w:tcW w:w="3004" w:type="dxa"/>
            <w:hideMark/>
          </w:tcPr>
          <w:p w14:paraId="2DDD7805" w14:textId="77777777" w:rsidR="00F15482" w:rsidRDefault="00F15482" w:rsidP="00CC1AB2">
            <w:pPr>
              <w:pStyle w:val="BodyText"/>
            </w:pPr>
            <w:r>
              <w:t>Permanent Global Note exchangeable for Definitive Bearer / Registered Notes:</w:t>
            </w:r>
          </w:p>
        </w:tc>
        <w:tc>
          <w:tcPr>
            <w:tcW w:w="4957" w:type="dxa"/>
            <w:hideMark/>
          </w:tcPr>
          <w:p w14:paraId="24521DA7" w14:textId="77777777" w:rsidR="00F15482" w:rsidRDefault="00F15482" w:rsidP="00CC1AB2">
            <w:pPr>
              <w:pStyle w:val="BodyText"/>
            </w:pPr>
            <w:r>
              <w:t>Permanent Global Note is exchangeable for Definitive Notes in the limited circumstances specified in the Permanent Global Note.</w:t>
            </w:r>
          </w:p>
        </w:tc>
      </w:tr>
      <w:tr w:rsidR="00F15482" w14:paraId="4DD5F869" w14:textId="77777777" w:rsidTr="003D6537">
        <w:tc>
          <w:tcPr>
            <w:tcW w:w="630" w:type="dxa"/>
          </w:tcPr>
          <w:p w14:paraId="59EE20F9" w14:textId="77777777" w:rsidR="00F15482" w:rsidRDefault="00F15482" w:rsidP="00CC1AB2">
            <w:pPr>
              <w:pStyle w:val="BodyText"/>
              <w:jc w:val="left"/>
            </w:pPr>
          </w:p>
        </w:tc>
        <w:tc>
          <w:tcPr>
            <w:tcW w:w="579" w:type="dxa"/>
            <w:hideMark/>
          </w:tcPr>
          <w:p w14:paraId="1F73CDBF" w14:textId="77777777" w:rsidR="00F15482" w:rsidRDefault="00F15482" w:rsidP="00CC1AB2">
            <w:pPr>
              <w:pStyle w:val="BodyText"/>
            </w:pPr>
            <w:r>
              <w:t>(v)</w:t>
            </w:r>
          </w:p>
        </w:tc>
        <w:tc>
          <w:tcPr>
            <w:tcW w:w="3004" w:type="dxa"/>
            <w:hideMark/>
          </w:tcPr>
          <w:p w14:paraId="38A8D155" w14:textId="77777777" w:rsidR="00F15482" w:rsidRDefault="00F15482" w:rsidP="00CC1AB2">
            <w:pPr>
              <w:pStyle w:val="BodyText"/>
            </w:pPr>
            <w:r>
              <w:t>Registered Notes:</w:t>
            </w:r>
          </w:p>
        </w:tc>
        <w:tc>
          <w:tcPr>
            <w:tcW w:w="4957" w:type="dxa"/>
            <w:hideMark/>
          </w:tcPr>
          <w:p w14:paraId="3F738584" w14:textId="77777777" w:rsidR="00F15482" w:rsidRDefault="00F15482" w:rsidP="00CC1AB2">
            <w:pPr>
              <w:pStyle w:val="BodyText"/>
            </w:pPr>
            <w:r>
              <w:t>Not applicable.</w:t>
            </w:r>
          </w:p>
        </w:tc>
      </w:tr>
      <w:tr w:rsidR="00F15482" w14:paraId="78AE4C1A" w14:textId="77777777" w:rsidTr="003D6537">
        <w:tc>
          <w:tcPr>
            <w:tcW w:w="630" w:type="dxa"/>
          </w:tcPr>
          <w:p w14:paraId="24A7BDB8" w14:textId="77777777" w:rsidR="00F15482" w:rsidRDefault="00F15482" w:rsidP="00CC1AB2">
            <w:pPr>
              <w:pStyle w:val="NA-LEVEL1"/>
              <w:ind w:left="693"/>
              <w:jc w:val="left"/>
            </w:pPr>
          </w:p>
        </w:tc>
        <w:tc>
          <w:tcPr>
            <w:tcW w:w="3583" w:type="dxa"/>
            <w:gridSpan w:val="2"/>
            <w:hideMark/>
          </w:tcPr>
          <w:p w14:paraId="5226130F" w14:textId="77777777" w:rsidR="00F15482" w:rsidRDefault="00F15482" w:rsidP="00CC1AB2">
            <w:pPr>
              <w:pStyle w:val="BodyText"/>
            </w:pPr>
            <w:r>
              <w:t>Additional Financial Centre(s) or other special provisions relating to Payment Dates:</w:t>
            </w:r>
          </w:p>
        </w:tc>
        <w:tc>
          <w:tcPr>
            <w:tcW w:w="4957" w:type="dxa"/>
            <w:hideMark/>
          </w:tcPr>
          <w:p w14:paraId="19B610C6" w14:textId="77777777" w:rsidR="00F15482" w:rsidRDefault="00F15482" w:rsidP="00CC1AB2">
            <w:pPr>
              <w:pStyle w:val="BodyText"/>
            </w:pPr>
            <w:r>
              <w:t>Not applicable.</w:t>
            </w:r>
          </w:p>
        </w:tc>
      </w:tr>
      <w:tr w:rsidR="00F15482" w14:paraId="75847AD1" w14:textId="77777777" w:rsidTr="003D6537">
        <w:tc>
          <w:tcPr>
            <w:tcW w:w="630" w:type="dxa"/>
          </w:tcPr>
          <w:p w14:paraId="51AA68EC" w14:textId="77777777" w:rsidR="00F15482" w:rsidRDefault="00F15482" w:rsidP="00CC1AB2">
            <w:pPr>
              <w:pStyle w:val="NA-LEVEL1"/>
              <w:ind w:left="693"/>
              <w:jc w:val="left"/>
            </w:pPr>
          </w:p>
        </w:tc>
        <w:tc>
          <w:tcPr>
            <w:tcW w:w="3583" w:type="dxa"/>
            <w:gridSpan w:val="2"/>
            <w:hideMark/>
          </w:tcPr>
          <w:p w14:paraId="1187F9BB" w14:textId="77777777" w:rsidR="00F15482" w:rsidRDefault="00F15482" w:rsidP="00CC1AB2">
            <w:pPr>
              <w:pStyle w:val="BodyText"/>
            </w:pPr>
            <w:r>
              <w:t>Talons for future Coupons or Receipts to be attached to Definitive Notes (and dates on which such Talons mature):</w:t>
            </w:r>
          </w:p>
        </w:tc>
        <w:tc>
          <w:tcPr>
            <w:tcW w:w="4957" w:type="dxa"/>
            <w:hideMark/>
          </w:tcPr>
          <w:p w14:paraId="2884462A" w14:textId="77777777" w:rsidR="00F15482" w:rsidRDefault="00F15482" w:rsidP="00CC1AB2">
            <w:pPr>
              <w:pStyle w:val="BodyText"/>
            </w:pPr>
            <w:r>
              <w:t>No.</w:t>
            </w:r>
          </w:p>
        </w:tc>
      </w:tr>
      <w:tr w:rsidR="00F15482" w14:paraId="4CD1C16C" w14:textId="77777777" w:rsidTr="003D6537">
        <w:tc>
          <w:tcPr>
            <w:tcW w:w="630" w:type="dxa"/>
          </w:tcPr>
          <w:p w14:paraId="7668A1A7" w14:textId="77777777" w:rsidR="00F15482" w:rsidRDefault="00F15482" w:rsidP="00CC1AB2">
            <w:pPr>
              <w:pStyle w:val="NA-LEVEL1"/>
              <w:ind w:left="693"/>
              <w:jc w:val="left"/>
            </w:pPr>
          </w:p>
        </w:tc>
        <w:tc>
          <w:tcPr>
            <w:tcW w:w="3583" w:type="dxa"/>
            <w:gridSpan w:val="2"/>
            <w:hideMark/>
          </w:tcPr>
          <w:p w14:paraId="270E7BEE" w14:textId="77777777" w:rsidR="00F15482" w:rsidRDefault="00F15482" w:rsidP="00CC1AB2">
            <w:pPr>
              <w:pStyle w:val="BodyText"/>
            </w:pPr>
            <w:r>
              <w:t>Details relating to Instalment Notes: amount of each instalment, date on which each payment is to be made:</w:t>
            </w:r>
          </w:p>
        </w:tc>
        <w:tc>
          <w:tcPr>
            <w:tcW w:w="4957" w:type="dxa"/>
            <w:hideMark/>
          </w:tcPr>
          <w:p w14:paraId="71B52177" w14:textId="77777777" w:rsidR="00F15482" w:rsidRDefault="00F15482" w:rsidP="00CC1AB2">
            <w:pPr>
              <w:pStyle w:val="BodyText"/>
            </w:pPr>
            <w:r>
              <w:t>Not applicable.</w:t>
            </w:r>
          </w:p>
        </w:tc>
      </w:tr>
      <w:tr w:rsidR="00F15482" w14:paraId="500CCBA2" w14:textId="77777777" w:rsidTr="003D6537">
        <w:tc>
          <w:tcPr>
            <w:tcW w:w="630" w:type="dxa"/>
          </w:tcPr>
          <w:p w14:paraId="25F63B5B" w14:textId="77777777" w:rsidR="00F15482" w:rsidRDefault="00F15482" w:rsidP="00CC1AB2">
            <w:pPr>
              <w:pStyle w:val="NA-LEVEL1"/>
              <w:ind w:left="693"/>
              <w:jc w:val="left"/>
            </w:pPr>
          </w:p>
        </w:tc>
        <w:tc>
          <w:tcPr>
            <w:tcW w:w="3583" w:type="dxa"/>
            <w:gridSpan w:val="2"/>
            <w:hideMark/>
          </w:tcPr>
          <w:p w14:paraId="724FD3D8" w14:textId="77777777" w:rsidR="00F15482" w:rsidRDefault="00F15482" w:rsidP="00CC1AB2">
            <w:pPr>
              <w:pStyle w:val="BodyText"/>
            </w:pPr>
            <w:r>
              <w:t>Redenomination applicable:</w:t>
            </w:r>
          </w:p>
        </w:tc>
        <w:tc>
          <w:tcPr>
            <w:tcW w:w="4957" w:type="dxa"/>
            <w:hideMark/>
          </w:tcPr>
          <w:p w14:paraId="7B7EF1BD" w14:textId="77777777" w:rsidR="00F15482" w:rsidRDefault="00F15482" w:rsidP="00CC1AB2">
            <w:pPr>
              <w:pStyle w:val="BodyText"/>
            </w:pPr>
            <w:r>
              <w:t>Not applicable.</w:t>
            </w:r>
          </w:p>
        </w:tc>
      </w:tr>
      <w:tr w:rsidR="00F15482" w14:paraId="50B227B2" w14:textId="77777777" w:rsidTr="003D6537">
        <w:tc>
          <w:tcPr>
            <w:tcW w:w="630" w:type="dxa"/>
          </w:tcPr>
          <w:p w14:paraId="15ECD5F4" w14:textId="77777777" w:rsidR="00F15482" w:rsidRDefault="00F15482" w:rsidP="00CC1AB2">
            <w:pPr>
              <w:pStyle w:val="NA-LEVEL1"/>
              <w:ind w:left="693"/>
              <w:jc w:val="left"/>
            </w:pPr>
          </w:p>
        </w:tc>
        <w:tc>
          <w:tcPr>
            <w:tcW w:w="3583" w:type="dxa"/>
            <w:gridSpan w:val="2"/>
            <w:hideMark/>
          </w:tcPr>
          <w:p w14:paraId="39D8ABC9" w14:textId="77777777" w:rsidR="00F15482" w:rsidRDefault="00F15482" w:rsidP="00CC1AB2">
            <w:pPr>
              <w:pStyle w:val="BodyText"/>
            </w:pPr>
            <w:r>
              <w:t>Portfolio Management:</w:t>
            </w:r>
          </w:p>
        </w:tc>
        <w:tc>
          <w:tcPr>
            <w:tcW w:w="4957" w:type="dxa"/>
          </w:tcPr>
          <w:p w14:paraId="4843160F" w14:textId="77777777" w:rsidR="00F15482" w:rsidRDefault="00F15482" w:rsidP="00CC1AB2">
            <w:pPr>
              <w:pStyle w:val="BodyText"/>
            </w:pPr>
          </w:p>
        </w:tc>
      </w:tr>
      <w:tr w:rsidR="00F15482" w14:paraId="691D1905" w14:textId="77777777" w:rsidTr="003D6537">
        <w:tc>
          <w:tcPr>
            <w:tcW w:w="630" w:type="dxa"/>
          </w:tcPr>
          <w:p w14:paraId="5DA9C73B" w14:textId="77777777" w:rsidR="00F15482" w:rsidRDefault="00F15482" w:rsidP="00CC1AB2">
            <w:pPr>
              <w:pStyle w:val="NA-LEVEL1"/>
              <w:numPr>
                <w:ilvl w:val="0"/>
                <w:numId w:val="0"/>
              </w:numPr>
              <w:tabs>
                <w:tab w:val="left" w:pos="720"/>
              </w:tabs>
              <w:ind w:left="284"/>
              <w:jc w:val="left"/>
            </w:pPr>
          </w:p>
        </w:tc>
        <w:tc>
          <w:tcPr>
            <w:tcW w:w="579" w:type="dxa"/>
            <w:hideMark/>
          </w:tcPr>
          <w:p w14:paraId="554D0E08" w14:textId="77777777" w:rsidR="00F15482" w:rsidRDefault="00F15482" w:rsidP="00CC1AB2">
            <w:pPr>
              <w:pStyle w:val="BodyText"/>
            </w:pPr>
            <w:r>
              <w:t>(i)</w:t>
            </w:r>
          </w:p>
        </w:tc>
        <w:tc>
          <w:tcPr>
            <w:tcW w:w="3004" w:type="dxa"/>
            <w:hideMark/>
          </w:tcPr>
          <w:p w14:paraId="08201C74" w14:textId="77777777" w:rsidR="00F15482" w:rsidRDefault="00F15482" w:rsidP="00CC1AB2">
            <w:pPr>
              <w:pStyle w:val="BodyText"/>
            </w:pPr>
            <w:r>
              <w:t>Portfolio Manager:</w:t>
            </w:r>
          </w:p>
        </w:tc>
        <w:tc>
          <w:tcPr>
            <w:tcW w:w="4957" w:type="dxa"/>
            <w:hideMark/>
          </w:tcPr>
          <w:p w14:paraId="52F055EC" w14:textId="61337AD2" w:rsidR="00F15482" w:rsidRDefault="008F4393" w:rsidP="00B076B4">
            <w:pPr>
              <w:pStyle w:val="BodyText"/>
              <w:rPr>
                <w:color w:val="000000"/>
              </w:rPr>
            </w:pPr>
            <w:r>
              <w:rPr>
                <w:color w:val="000000"/>
                <w:highlight w:val="green"/>
              </w:rPr>
              <w:t>[B21</w:t>
            </w:r>
            <w:r w:rsidR="005C77F7">
              <w:rPr>
                <w:color w:val="000000"/>
                <w:highlight w:val="green"/>
              </w:rPr>
              <w:t>]</w:t>
            </w:r>
            <w:r w:rsidR="00CC7839">
              <w:rPr>
                <w:color w:val="000000"/>
              </w:rPr>
              <w:t>.</w:t>
            </w:r>
          </w:p>
        </w:tc>
      </w:tr>
      <w:tr w:rsidR="00F15482" w14:paraId="44A73A88" w14:textId="77777777" w:rsidTr="003D6537">
        <w:tc>
          <w:tcPr>
            <w:tcW w:w="630" w:type="dxa"/>
          </w:tcPr>
          <w:p w14:paraId="1C55D04D" w14:textId="77777777" w:rsidR="00F15482" w:rsidRDefault="00F15482" w:rsidP="00CC1AB2">
            <w:pPr>
              <w:pStyle w:val="NA-LEVEL1"/>
              <w:numPr>
                <w:ilvl w:val="0"/>
                <w:numId w:val="0"/>
              </w:numPr>
              <w:tabs>
                <w:tab w:val="left" w:pos="720"/>
              </w:tabs>
              <w:ind w:left="284"/>
              <w:jc w:val="left"/>
              <w:rPr>
                <w:color w:val="000000"/>
              </w:rPr>
            </w:pPr>
          </w:p>
        </w:tc>
        <w:tc>
          <w:tcPr>
            <w:tcW w:w="579" w:type="dxa"/>
            <w:hideMark/>
          </w:tcPr>
          <w:p w14:paraId="2324DAA3" w14:textId="77777777" w:rsidR="00F15482" w:rsidRDefault="00F15482" w:rsidP="00CC1AB2">
            <w:pPr>
              <w:pStyle w:val="BodyText"/>
            </w:pPr>
            <w:r>
              <w:t>(ii)</w:t>
            </w:r>
          </w:p>
        </w:tc>
        <w:tc>
          <w:tcPr>
            <w:tcW w:w="3004" w:type="dxa"/>
            <w:hideMark/>
          </w:tcPr>
          <w:p w14:paraId="57E46FB0" w14:textId="77777777" w:rsidR="00F15482" w:rsidRDefault="00F15482" w:rsidP="00CC1AB2">
            <w:pPr>
              <w:pStyle w:val="BodyText"/>
            </w:pPr>
            <w:r>
              <w:t>Portfolio Management Agreement:</w:t>
            </w:r>
          </w:p>
        </w:tc>
        <w:tc>
          <w:tcPr>
            <w:tcW w:w="4957" w:type="dxa"/>
            <w:hideMark/>
          </w:tcPr>
          <w:p w14:paraId="719D8FEC" w14:textId="77777777" w:rsidR="00F15482" w:rsidRDefault="00F15482" w:rsidP="00CC1AB2">
            <w:pPr>
              <w:pStyle w:val="BodyText"/>
            </w:pPr>
            <w:r>
              <w:rPr>
                <w:color w:val="000000"/>
              </w:rPr>
              <w:t xml:space="preserve">The terms and conditions of the appointment of the Portfolio Manager are set out in the </w:t>
            </w:r>
            <w:r>
              <w:t>Portfolio Management Agreement.  See “</w:t>
            </w:r>
            <w:r>
              <w:rPr>
                <w:i/>
              </w:rPr>
              <w:t>Information relating to the Portfolio Management Agreement</w:t>
            </w:r>
            <w:r>
              <w:t>” below.</w:t>
            </w:r>
          </w:p>
        </w:tc>
      </w:tr>
      <w:tr w:rsidR="00F15482" w14:paraId="2F61FE2B" w14:textId="77777777" w:rsidTr="003D6537">
        <w:tc>
          <w:tcPr>
            <w:tcW w:w="630" w:type="dxa"/>
          </w:tcPr>
          <w:p w14:paraId="5E7D5F87" w14:textId="77777777" w:rsidR="00F15482" w:rsidRDefault="00F15482" w:rsidP="00CC1AB2">
            <w:pPr>
              <w:pStyle w:val="NA-LEVEL1"/>
              <w:numPr>
                <w:ilvl w:val="0"/>
                <w:numId w:val="0"/>
              </w:numPr>
              <w:tabs>
                <w:tab w:val="left" w:pos="720"/>
              </w:tabs>
              <w:ind w:left="284"/>
              <w:jc w:val="left"/>
            </w:pPr>
          </w:p>
        </w:tc>
        <w:tc>
          <w:tcPr>
            <w:tcW w:w="579" w:type="dxa"/>
            <w:hideMark/>
          </w:tcPr>
          <w:p w14:paraId="0AC69C02" w14:textId="77777777" w:rsidR="00F15482" w:rsidRDefault="00F15482" w:rsidP="00CC1AB2">
            <w:pPr>
              <w:pStyle w:val="BodyText"/>
            </w:pPr>
            <w:r>
              <w:t>(iii)</w:t>
            </w:r>
          </w:p>
        </w:tc>
        <w:tc>
          <w:tcPr>
            <w:tcW w:w="3004" w:type="dxa"/>
            <w:hideMark/>
          </w:tcPr>
          <w:p w14:paraId="005BA3AA" w14:textId="77777777" w:rsidR="00F15482" w:rsidRDefault="00F15482" w:rsidP="00CC1AB2">
            <w:pPr>
              <w:pStyle w:val="BodyText"/>
            </w:pPr>
            <w:r>
              <w:t>Investment Objective:</w:t>
            </w:r>
          </w:p>
        </w:tc>
        <w:tc>
          <w:tcPr>
            <w:tcW w:w="4957" w:type="dxa"/>
            <w:hideMark/>
          </w:tcPr>
          <w:p w14:paraId="56A2674E" w14:textId="0EFBA7CE" w:rsidR="00F15482" w:rsidRDefault="00406043" w:rsidP="008F4393">
            <w:pPr>
              <w:pStyle w:val="BodyText"/>
            </w:pPr>
            <w:r>
              <w:t xml:space="preserve">The Portfolio Manager, </w:t>
            </w:r>
            <w:r w:rsidR="00F15482" w:rsidRPr="004D12A8">
              <w:t>in accordance with the terms of the Po</w:t>
            </w:r>
            <w:r>
              <w:t>rtfolio Management Agreement,</w:t>
            </w:r>
            <w:r w:rsidR="00F15482" w:rsidRPr="004D12A8">
              <w:t xml:space="preserve"> shall be obliged to use all reasonable endeavours, in the course of carrying out such obligations, to pursue any</w:t>
            </w:r>
            <w:r>
              <w:t xml:space="preserve"> investment</w:t>
            </w:r>
            <w:r w:rsidR="00F15482" w:rsidRPr="004D12A8">
              <w:t xml:space="preserve"> strategy that it deems fit to maximise the total returns achieved </w:t>
            </w:r>
            <w:r w:rsidR="000B3274" w:rsidRPr="004D12A8">
              <w:t>by the Portfolio</w:t>
            </w:r>
            <w:r w:rsidR="00002EBF">
              <w:t xml:space="preserve"> by</w:t>
            </w:r>
            <w:r w:rsidR="000B3274" w:rsidRPr="004D12A8">
              <w:t xml:space="preserve"> </w:t>
            </w:r>
            <w:r w:rsidR="008F4393">
              <w:rPr>
                <w:highlight w:val="green"/>
              </w:rPr>
              <w:t>[B62]</w:t>
            </w:r>
            <w:r w:rsidR="00CC7839">
              <w:t>.</w:t>
            </w:r>
          </w:p>
        </w:tc>
      </w:tr>
      <w:tr w:rsidR="00F15482" w14:paraId="253FDF49" w14:textId="77777777" w:rsidTr="003D6537">
        <w:tc>
          <w:tcPr>
            <w:tcW w:w="630" w:type="dxa"/>
          </w:tcPr>
          <w:p w14:paraId="5D608FE3" w14:textId="77777777" w:rsidR="00F15482" w:rsidRDefault="00F15482" w:rsidP="00CC1AB2">
            <w:pPr>
              <w:pStyle w:val="NA-LEVEL1"/>
              <w:numPr>
                <w:ilvl w:val="0"/>
                <w:numId w:val="0"/>
              </w:numPr>
              <w:tabs>
                <w:tab w:val="left" w:pos="720"/>
              </w:tabs>
              <w:ind w:left="284"/>
              <w:jc w:val="left"/>
            </w:pPr>
          </w:p>
        </w:tc>
        <w:tc>
          <w:tcPr>
            <w:tcW w:w="579" w:type="dxa"/>
            <w:hideMark/>
          </w:tcPr>
          <w:p w14:paraId="5C7CD041" w14:textId="77777777" w:rsidR="00F15482" w:rsidRDefault="00F15482" w:rsidP="00CC1AB2">
            <w:pPr>
              <w:pStyle w:val="BodyText"/>
            </w:pPr>
            <w:r>
              <w:t>(iv)</w:t>
            </w:r>
          </w:p>
        </w:tc>
        <w:tc>
          <w:tcPr>
            <w:tcW w:w="3004" w:type="dxa"/>
            <w:hideMark/>
          </w:tcPr>
          <w:p w14:paraId="3B4E30D2" w14:textId="77777777" w:rsidR="00F15482" w:rsidRDefault="00F15482" w:rsidP="00CC1AB2">
            <w:pPr>
              <w:pStyle w:val="BodyText"/>
            </w:pPr>
            <w:r>
              <w:t>Management Criteria:</w:t>
            </w:r>
          </w:p>
        </w:tc>
        <w:tc>
          <w:tcPr>
            <w:tcW w:w="4957" w:type="dxa"/>
            <w:hideMark/>
          </w:tcPr>
          <w:p w14:paraId="41B3AEA6" w14:textId="6C84EC76" w:rsidR="00F15482" w:rsidRDefault="00F15482" w:rsidP="00CC1AB2">
            <w:pPr>
              <w:pStyle w:val="BodyText"/>
              <w:rPr>
                <w:color w:val="000000"/>
              </w:rPr>
            </w:pPr>
            <w:r>
              <w:rPr>
                <w:color w:val="000000"/>
              </w:rPr>
              <w:t>The Portfolio Manager will seek to achieve the Investment Objective through the Investment Strategy</w:t>
            </w:r>
            <w:r w:rsidR="00406043">
              <w:rPr>
                <w:color w:val="000000"/>
              </w:rPr>
              <w:t xml:space="preserve"> and Management Criteria</w:t>
            </w:r>
            <w:r>
              <w:rPr>
                <w:color w:val="000000"/>
              </w:rPr>
              <w:t xml:space="preserve"> as more particularly set out in the Portfolio Management Agreement.</w:t>
            </w:r>
          </w:p>
        </w:tc>
      </w:tr>
      <w:tr w:rsidR="00F15482" w14:paraId="4A2DA54F" w14:textId="77777777" w:rsidTr="003D6537">
        <w:tc>
          <w:tcPr>
            <w:tcW w:w="630" w:type="dxa"/>
          </w:tcPr>
          <w:p w14:paraId="1E65CA37" w14:textId="77777777" w:rsidR="00F15482" w:rsidRDefault="00F15482" w:rsidP="00CC1AB2">
            <w:pPr>
              <w:pStyle w:val="NA-LEVEL1"/>
              <w:numPr>
                <w:ilvl w:val="0"/>
                <w:numId w:val="0"/>
              </w:numPr>
              <w:tabs>
                <w:tab w:val="left" w:pos="720"/>
              </w:tabs>
              <w:ind w:left="284"/>
              <w:jc w:val="left"/>
              <w:rPr>
                <w:color w:val="000000"/>
              </w:rPr>
            </w:pPr>
          </w:p>
        </w:tc>
        <w:tc>
          <w:tcPr>
            <w:tcW w:w="579" w:type="dxa"/>
            <w:hideMark/>
          </w:tcPr>
          <w:p w14:paraId="420B5987" w14:textId="77777777" w:rsidR="00F15482" w:rsidRDefault="00F15482" w:rsidP="00CC1AB2">
            <w:pPr>
              <w:pStyle w:val="BodyText"/>
            </w:pPr>
            <w:r>
              <w:t>(v)</w:t>
            </w:r>
          </w:p>
        </w:tc>
        <w:tc>
          <w:tcPr>
            <w:tcW w:w="3004" w:type="dxa"/>
            <w:hideMark/>
          </w:tcPr>
          <w:p w14:paraId="487656B3" w14:textId="77777777" w:rsidR="00F15482" w:rsidRDefault="00F15482" w:rsidP="00CC1AB2">
            <w:pPr>
              <w:pStyle w:val="BodyText"/>
            </w:pPr>
            <w:r>
              <w:t>Portfolio:</w:t>
            </w:r>
          </w:p>
        </w:tc>
        <w:tc>
          <w:tcPr>
            <w:tcW w:w="4957" w:type="dxa"/>
            <w:hideMark/>
          </w:tcPr>
          <w:p w14:paraId="7EE8F5E1" w14:textId="77777777" w:rsidR="00F15482" w:rsidRDefault="00F15482" w:rsidP="00CC1AB2">
            <w:pPr>
              <w:pStyle w:val="BodyText"/>
              <w:rPr>
                <w:color w:val="000000"/>
              </w:rPr>
            </w:pPr>
            <w:r>
              <w:rPr>
                <w:color w:val="000000"/>
              </w:rPr>
              <w:t>The</w:t>
            </w:r>
            <w:r>
              <w:t xml:space="preserve"> portfolio of Securities held from time-to-time pursuant to the </w:t>
            </w:r>
            <w:r>
              <w:rPr>
                <w:color w:val="000000"/>
              </w:rPr>
              <w:t xml:space="preserve">Margin Account Agreement, as </w:t>
            </w:r>
            <w:r>
              <w:rPr>
                <w:color w:val="000000"/>
              </w:rPr>
              <w:lastRenderedPageBreak/>
              <w:t>further described in the Portfolio Management Agreement.</w:t>
            </w:r>
          </w:p>
        </w:tc>
      </w:tr>
      <w:tr w:rsidR="00F15482" w14:paraId="08BC17C7" w14:textId="77777777" w:rsidTr="003D6537">
        <w:tc>
          <w:tcPr>
            <w:tcW w:w="630" w:type="dxa"/>
          </w:tcPr>
          <w:p w14:paraId="542BA92E" w14:textId="77777777" w:rsidR="00F15482" w:rsidRDefault="00F15482" w:rsidP="00CC1AB2">
            <w:pPr>
              <w:pStyle w:val="NA-LEVEL1"/>
              <w:numPr>
                <w:ilvl w:val="0"/>
                <w:numId w:val="0"/>
              </w:numPr>
              <w:tabs>
                <w:tab w:val="left" w:pos="720"/>
              </w:tabs>
              <w:ind w:left="284"/>
              <w:jc w:val="left"/>
              <w:rPr>
                <w:color w:val="000000"/>
              </w:rPr>
            </w:pPr>
          </w:p>
        </w:tc>
        <w:tc>
          <w:tcPr>
            <w:tcW w:w="579" w:type="dxa"/>
            <w:hideMark/>
          </w:tcPr>
          <w:p w14:paraId="2A062F9D" w14:textId="77777777" w:rsidR="00F15482" w:rsidRDefault="00F15482" w:rsidP="00CC1AB2">
            <w:pPr>
              <w:pStyle w:val="BodyText"/>
            </w:pPr>
            <w:r>
              <w:t>(vi)</w:t>
            </w:r>
          </w:p>
        </w:tc>
        <w:tc>
          <w:tcPr>
            <w:tcW w:w="3004" w:type="dxa"/>
            <w:hideMark/>
          </w:tcPr>
          <w:p w14:paraId="4A5D7513" w14:textId="77777777" w:rsidR="00F15482" w:rsidRDefault="00F15482" w:rsidP="00CC1AB2">
            <w:pPr>
              <w:pStyle w:val="BodyText"/>
            </w:pPr>
            <w:r>
              <w:t>Securities:</w:t>
            </w:r>
          </w:p>
        </w:tc>
        <w:tc>
          <w:tcPr>
            <w:tcW w:w="4957" w:type="dxa"/>
            <w:hideMark/>
          </w:tcPr>
          <w:p w14:paraId="7E6127F9" w14:textId="77777777" w:rsidR="00F15482" w:rsidRDefault="00F15482" w:rsidP="00CC1AB2">
            <w:pPr>
              <w:pStyle w:val="BodyText"/>
              <w:rPr>
                <w:color w:val="000000"/>
              </w:rPr>
            </w:pPr>
            <w:r>
              <w:rPr>
                <w:color w:val="000000"/>
              </w:rPr>
              <w:t>Any and all securities and other investments (including any investment company securities and securities accounts), monies, credit balances, assets or related contracts and deposit accounts, trading positions or beneficial interests in any assets, to the extent any of the foregoing is:</w:t>
            </w:r>
          </w:p>
          <w:p w14:paraId="704785FF" w14:textId="77777777" w:rsidR="00F15482" w:rsidRDefault="00F15482" w:rsidP="00CC1AB2">
            <w:pPr>
              <w:pStyle w:val="BodyText"/>
              <w:rPr>
                <w:color w:val="000000"/>
              </w:rPr>
            </w:pPr>
            <w:r>
              <w:rPr>
                <w:color w:val="000000"/>
              </w:rPr>
              <w:t>(i) held, carried and / or maintained by the Margin Account Provider</w:t>
            </w:r>
            <w:r>
              <w:t xml:space="preserve"> </w:t>
            </w:r>
            <w:r>
              <w:rPr>
                <w:color w:val="000000"/>
              </w:rPr>
              <w:t xml:space="preserve">and / or any of its affiliates, </w:t>
            </w:r>
          </w:p>
          <w:p w14:paraId="02EC824C" w14:textId="77777777" w:rsidR="00F15482" w:rsidRDefault="00F15482" w:rsidP="00CC1AB2">
            <w:pPr>
              <w:pStyle w:val="BodyText"/>
              <w:rPr>
                <w:color w:val="000000"/>
              </w:rPr>
            </w:pPr>
            <w:r>
              <w:rPr>
                <w:color w:val="000000"/>
              </w:rPr>
              <w:t xml:space="preserve">(ii) held, carried or maintained by the Margin Account Provider and / or any of its affiliates through any correspondent broker / dealer of the Margin Account Provider, </w:t>
            </w:r>
          </w:p>
          <w:p w14:paraId="464F5E6C" w14:textId="77777777" w:rsidR="00F15482" w:rsidRDefault="00F15482" w:rsidP="00CC1AB2">
            <w:pPr>
              <w:pStyle w:val="BodyText"/>
              <w:rPr>
                <w:color w:val="000000"/>
              </w:rPr>
            </w:pPr>
            <w:r>
              <w:rPr>
                <w:color w:val="000000"/>
              </w:rPr>
              <w:t>(iii) in the possession or control of the Margin Account Provider</w:t>
            </w:r>
            <w:r>
              <w:t xml:space="preserve"> </w:t>
            </w:r>
            <w:r>
              <w:rPr>
                <w:color w:val="000000"/>
              </w:rPr>
              <w:t xml:space="preserve">or any of its affiliates for any purpose, including for safekeeping, </w:t>
            </w:r>
          </w:p>
          <w:p w14:paraId="6DE633A5" w14:textId="77777777" w:rsidR="00F15482" w:rsidRDefault="00F15482" w:rsidP="00CC1AB2">
            <w:pPr>
              <w:pStyle w:val="BodyText"/>
              <w:rPr>
                <w:color w:val="000000"/>
              </w:rPr>
            </w:pPr>
            <w:r>
              <w:rPr>
                <w:color w:val="000000"/>
              </w:rPr>
              <w:t>(iv) held, carried or maintained or in the possession or control (as further set out in the Margin Account Agreement) by or for the Margin Account Provider, or</w:t>
            </w:r>
          </w:p>
          <w:p w14:paraId="33582CB0" w14:textId="77777777" w:rsidR="00F15482" w:rsidRDefault="00F15482" w:rsidP="00CC1AB2">
            <w:pPr>
              <w:pStyle w:val="BodyText"/>
              <w:rPr>
                <w:color w:val="000000"/>
              </w:rPr>
            </w:pPr>
            <w:r>
              <w:rPr>
                <w:color w:val="000000"/>
              </w:rPr>
              <w:t>(v) established, agreed or obtained by the Margin Account Provider,</w:t>
            </w:r>
          </w:p>
          <w:p w14:paraId="58B73D6B" w14:textId="77777777" w:rsidR="00F15482" w:rsidRDefault="00F15482" w:rsidP="00CC1AB2">
            <w:pPr>
              <w:pStyle w:val="BodyText"/>
              <w:rPr>
                <w:color w:val="000000"/>
              </w:rPr>
            </w:pPr>
            <w:r>
              <w:rPr>
                <w:color w:val="000000"/>
              </w:rPr>
              <w:t>pursuant to the Margin Account Agreement.</w:t>
            </w:r>
          </w:p>
        </w:tc>
      </w:tr>
      <w:tr w:rsidR="00F15482" w14:paraId="77778AB0" w14:textId="77777777" w:rsidTr="003D6537">
        <w:tc>
          <w:tcPr>
            <w:tcW w:w="630" w:type="dxa"/>
          </w:tcPr>
          <w:p w14:paraId="32E8E1F8" w14:textId="77777777" w:rsidR="00F15482" w:rsidRDefault="00F15482" w:rsidP="00CC1AB2">
            <w:pPr>
              <w:pStyle w:val="NA-LEVEL1"/>
              <w:ind w:left="693"/>
              <w:jc w:val="left"/>
              <w:rPr>
                <w:color w:val="000000"/>
              </w:rPr>
            </w:pPr>
          </w:p>
        </w:tc>
        <w:tc>
          <w:tcPr>
            <w:tcW w:w="3583" w:type="dxa"/>
            <w:gridSpan w:val="2"/>
            <w:hideMark/>
          </w:tcPr>
          <w:p w14:paraId="2B31B52C" w14:textId="77777777" w:rsidR="00F15482" w:rsidRDefault="00F15482" w:rsidP="00CC1AB2">
            <w:pPr>
              <w:pStyle w:val="BodyText"/>
            </w:pPr>
            <w:r>
              <w:t>Margin Account:</w:t>
            </w:r>
          </w:p>
        </w:tc>
        <w:tc>
          <w:tcPr>
            <w:tcW w:w="4957" w:type="dxa"/>
          </w:tcPr>
          <w:p w14:paraId="2D0016CD" w14:textId="77777777" w:rsidR="00F15482" w:rsidRDefault="00F15482" w:rsidP="00CC1AB2">
            <w:pPr>
              <w:pStyle w:val="BodyText"/>
            </w:pPr>
          </w:p>
        </w:tc>
      </w:tr>
      <w:tr w:rsidR="00F15482" w14:paraId="78BE0549" w14:textId="77777777" w:rsidTr="003D6537">
        <w:tc>
          <w:tcPr>
            <w:tcW w:w="630" w:type="dxa"/>
          </w:tcPr>
          <w:p w14:paraId="4010886F" w14:textId="77777777" w:rsidR="00F15482" w:rsidRDefault="00F15482" w:rsidP="00CC1AB2">
            <w:pPr>
              <w:pStyle w:val="NA-LEVEL1"/>
              <w:numPr>
                <w:ilvl w:val="0"/>
                <w:numId w:val="0"/>
              </w:numPr>
              <w:tabs>
                <w:tab w:val="left" w:pos="720"/>
              </w:tabs>
              <w:ind w:left="284"/>
              <w:jc w:val="left"/>
            </w:pPr>
          </w:p>
        </w:tc>
        <w:tc>
          <w:tcPr>
            <w:tcW w:w="579" w:type="dxa"/>
            <w:hideMark/>
          </w:tcPr>
          <w:p w14:paraId="554EE5F6" w14:textId="77777777" w:rsidR="00F15482" w:rsidRDefault="00F15482" w:rsidP="00CC1AB2">
            <w:pPr>
              <w:pStyle w:val="BodyText"/>
            </w:pPr>
            <w:r>
              <w:t>(i)</w:t>
            </w:r>
          </w:p>
        </w:tc>
        <w:tc>
          <w:tcPr>
            <w:tcW w:w="3004" w:type="dxa"/>
            <w:hideMark/>
          </w:tcPr>
          <w:p w14:paraId="4ED8EDD3" w14:textId="77777777" w:rsidR="00F15482" w:rsidRDefault="00F15482" w:rsidP="00CC1AB2">
            <w:pPr>
              <w:pStyle w:val="BodyText"/>
            </w:pPr>
            <w:r>
              <w:t>Margin Account:</w:t>
            </w:r>
          </w:p>
        </w:tc>
        <w:tc>
          <w:tcPr>
            <w:tcW w:w="4957" w:type="dxa"/>
            <w:hideMark/>
          </w:tcPr>
          <w:p w14:paraId="7328A139" w14:textId="77777777" w:rsidR="00F15482" w:rsidRDefault="00F15482" w:rsidP="00CC1AB2">
            <w:pPr>
              <w:pStyle w:val="BodyText"/>
            </w:pPr>
            <w:r>
              <w:t>The margin account held by the Issuer with the Margin Account Provider and established pursuant to the Margin Account Agreement.</w:t>
            </w:r>
          </w:p>
        </w:tc>
      </w:tr>
      <w:tr w:rsidR="00F15482" w14:paraId="59C78E30" w14:textId="77777777" w:rsidTr="003D6537">
        <w:tc>
          <w:tcPr>
            <w:tcW w:w="630" w:type="dxa"/>
          </w:tcPr>
          <w:p w14:paraId="2CDDABD8" w14:textId="77777777" w:rsidR="00F15482" w:rsidRDefault="00F15482" w:rsidP="00CC1AB2">
            <w:pPr>
              <w:pStyle w:val="NA-LEVEL1"/>
              <w:numPr>
                <w:ilvl w:val="0"/>
                <w:numId w:val="0"/>
              </w:numPr>
              <w:tabs>
                <w:tab w:val="left" w:pos="720"/>
              </w:tabs>
              <w:ind w:left="284"/>
              <w:jc w:val="left"/>
            </w:pPr>
          </w:p>
        </w:tc>
        <w:tc>
          <w:tcPr>
            <w:tcW w:w="579" w:type="dxa"/>
            <w:hideMark/>
          </w:tcPr>
          <w:p w14:paraId="4F164DB7" w14:textId="77777777" w:rsidR="00F15482" w:rsidRDefault="00F15482" w:rsidP="00CC1AB2">
            <w:pPr>
              <w:pStyle w:val="BodyText"/>
            </w:pPr>
            <w:r>
              <w:t>(ii)</w:t>
            </w:r>
          </w:p>
        </w:tc>
        <w:tc>
          <w:tcPr>
            <w:tcW w:w="3004" w:type="dxa"/>
            <w:hideMark/>
          </w:tcPr>
          <w:p w14:paraId="25B053ED" w14:textId="77777777" w:rsidR="00F15482" w:rsidRDefault="00F15482" w:rsidP="00CC1AB2">
            <w:pPr>
              <w:pStyle w:val="BodyText"/>
              <w:rPr>
                <w:color w:val="000000"/>
              </w:rPr>
            </w:pPr>
            <w:r>
              <w:rPr>
                <w:color w:val="000000"/>
              </w:rPr>
              <w:t xml:space="preserve">Margin Account </w:t>
            </w:r>
            <w:r>
              <w:t>Provider</w:t>
            </w:r>
            <w:r>
              <w:rPr>
                <w:color w:val="000000"/>
              </w:rPr>
              <w:t>:</w:t>
            </w:r>
          </w:p>
        </w:tc>
        <w:tc>
          <w:tcPr>
            <w:tcW w:w="4957" w:type="dxa"/>
            <w:hideMark/>
          </w:tcPr>
          <w:p w14:paraId="469BC913" w14:textId="77777777" w:rsidR="00F15482" w:rsidRDefault="008F4393" w:rsidP="00CC1AB2">
            <w:pPr>
              <w:pStyle w:val="BodyText"/>
            </w:pPr>
            <w:r>
              <w:rPr>
                <w:highlight w:val="green"/>
              </w:rPr>
              <w:t>[B29</w:t>
            </w:r>
            <w:r w:rsidR="005C77F7" w:rsidRPr="005C77F7">
              <w:rPr>
                <w:highlight w:val="green"/>
              </w:rPr>
              <w:t>]</w:t>
            </w:r>
            <w:r w:rsidR="004F1DDF">
              <w:t>.</w:t>
            </w:r>
          </w:p>
          <w:p w14:paraId="78907AE5" w14:textId="617DB56B" w:rsidR="00940136" w:rsidRDefault="00940136" w:rsidP="00CC1AB2">
            <w:pPr>
              <w:pStyle w:val="BodyText"/>
            </w:pPr>
            <w:r>
              <w:rPr>
                <w:color w:val="222222"/>
                <w:shd w:val="clear" w:color="auto" w:fill="FFFFFF"/>
              </w:rPr>
              <w:t>The Issuer and the Arranger may together procure a new Margin Account Provider or Custody Account Provider, as applicable, for the Series and may open a new Margin Account or Custody Account, as applicable, and as required at their own discretion. </w:t>
            </w:r>
          </w:p>
        </w:tc>
      </w:tr>
      <w:tr w:rsidR="00F15482" w14:paraId="749CA166" w14:textId="77777777" w:rsidTr="003D6537">
        <w:tc>
          <w:tcPr>
            <w:tcW w:w="630" w:type="dxa"/>
          </w:tcPr>
          <w:p w14:paraId="57A6AFF6" w14:textId="77777777" w:rsidR="00F15482" w:rsidRDefault="00F15482" w:rsidP="00CC1AB2">
            <w:pPr>
              <w:pStyle w:val="NA-LEVEL1"/>
              <w:numPr>
                <w:ilvl w:val="0"/>
                <w:numId w:val="0"/>
              </w:numPr>
              <w:tabs>
                <w:tab w:val="left" w:pos="720"/>
              </w:tabs>
              <w:ind w:left="284"/>
              <w:jc w:val="left"/>
            </w:pPr>
          </w:p>
        </w:tc>
        <w:tc>
          <w:tcPr>
            <w:tcW w:w="579" w:type="dxa"/>
            <w:hideMark/>
          </w:tcPr>
          <w:p w14:paraId="30B9591E" w14:textId="77777777" w:rsidR="00F15482" w:rsidRDefault="00F15482" w:rsidP="00CC1AB2">
            <w:pPr>
              <w:pStyle w:val="BodyText"/>
            </w:pPr>
            <w:r>
              <w:t>(iii)</w:t>
            </w:r>
          </w:p>
        </w:tc>
        <w:tc>
          <w:tcPr>
            <w:tcW w:w="3004" w:type="dxa"/>
            <w:hideMark/>
          </w:tcPr>
          <w:p w14:paraId="519CAB30" w14:textId="77777777" w:rsidR="00F15482" w:rsidRDefault="00F15482" w:rsidP="00CC1AB2">
            <w:pPr>
              <w:pStyle w:val="BodyText"/>
            </w:pPr>
            <w:r>
              <w:t>Margin Account</w:t>
            </w:r>
            <w:r>
              <w:rPr>
                <w:color w:val="000000"/>
              </w:rPr>
              <w:t xml:space="preserve"> Agreement</w:t>
            </w:r>
            <w:r>
              <w:t>:</w:t>
            </w:r>
          </w:p>
        </w:tc>
        <w:tc>
          <w:tcPr>
            <w:tcW w:w="4957" w:type="dxa"/>
            <w:hideMark/>
          </w:tcPr>
          <w:p w14:paraId="026041BC" w14:textId="482E418B" w:rsidR="00F15482" w:rsidRDefault="00F15482" w:rsidP="00CC1AB2">
            <w:pPr>
              <w:pStyle w:val="BodyText"/>
            </w:pPr>
            <w:r>
              <w:t xml:space="preserve">(a) The margin account agreement entered into between the Issuer and the Margin Account Provider, together with (b) the side letter thereto between (i) the Issuer, (ii) the Trustee, (iii) the </w:t>
            </w:r>
            <w:r w:rsidR="00086A7D">
              <w:t>Broker Dealer of Record</w:t>
            </w:r>
            <w:r>
              <w:t xml:space="preserve"> and (iv) the Margin Account Provider to provide for the establishment and setting out the terms and conditions of the Margin Account.</w:t>
            </w:r>
          </w:p>
          <w:p w14:paraId="41C66EFC" w14:textId="1A40D0AA" w:rsidR="00F15482" w:rsidRDefault="00F15482" w:rsidP="00CC1AB2">
            <w:pPr>
              <w:pStyle w:val="BodyText"/>
            </w:pPr>
            <w:r>
              <w:t>The Margin Account Provider retains a lien and security interests over the ass</w:t>
            </w:r>
            <w:r w:rsidR="007F23B6">
              <w:t>ets held in the Margin Account, w</w:t>
            </w:r>
            <w:r>
              <w:t>h</w:t>
            </w:r>
            <w:r w:rsidR="007F23B6">
              <w:t>ich</w:t>
            </w:r>
            <w:r>
              <w:t xml:space="preserve"> supersede any security interests created by either the Trust Deed or the Charging Instrument.  See “</w:t>
            </w:r>
            <w:r>
              <w:rPr>
                <w:i/>
              </w:rPr>
              <w:t>Description of the security arrangements in respect of the Notes</w:t>
            </w:r>
            <w:r>
              <w:t>” below.</w:t>
            </w:r>
          </w:p>
        </w:tc>
      </w:tr>
      <w:tr w:rsidR="00F15482" w14:paraId="2D35ABA3" w14:textId="77777777" w:rsidTr="003D6537">
        <w:tc>
          <w:tcPr>
            <w:tcW w:w="630" w:type="dxa"/>
          </w:tcPr>
          <w:p w14:paraId="37E8AD75" w14:textId="77777777" w:rsidR="00F15482" w:rsidRDefault="00F15482" w:rsidP="00CC1AB2">
            <w:pPr>
              <w:pStyle w:val="NA-LEVEL1"/>
              <w:numPr>
                <w:ilvl w:val="0"/>
                <w:numId w:val="0"/>
              </w:numPr>
              <w:tabs>
                <w:tab w:val="left" w:pos="720"/>
              </w:tabs>
              <w:ind w:left="284"/>
              <w:jc w:val="left"/>
            </w:pPr>
          </w:p>
        </w:tc>
        <w:tc>
          <w:tcPr>
            <w:tcW w:w="579" w:type="dxa"/>
          </w:tcPr>
          <w:p w14:paraId="74532E74" w14:textId="77777777" w:rsidR="00F15482" w:rsidRDefault="00F15482" w:rsidP="00CC1AB2">
            <w:pPr>
              <w:pStyle w:val="BodyText"/>
            </w:pPr>
          </w:p>
        </w:tc>
        <w:tc>
          <w:tcPr>
            <w:tcW w:w="3004" w:type="dxa"/>
          </w:tcPr>
          <w:p w14:paraId="362A06E3" w14:textId="77777777" w:rsidR="00F15482" w:rsidRDefault="00F15482" w:rsidP="00CC1AB2">
            <w:pPr>
              <w:pStyle w:val="BodyText"/>
            </w:pPr>
          </w:p>
        </w:tc>
        <w:tc>
          <w:tcPr>
            <w:tcW w:w="4957" w:type="dxa"/>
            <w:hideMark/>
          </w:tcPr>
          <w:p w14:paraId="0556F7C7" w14:textId="77777777" w:rsidR="00F15482" w:rsidRDefault="00F15482" w:rsidP="00CC1AB2">
            <w:pPr>
              <w:pStyle w:val="BodyText"/>
            </w:pPr>
            <w:r>
              <w:t>The Margin Account Provider may, in its sole discretion, allow the Issuer to obtain an exposure to Securities with an aggregate value that exceeds the amount that the Issuer has invested, by allowing the Issuer to only maintain sufficient margin in the Margin Account to fund margin calls on the relevant position in the Securities (and not the face value of the Securities themselves).  In this way, the Margin Account Provider provides the Issuer with leverage in respect of the Portfolio.</w:t>
            </w:r>
          </w:p>
          <w:p w14:paraId="746C4171" w14:textId="77777777" w:rsidR="00F15482" w:rsidRDefault="00F15482" w:rsidP="00CC1AB2">
            <w:pPr>
              <w:pStyle w:val="BodyText"/>
            </w:pPr>
            <w:r>
              <w:t>However, if the Net Asset Value of the Portfolio (and therefore the value of the underlying Securities) were to fall below a certain level, as determined by the Margin Account Provider in its sole discretion, the Issuer will receive a margin call from the Margin Account Provider.  At this time:</w:t>
            </w:r>
          </w:p>
          <w:p w14:paraId="78177612" w14:textId="77777777" w:rsidR="00F15482" w:rsidRDefault="00F15482" w:rsidP="00CC1AB2">
            <w:pPr>
              <w:pStyle w:val="BodyText"/>
            </w:pPr>
            <w:r>
              <w:t>(a)</w:t>
            </w:r>
            <w:r>
              <w:tab/>
              <w:t>the Issuer may issue Further Notes pursuant to Special Condition (VI) and use the proceeds of such Further Notes to fund the relevant margin call;</w:t>
            </w:r>
          </w:p>
          <w:p w14:paraId="371991A4" w14:textId="77777777" w:rsidR="00F15482" w:rsidRDefault="00F15482" w:rsidP="00CC1AB2">
            <w:pPr>
              <w:pStyle w:val="BodyText"/>
            </w:pPr>
            <w:r>
              <w:t>(b)</w:t>
            </w:r>
            <w:r>
              <w:tab/>
              <w:t xml:space="preserve">the Portfolio Manager may elect to meet such margin call from its own assets (and no amounts provided by the Portfolio Manager in respect of such margin calls are refundable to the Portfolio Manager by the Issuer); or </w:t>
            </w:r>
          </w:p>
          <w:p w14:paraId="6AF51937" w14:textId="77777777" w:rsidR="00F15482" w:rsidRDefault="00F15482" w:rsidP="00CC1AB2">
            <w:pPr>
              <w:pStyle w:val="BodyText"/>
            </w:pPr>
            <w:r>
              <w:t>(c)</w:t>
            </w:r>
            <w:r>
              <w:tab/>
              <w:t>the Margin Account Provider may elect to liquidate positions by selling Securities or by terminating margin investments and use the proceeds thereof to meet such margin calls.</w:t>
            </w:r>
          </w:p>
          <w:p w14:paraId="57D54E9C" w14:textId="77777777" w:rsidR="00F15482" w:rsidRDefault="00F15482" w:rsidP="00CC1AB2">
            <w:pPr>
              <w:pStyle w:val="BodyText"/>
            </w:pPr>
            <w:r>
              <w:t>See “</w:t>
            </w:r>
            <w:r>
              <w:rPr>
                <w:i/>
              </w:rPr>
              <w:t>Description of the Margin Account</w:t>
            </w:r>
            <w:r>
              <w:t xml:space="preserve">” below. </w:t>
            </w:r>
          </w:p>
        </w:tc>
      </w:tr>
      <w:tr w:rsidR="00F15482" w14:paraId="0F876A19" w14:textId="77777777" w:rsidTr="003D6537">
        <w:tc>
          <w:tcPr>
            <w:tcW w:w="630" w:type="dxa"/>
          </w:tcPr>
          <w:p w14:paraId="7F065471" w14:textId="77777777" w:rsidR="00F15482" w:rsidRDefault="00F15482" w:rsidP="00CC1AB2">
            <w:pPr>
              <w:pStyle w:val="NA-LEVEL1"/>
              <w:ind w:left="693"/>
              <w:jc w:val="left"/>
            </w:pPr>
          </w:p>
        </w:tc>
        <w:tc>
          <w:tcPr>
            <w:tcW w:w="3583" w:type="dxa"/>
            <w:gridSpan w:val="2"/>
            <w:hideMark/>
          </w:tcPr>
          <w:p w14:paraId="30E27727" w14:textId="77777777" w:rsidR="00F15482" w:rsidRDefault="00F15482" w:rsidP="00CC1AB2">
            <w:pPr>
              <w:pStyle w:val="BodyText"/>
            </w:pPr>
            <w:r>
              <w:t>Security:</w:t>
            </w:r>
          </w:p>
        </w:tc>
        <w:tc>
          <w:tcPr>
            <w:tcW w:w="4957" w:type="dxa"/>
            <w:hideMark/>
          </w:tcPr>
          <w:p w14:paraId="7B01CFA2" w14:textId="77777777" w:rsidR="00F15482" w:rsidRDefault="00F15482" w:rsidP="00CC1AB2">
            <w:pPr>
              <w:pStyle w:val="BodyText"/>
            </w:pPr>
            <w:r>
              <w:t>The Security is subject to (i) a lien retained by the Margin Account Provider; and (ii) the security interests created pursuant to the Margin Account Agreement over the assets held in the Margin Account, that supersede any security interests created by either the Trust Deed or the Charging Instrument.  See “</w:t>
            </w:r>
            <w:r>
              <w:rPr>
                <w:i/>
              </w:rPr>
              <w:t>Description of the security arrangements in respect of the Notes</w:t>
            </w:r>
            <w:r>
              <w:t>” below.</w:t>
            </w:r>
          </w:p>
        </w:tc>
      </w:tr>
      <w:tr w:rsidR="00F15482" w14:paraId="6F1792B4" w14:textId="77777777" w:rsidTr="003D6537">
        <w:tc>
          <w:tcPr>
            <w:tcW w:w="630" w:type="dxa"/>
          </w:tcPr>
          <w:p w14:paraId="58FDF84E" w14:textId="77777777" w:rsidR="00F15482" w:rsidRDefault="00F15482" w:rsidP="00CC1AB2">
            <w:pPr>
              <w:pStyle w:val="BodyText"/>
              <w:jc w:val="left"/>
            </w:pPr>
          </w:p>
        </w:tc>
        <w:tc>
          <w:tcPr>
            <w:tcW w:w="579" w:type="dxa"/>
            <w:hideMark/>
          </w:tcPr>
          <w:p w14:paraId="222B9D28" w14:textId="77777777" w:rsidR="00F15482" w:rsidRDefault="00F15482" w:rsidP="00CC1AB2">
            <w:pPr>
              <w:pStyle w:val="BodyText"/>
            </w:pPr>
            <w:r>
              <w:t>(i)</w:t>
            </w:r>
          </w:p>
        </w:tc>
        <w:tc>
          <w:tcPr>
            <w:tcW w:w="3004" w:type="dxa"/>
            <w:hideMark/>
          </w:tcPr>
          <w:p w14:paraId="7E38D2AE" w14:textId="77777777" w:rsidR="00F15482" w:rsidRDefault="00F15482" w:rsidP="00CC1AB2">
            <w:pPr>
              <w:pStyle w:val="BodyText"/>
            </w:pPr>
            <w:r>
              <w:t>Charged Assets:</w:t>
            </w:r>
          </w:p>
        </w:tc>
        <w:tc>
          <w:tcPr>
            <w:tcW w:w="4957" w:type="dxa"/>
            <w:hideMark/>
          </w:tcPr>
          <w:p w14:paraId="64F76488" w14:textId="77777777" w:rsidR="00F15482" w:rsidRDefault="00F15482" w:rsidP="00CC1AB2">
            <w:pPr>
              <w:pStyle w:val="BodyText"/>
            </w:pPr>
            <w:r>
              <w:t>The Charged Assets shall be: (i) the Margin Account; (ii) any Securities held in the Margin Account from time-to-time; and (iii) the Related Rights.</w:t>
            </w:r>
          </w:p>
          <w:p w14:paraId="01D890E6" w14:textId="77777777" w:rsidR="00F15482" w:rsidRDefault="00F15482" w:rsidP="00CC1AB2">
            <w:pPr>
              <w:pStyle w:val="BodyText"/>
            </w:pPr>
            <w:r>
              <w:t>On the Issue Date, or as soon as practicable thereafter, the Issuer shall invest in the Margin Account, for the purchase by the Portfolio Manager of Securities as set out in the section “</w:t>
            </w:r>
            <w:r>
              <w:rPr>
                <w:i/>
              </w:rPr>
              <w:t>Information relating to Charged Assets</w:t>
            </w:r>
            <w:r>
              <w:t>” below, using the entire net proceeds of the issue of the Notes (such Margin Account and such Securities, together with the Related Rights applicable thereto, the “</w:t>
            </w:r>
            <w:r>
              <w:rPr>
                <w:b/>
              </w:rPr>
              <w:t>Original Charged Assets</w:t>
            </w:r>
            <w:r>
              <w:t xml:space="preserve">”). </w:t>
            </w:r>
          </w:p>
          <w:p w14:paraId="6C3B72B6" w14:textId="77777777" w:rsidR="00F15482" w:rsidRDefault="00F15482" w:rsidP="00CC1AB2">
            <w:pPr>
              <w:pStyle w:val="BodyText"/>
            </w:pPr>
            <w:r>
              <w:t xml:space="preserve">The Portfolio Manager will actively manage the </w:t>
            </w:r>
            <w:r>
              <w:lastRenderedPageBreak/>
              <w:t>Portfolio.</w:t>
            </w:r>
          </w:p>
          <w:p w14:paraId="3FACA1F0" w14:textId="77777777" w:rsidR="00F15482" w:rsidRDefault="00F15482" w:rsidP="00CC1AB2">
            <w:pPr>
              <w:pStyle w:val="BodyText"/>
            </w:pPr>
            <w:r>
              <w:t>If the Issuer issues Further Notes pursuant to Condition 16 as amended by Special Condition (VI) with the intention that such Further Notes be consolidated and form a single Series with the Notes issued on the Issue Date (and all other Further Notes issued from time to time), the Issuer shall, in connection with each such issue of Further Notes, invest in the Margin Account for the purchase by the Portfolio Manager of further Securities (such further assets, together with the Related Rights applicable thereto, referred to as the “</w:t>
            </w:r>
            <w:r>
              <w:rPr>
                <w:b/>
              </w:rPr>
              <w:t>Further Charged Assets</w:t>
            </w:r>
            <w:r>
              <w:t>”) with the issue proceeds of the relevant Further Notes such that the Notes and the Further Notes from time to time so issued shall be secured collectively on the Original Charged Assets and all of the Further Charged Assets.  All references to “</w:t>
            </w:r>
            <w:r>
              <w:rPr>
                <w:i/>
              </w:rPr>
              <w:t>Charged Assets</w:t>
            </w:r>
            <w:r>
              <w:t>” shall be to the Original Charged Assets and the Further Charged Assets from time to time so purchased by the Issuer.</w:t>
            </w:r>
          </w:p>
          <w:p w14:paraId="5CCD3B4B" w14:textId="452F500B" w:rsidR="00F15482" w:rsidRDefault="00F15482" w:rsidP="00CC1AB2">
            <w:pPr>
              <w:pStyle w:val="BodyText"/>
            </w:pPr>
            <w:r>
              <w:t xml:space="preserve">The assets comprising the Portfolio will be registered in the name of, and certificates in respect of the Charged Assets will be held by, the </w:t>
            </w:r>
            <w:r w:rsidR="00086A7D">
              <w:t>Broker Dealer of Record</w:t>
            </w:r>
            <w:r>
              <w:t xml:space="preserve">, on behalf of the Issuer pursuant to the Custody Agreement, subject to the security constituted by the Constituting Instrument and the Charging Instrument.  The </w:t>
            </w:r>
            <w:r w:rsidR="00086A7D">
              <w:t>Broker Dealer of Record</w:t>
            </w:r>
            <w:r>
              <w:t xml:space="preserve"> shall be responsible for making redemption requests in respect of the Charged Assets in accordance with the Custody Agreement and these Conditions.</w:t>
            </w:r>
          </w:p>
          <w:p w14:paraId="4868948C" w14:textId="05E87D46" w:rsidR="00F15482" w:rsidRDefault="00F15482" w:rsidP="00CC1AB2">
            <w:pPr>
              <w:pStyle w:val="BodyText"/>
            </w:pPr>
            <w:r>
              <w:t xml:space="preserve">The Issuer has also charged all of its rights, title and interest in and to all proceeds now or hereafter standing to the credit of the account of the </w:t>
            </w:r>
            <w:r w:rsidR="00086A7D">
              <w:t>Broker Dealer of Record</w:t>
            </w:r>
            <w:r>
              <w:t xml:space="preserve"> in respect of the Charged Assets and has assigned by way of security all of the Issuer’s rights, title, benefit and interest in, to and under, </w:t>
            </w:r>
            <w:r>
              <w:rPr>
                <w:i/>
              </w:rPr>
              <w:t>inter alia</w:t>
            </w:r>
            <w:r>
              <w:t>, the Custody Agreement.</w:t>
            </w:r>
          </w:p>
        </w:tc>
      </w:tr>
      <w:tr w:rsidR="00F15482" w14:paraId="25480F77" w14:textId="77777777" w:rsidTr="003D6537">
        <w:tc>
          <w:tcPr>
            <w:tcW w:w="630" w:type="dxa"/>
          </w:tcPr>
          <w:p w14:paraId="7663E70B" w14:textId="77777777" w:rsidR="00F15482" w:rsidRDefault="00F15482" w:rsidP="00CC1AB2">
            <w:pPr>
              <w:pStyle w:val="BodyText"/>
              <w:jc w:val="left"/>
            </w:pPr>
          </w:p>
        </w:tc>
        <w:tc>
          <w:tcPr>
            <w:tcW w:w="579" w:type="dxa"/>
            <w:hideMark/>
          </w:tcPr>
          <w:p w14:paraId="71A38129" w14:textId="77777777" w:rsidR="00F15482" w:rsidRDefault="00F15482" w:rsidP="00CC1AB2">
            <w:pPr>
              <w:pStyle w:val="BodyText"/>
            </w:pPr>
            <w:r>
              <w:t>(ii)</w:t>
            </w:r>
          </w:p>
        </w:tc>
        <w:tc>
          <w:tcPr>
            <w:tcW w:w="3004" w:type="dxa"/>
            <w:hideMark/>
          </w:tcPr>
          <w:p w14:paraId="289EFEF4" w14:textId="77777777" w:rsidR="00F15482" w:rsidRDefault="00F15482" w:rsidP="00CC1AB2">
            <w:pPr>
              <w:pStyle w:val="BodyText"/>
            </w:pPr>
            <w:r>
              <w:t>Charging Instrument:</w:t>
            </w:r>
          </w:p>
        </w:tc>
        <w:tc>
          <w:tcPr>
            <w:tcW w:w="4957" w:type="dxa"/>
            <w:hideMark/>
          </w:tcPr>
          <w:p w14:paraId="76A79042" w14:textId="6CBAA008" w:rsidR="00F15482" w:rsidRDefault="00F15482" w:rsidP="00CC1AB2">
            <w:pPr>
              <w:pStyle w:val="BodyText"/>
            </w:pPr>
            <w:r>
              <w:t xml:space="preserve">Pursuant to a Supplemental Security Agreement entered into between the Issuer, the Trustee and the </w:t>
            </w:r>
            <w:r w:rsidR="00086A7D">
              <w:t>Broker Dealer of Record</w:t>
            </w:r>
            <w:r>
              <w:t xml:space="preserve"> dated on or about the Issue Date (the “</w:t>
            </w:r>
            <w:r>
              <w:rPr>
                <w:b/>
              </w:rPr>
              <w:t>Charging Instrument</w:t>
            </w:r>
            <w:r>
              <w:t>”) the Issuer has granted in favour of the Trustee, as security for itself, and the Secured Parties, a New York law governed security interest over the Issuer’s interest in the Charged Assets from time to time subject always to the lien of the Margin Account Provider (such security, the “</w:t>
            </w:r>
            <w:r>
              <w:rPr>
                <w:b/>
              </w:rPr>
              <w:t>New York Security</w:t>
            </w:r>
            <w:r>
              <w:t>”).</w:t>
            </w:r>
          </w:p>
          <w:p w14:paraId="155627F8" w14:textId="0E906C15" w:rsidR="00F15482" w:rsidRDefault="00F15482" w:rsidP="00CC1AB2">
            <w:pPr>
              <w:pStyle w:val="BodyText"/>
            </w:pPr>
            <w:r>
              <w:t xml:space="preserve">The Custody Agreement and the Charging Instrument each provides that title to the Securities shall be held by the </w:t>
            </w:r>
            <w:r w:rsidR="00086A7D">
              <w:t>Broker Dealer of Record</w:t>
            </w:r>
            <w:r>
              <w:t xml:space="preserve"> on behalf of the Issuer, subject to the security constituted by the New York Security.</w:t>
            </w:r>
          </w:p>
        </w:tc>
      </w:tr>
      <w:tr w:rsidR="00F15482" w14:paraId="315327A3" w14:textId="77777777" w:rsidTr="003D6537">
        <w:tc>
          <w:tcPr>
            <w:tcW w:w="630" w:type="dxa"/>
          </w:tcPr>
          <w:p w14:paraId="58860ED0" w14:textId="77777777" w:rsidR="00F15482" w:rsidRDefault="00F15482" w:rsidP="00CC1AB2">
            <w:pPr>
              <w:pStyle w:val="BodyText"/>
              <w:jc w:val="left"/>
            </w:pPr>
          </w:p>
        </w:tc>
        <w:tc>
          <w:tcPr>
            <w:tcW w:w="579" w:type="dxa"/>
            <w:hideMark/>
          </w:tcPr>
          <w:p w14:paraId="29F31F73" w14:textId="77777777" w:rsidR="00F15482" w:rsidRDefault="00F15482" w:rsidP="00CC1AB2">
            <w:pPr>
              <w:pStyle w:val="BodyText"/>
            </w:pPr>
            <w:r>
              <w:t>(iii)</w:t>
            </w:r>
          </w:p>
        </w:tc>
        <w:tc>
          <w:tcPr>
            <w:tcW w:w="3004" w:type="dxa"/>
            <w:hideMark/>
          </w:tcPr>
          <w:p w14:paraId="6F0A491B" w14:textId="77777777" w:rsidR="00F15482" w:rsidRDefault="00F15482" w:rsidP="00CC1AB2">
            <w:pPr>
              <w:pStyle w:val="BodyText"/>
            </w:pPr>
            <w:r>
              <w:t>Depository Account:</w:t>
            </w:r>
          </w:p>
        </w:tc>
        <w:tc>
          <w:tcPr>
            <w:tcW w:w="4957" w:type="dxa"/>
            <w:hideMark/>
          </w:tcPr>
          <w:p w14:paraId="78A371D6" w14:textId="77777777" w:rsidR="00F15482" w:rsidRDefault="00F15482" w:rsidP="00CC1AB2">
            <w:pPr>
              <w:pStyle w:val="BodyText"/>
            </w:pPr>
            <w:r>
              <w:t>Not applicable.</w:t>
            </w:r>
          </w:p>
        </w:tc>
      </w:tr>
      <w:tr w:rsidR="00F15482" w14:paraId="617C7B8F" w14:textId="77777777" w:rsidTr="003D6537">
        <w:tc>
          <w:tcPr>
            <w:tcW w:w="630" w:type="dxa"/>
          </w:tcPr>
          <w:p w14:paraId="5E246CA8" w14:textId="77777777" w:rsidR="00F15482" w:rsidRDefault="00F15482" w:rsidP="00CC1AB2">
            <w:pPr>
              <w:pStyle w:val="BodyText"/>
              <w:jc w:val="left"/>
            </w:pPr>
          </w:p>
        </w:tc>
        <w:tc>
          <w:tcPr>
            <w:tcW w:w="579" w:type="dxa"/>
            <w:hideMark/>
          </w:tcPr>
          <w:p w14:paraId="36695E12" w14:textId="77777777" w:rsidR="00F15482" w:rsidRDefault="00F15482" w:rsidP="00CC1AB2">
            <w:pPr>
              <w:pStyle w:val="BodyText"/>
            </w:pPr>
            <w:r>
              <w:t>(iv)</w:t>
            </w:r>
          </w:p>
        </w:tc>
        <w:tc>
          <w:tcPr>
            <w:tcW w:w="3004" w:type="dxa"/>
            <w:hideMark/>
          </w:tcPr>
          <w:p w14:paraId="034AA7BE" w14:textId="77777777" w:rsidR="00F15482" w:rsidRDefault="00F15482" w:rsidP="00CC1AB2">
            <w:pPr>
              <w:pStyle w:val="BodyText"/>
            </w:pPr>
            <w:r>
              <w:t>Charged Agreement:</w:t>
            </w:r>
          </w:p>
        </w:tc>
        <w:tc>
          <w:tcPr>
            <w:tcW w:w="4957" w:type="dxa"/>
            <w:hideMark/>
          </w:tcPr>
          <w:p w14:paraId="6211D746" w14:textId="77777777" w:rsidR="00F15482" w:rsidRDefault="00F15482" w:rsidP="00CC1AB2">
            <w:pPr>
              <w:pStyle w:val="BodyText"/>
            </w:pPr>
            <w:r>
              <w:t>Not Applicable.</w:t>
            </w:r>
          </w:p>
        </w:tc>
      </w:tr>
      <w:tr w:rsidR="00F15482" w14:paraId="35CD1991" w14:textId="77777777" w:rsidTr="003D6537">
        <w:tc>
          <w:tcPr>
            <w:tcW w:w="630" w:type="dxa"/>
          </w:tcPr>
          <w:p w14:paraId="7F9D19B4" w14:textId="77777777" w:rsidR="00F15482" w:rsidRDefault="00F15482" w:rsidP="00CC1AB2">
            <w:pPr>
              <w:pStyle w:val="BodyText"/>
              <w:jc w:val="left"/>
            </w:pPr>
          </w:p>
        </w:tc>
        <w:tc>
          <w:tcPr>
            <w:tcW w:w="579" w:type="dxa"/>
            <w:hideMark/>
          </w:tcPr>
          <w:p w14:paraId="48EFF8CA" w14:textId="77777777" w:rsidR="00F15482" w:rsidRDefault="00F15482" w:rsidP="00CC1AB2">
            <w:pPr>
              <w:pStyle w:val="BodyText"/>
            </w:pPr>
            <w:r>
              <w:t>(v)</w:t>
            </w:r>
          </w:p>
        </w:tc>
        <w:tc>
          <w:tcPr>
            <w:tcW w:w="3004" w:type="dxa"/>
            <w:hideMark/>
          </w:tcPr>
          <w:p w14:paraId="39283486" w14:textId="77777777" w:rsidR="00F15482" w:rsidRDefault="00F15482" w:rsidP="00CC1AB2">
            <w:pPr>
              <w:pStyle w:val="BodyText"/>
            </w:pPr>
            <w:r>
              <w:t>Swap Counterparty:</w:t>
            </w:r>
          </w:p>
        </w:tc>
        <w:tc>
          <w:tcPr>
            <w:tcW w:w="4957" w:type="dxa"/>
            <w:hideMark/>
          </w:tcPr>
          <w:p w14:paraId="5673DC09" w14:textId="77777777" w:rsidR="00F15482" w:rsidRDefault="00F15482" w:rsidP="00CC1AB2">
            <w:pPr>
              <w:pStyle w:val="BodyText"/>
            </w:pPr>
            <w:r>
              <w:t>Not applicable.</w:t>
            </w:r>
          </w:p>
        </w:tc>
      </w:tr>
      <w:tr w:rsidR="00F15482" w14:paraId="3B50B741" w14:textId="77777777" w:rsidTr="003D6537">
        <w:tc>
          <w:tcPr>
            <w:tcW w:w="630" w:type="dxa"/>
          </w:tcPr>
          <w:p w14:paraId="185A906B" w14:textId="77777777" w:rsidR="00F15482" w:rsidRDefault="00F15482" w:rsidP="00CC1AB2">
            <w:pPr>
              <w:pStyle w:val="NA-LEVEL1"/>
              <w:ind w:left="693"/>
              <w:jc w:val="left"/>
            </w:pPr>
          </w:p>
        </w:tc>
        <w:tc>
          <w:tcPr>
            <w:tcW w:w="3583" w:type="dxa"/>
            <w:gridSpan w:val="2"/>
            <w:hideMark/>
          </w:tcPr>
          <w:p w14:paraId="656309F2" w14:textId="77777777" w:rsidR="00F15482" w:rsidRDefault="00F15482" w:rsidP="00CC1AB2">
            <w:pPr>
              <w:pStyle w:val="BodyText"/>
            </w:pPr>
            <w:r>
              <w:t>Securities Lending Agreement:</w:t>
            </w:r>
          </w:p>
        </w:tc>
        <w:tc>
          <w:tcPr>
            <w:tcW w:w="4957" w:type="dxa"/>
            <w:hideMark/>
          </w:tcPr>
          <w:p w14:paraId="23818825" w14:textId="77777777" w:rsidR="00F15482" w:rsidRDefault="00F15482" w:rsidP="00CC1AB2">
            <w:pPr>
              <w:pStyle w:val="BodyText"/>
            </w:pPr>
            <w:r>
              <w:t>Not applicable.</w:t>
            </w:r>
          </w:p>
        </w:tc>
      </w:tr>
      <w:tr w:rsidR="00F15482" w14:paraId="002C8800" w14:textId="77777777" w:rsidTr="003D6537">
        <w:tc>
          <w:tcPr>
            <w:tcW w:w="630" w:type="dxa"/>
          </w:tcPr>
          <w:p w14:paraId="2292FADA" w14:textId="77777777" w:rsidR="00F15482" w:rsidRDefault="00F15482" w:rsidP="00CC1AB2">
            <w:pPr>
              <w:pStyle w:val="NA-LEVEL1"/>
              <w:ind w:left="693"/>
              <w:jc w:val="left"/>
            </w:pPr>
          </w:p>
        </w:tc>
        <w:tc>
          <w:tcPr>
            <w:tcW w:w="3583" w:type="dxa"/>
            <w:gridSpan w:val="2"/>
            <w:hideMark/>
          </w:tcPr>
          <w:p w14:paraId="7BAE468C" w14:textId="77777777" w:rsidR="00F15482" w:rsidRDefault="00F15482" w:rsidP="00CC1AB2">
            <w:pPr>
              <w:pStyle w:val="BodyText"/>
            </w:pPr>
            <w:r>
              <w:t>Portfolio Administrator:</w:t>
            </w:r>
          </w:p>
        </w:tc>
        <w:tc>
          <w:tcPr>
            <w:tcW w:w="4957" w:type="dxa"/>
            <w:hideMark/>
          </w:tcPr>
          <w:p w14:paraId="67D56264" w14:textId="77777777" w:rsidR="00F15482" w:rsidRDefault="00F15482" w:rsidP="00CC1AB2">
            <w:pPr>
              <w:pStyle w:val="BodyText"/>
            </w:pPr>
            <w:r>
              <w:t>Not applicable.</w:t>
            </w:r>
          </w:p>
        </w:tc>
      </w:tr>
      <w:tr w:rsidR="00F15482" w14:paraId="06909D51" w14:textId="77777777" w:rsidTr="003D6537">
        <w:tc>
          <w:tcPr>
            <w:tcW w:w="630" w:type="dxa"/>
          </w:tcPr>
          <w:p w14:paraId="476A0A2B" w14:textId="77777777" w:rsidR="00F15482" w:rsidRDefault="00F15482" w:rsidP="00CC1AB2">
            <w:pPr>
              <w:pStyle w:val="NA-LEVEL1"/>
              <w:ind w:left="693"/>
              <w:jc w:val="left"/>
            </w:pPr>
          </w:p>
        </w:tc>
        <w:tc>
          <w:tcPr>
            <w:tcW w:w="3583" w:type="dxa"/>
            <w:gridSpan w:val="2"/>
            <w:hideMark/>
          </w:tcPr>
          <w:p w14:paraId="4A14E6DE" w14:textId="77777777" w:rsidR="00F15482" w:rsidRDefault="00F15482" w:rsidP="00CC1AB2">
            <w:pPr>
              <w:pStyle w:val="BodyText"/>
            </w:pPr>
            <w:r>
              <w:t>Fees:</w:t>
            </w:r>
          </w:p>
        </w:tc>
        <w:tc>
          <w:tcPr>
            <w:tcW w:w="4957" w:type="dxa"/>
            <w:hideMark/>
          </w:tcPr>
          <w:p w14:paraId="1EE9B34F" w14:textId="77777777" w:rsidR="00F15482" w:rsidRDefault="00F15482" w:rsidP="00CC1AB2">
            <w:pPr>
              <w:pStyle w:val="BodyText"/>
            </w:pPr>
            <w:r>
              <w:t>Special Condition (XI) applies.</w:t>
            </w:r>
          </w:p>
        </w:tc>
      </w:tr>
      <w:tr w:rsidR="00F15482" w14:paraId="4CAF1915" w14:textId="77777777" w:rsidTr="003D6537">
        <w:tc>
          <w:tcPr>
            <w:tcW w:w="630" w:type="dxa"/>
          </w:tcPr>
          <w:p w14:paraId="74EFE811" w14:textId="77777777" w:rsidR="00F15482" w:rsidRDefault="00F15482" w:rsidP="00CC1AB2">
            <w:pPr>
              <w:pStyle w:val="NA-LEVEL1"/>
              <w:ind w:left="693"/>
              <w:jc w:val="left"/>
            </w:pPr>
          </w:p>
        </w:tc>
        <w:tc>
          <w:tcPr>
            <w:tcW w:w="3583" w:type="dxa"/>
            <w:gridSpan w:val="2"/>
            <w:hideMark/>
          </w:tcPr>
          <w:p w14:paraId="32A6C47F" w14:textId="77777777" w:rsidR="00F15482" w:rsidRDefault="00F15482" w:rsidP="00CC1AB2">
            <w:pPr>
              <w:pStyle w:val="BodyText"/>
            </w:pPr>
            <w:r>
              <w:t>Additional selling restrictions</w:t>
            </w:r>
          </w:p>
        </w:tc>
        <w:tc>
          <w:tcPr>
            <w:tcW w:w="4957" w:type="dxa"/>
            <w:hideMark/>
          </w:tcPr>
          <w:p w14:paraId="42CCFA67" w14:textId="77777777" w:rsidR="00F15482" w:rsidRDefault="00F15482" w:rsidP="00CC1AB2">
            <w:pPr>
              <w:pStyle w:val="BodyText"/>
            </w:pPr>
            <w:r>
              <w:t>As set out in “</w:t>
            </w:r>
            <w:r>
              <w:rPr>
                <w:i/>
              </w:rPr>
              <w:t>Selling Restrictions</w:t>
            </w:r>
            <w:r>
              <w:t>” below.</w:t>
            </w:r>
          </w:p>
        </w:tc>
      </w:tr>
      <w:tr w:rsidR="00F15482" w14:paraId="2848B7F5" w14:textId="77777777" w:rsidTr="003D6537">
        <w:tc>
          <w:tcPr>
            <w:tcW w:w="630" w:type="dxa"/>
          </w:tcPr>
          <w:p w14:paraId="74622865" w14:textId="77777777" w:rsidR="00F15482" w:rsidRDefault="00F15482" w:rsidP="00CC1AB2">
            <w:pPr>
              <w:pStyle w:val="NA-LEVEL1"/>
              <w:ind w:left="693"/>
              <w:jc w:val="left"/>
            </w:pPr>
          </w:p>
        </w:tc>
        <w:tc>
          <w:tcPr>
            <w:tcW w:w="3583" w:type="dxa"/>
            <w:gridSpan w:val="2"/>
            <w:hideMark/>
          </w:tcPr>
          <w:p w14:paraId="74B4AEDD" w14:textId="77777777" w:rsidR="00F15482" w:rsidRDefault="00F15482" w:rsidP="00CC1AB2">
            <w:pPr>
              <w:pStyle w:val="BodyText"/>
            </w:pPr>
            <w:r>
              <w:t>ISIN Code:</w:t>
            </w:r>
          </w:p>
        </w:tc>
        <w:tc>
          <w:tcPr>
            <w:tcW w:w="4957" w:type="dxa"/>
            <w:hideMark/>
          </w:tcPr>
          <w:p w14:paraId="52A53E02" w14:textId="4D085E2F" w:rsidR="00F15482" w:rsidRPr="00B615A7" w:rsidRDefault="00B121EB" w:rsidP="001920FF">
            <w:pPr>
              <w:pStyle w:val="BodyText"/>
            </w:pPr>
            <w:r>
              <w:rPr>
                <w:highlight w:val="green"/>
              </w:rPr>
              <w:t>[B11</w:t>
            </w:r>
            <w:r w:rsidR="005C77F7" w:rsidRPr="005C77F7">
              <w:rPr>
                <w:highlight w:val="green"/>
              </w:rPr>
              <w:t>]</w:t>
            </w:r>
          </w:p>
        </w:tc>
      </w:tr>
      <w:tr w:rsidR="00F15482" w:rsidRPr="00BD4800" w14:paraId="2337682B" w14:textId="77777777" w:rsidTr="003D6537">
        <w:tc>
          <w:tcPr>
            <w:tcW w:w="630" w:type="dxa"/>
          </w:tcPr>
          <w:p w14:paraId="08C5F4B2" w14:textId="77777777" w:rsidR="00F15482" w:rsidRDefault="00F15482" w:rsidP="00CC1AB2">
            <w:pPr>
              <w:pStyle w:val="NA-LEVEL1"/>
              <w:ind w:left="693"/>
              <w:jc w:val="left"/>
            </w:pPr>
          </w:p>
        </w:tc>
        <w:tc>
          <w:tcPr>
            <w:tcW w:w="3583" w:type="dxa"/>
            <w:gridSpan w:val="2"/>
            <w:hideMark/>
          </w:tcPr>
          <w:p w14:paraId="2D48F71B" w14:textId="77777777" w:rsidR="00F15482" w:rsidRDefault="00F15482" w:rsidP="00CC1AB2">
            <w:pPr>
              <w:pStyle w:val="BodyText"/>
            </w:pPr>
            <w:r>
              <w:t>Common Code:</w:t>
            </w:r>
          </w:p>
        </w:tc>
        <w:tc>
          <w:tcPr>
            <w:tcW w:w="4957" w:type="dxa"/>
            <w:hideMark/>
          </w:tcPr>
          <w:p w14:paraId="633C8140" w14:textId="325D9E4D" w:rsidR="00F15482" w:rsidRPr="00B615A7" w:rsidRDefault="008F4393" w:rsidP="001920FF">
            <w:pPr>
              <w:pStyle w:val="BodyText"/>
            </w:pPr>
            <w:r>
              <w:rPr>
                <w:highlight w:val="green"/>
              </w:rPr>
              <w:t>[B10</w:t>
            </w:r>
            <w:r w:rsidR="005C77F7" w:rsidRPr="005C77F7">
              <w:rPr>
                <w:highlight w:val="green"/>
              </w:rPr>
              <w:t>]</w:t>
            </w:r>
          </w:p>
        </w:tc>
      </w:tr>
      <w:tr w:rsidR="00F15482" w14:paraId="19EB14E3" w14:textId="77777777" w:rsidTr="003D6537">
        <w:tc>
          <w:tcPr>
            <w:tcW w:w="630" w:type="dxa"/>
          </w:tcPr>
          <w:p w14:paraId="1FA3ED06" w14:textId="77777777" w:rsidR="00F15482" w:rsidRDefault="00F15482" w:rsidP="00CC1AB2">
            <w:pPr>
              <w:pStyle w:val="NA-LEVEL1"/>
              <w:ind w:left="693"/>
              <w:jc w:val="left"/>
            </w:pPr>
          </w:p>
        </w:tc>
        <w:tc>
          <w:tcPr>
            <w:tcW w:w="3583" w:type="dxa"/>
            <w:gridSpan w:val="2"/>
            <w:hideMark/>
          </w:tcPr>
          <w:p w14:paraId="6EC8C9E1" w14:textId="77777777" w:rsidR="00F15482" w:rsidRDefault="00F15482" w:rsidP="00CC1AB2">
            <w:pPr>
              <w:pStyle w:val="BodyText"/>
            </w:pPr>
            <w:r>
              <w:t>Alternative Clearing System:</w:t>
            </w:r>
          </w:p>
        </w:tc>
        <w:tc>
          <w:tcPr>
            <w:tcW w:w="4957" w:type="dxa"/>
            <w:hideMark/>
          </w:tcPr>
          <w:p w14:paraId="27F5C09D" w14:textId="77777777" w:rsidR="00F15482" w:rsidRDefault="00F15482" w:rsidP="00CC1AB2">
            <w:pPr>
              <w:pStyle w:val="BodyText"/>
            </w:pPr>
            <w:r>
              <w:t>Not applicable.</w:t>
            </w:r>
          </w:p>
        </w:tc>
      </w:tr>
      <w:tr w:rsidR="00F15482" w14:paraId="4AFDAA88" w14:textId="77777777" w:rsidTr="003D6537">
        <w:tc>
          <w:tcPr>
            <w:tcW w:w="630" w:type="dxa"/>
          </w:tcPr>
          <w:p w14:paraId="6A8D17BD" w14:textId="77777777" w:rsidR="00F15482" w:rsidRDefault="00F15482" w:rsidP="00CC1AB2">
            <w:pPr>
              <w:pStyle w:val="NA-LEVEL1"/>
              <w:ind w:left="693"/>
              <w:jc w:val="left"/>
            </w:pPr>
          </w:p>
        </w:tc>
        <w:tc>
          <w:tcPr>
            <w:tcW w:w="3583" w:type="dxa"/>
            <w:gridSpan w:val="2"/>
            <w:hideMark/>
          </w:tcPr>
          <w:p w14:paraId="41D48E3E" w14:textId="77777777" w:rsidR="00F15482" w:rsidRDefault="00F15482" w:rsidP="00CC1AB2">
            <w:pPr>
              <w:pStyle w:val="BodyText"/>
            </w:pPr>
            <w:r>
              <w:t>Delivery:</w:t>
            </w:r>
          </w:p>
        </w:tc>
        <w:tc>
          <w:tcPr>
            <w:tcW w:w="4957" w:type="dxa"/>
            <w:hideMark/>
          </w:tcPr>
          <w:p w14:paraId="1261BF89" w14:textId="30EADF22" w:rsidR="00F15482" w:rsidRDefault="00D87E56" w:rsidP="00CC1AB2">
            <w:pPr>
              <w:pStyle w:val="BodyText"/>
            </w:pPr>
            <w:r>
              <w:rPr>
                <w:highlight w:val="green"/>
              </w:rPr>
              <w:t>[B108</w:t>
            </w:r>
            <w:r w:rsidR="00784627" w:rsidRPr="00784627">
              <w:rPr>
                <w:highlight w:val="green"/>
              </w:rPr>
              <w:t>]</w:t>
            </w:r>
            <w:r w:rsidR="00F15482">
              <w:t>.</w:t>
            </w:r>
          </w:p>
        </w:tc>
      </w:tr>
      <w:tr w:rsidR="00F15482" w14:paraId="7277DD1C" w14:textId="77777777" w:rsidTr="003D6537">
        <w:tc>
          <w:tcPr>
            <w:tcW w:w="630" w:type="dxa"/>
          </w:tcPr>
          <w:p w14:paraId="0084135A" w14:textId="77777777" w:rsidR="00F15482" w:rsidRDefault="00F15482" w:rsidP="00CC1AB2">
            <w:pPr>
              <w:pStyle w:val="NA-LEVEL1"/>
              <w:ind w:left="693"/>
              <w:jc w:val="left"/>
            </w:pPr>
          </w:p>
        </w:tc>
        <w:tc>
          <w:tcPr>
            <w:tcW w:w="3583" w:type="dxa"/>
            <w:gridSpan w:val="2"/>
            <w:hideMark/>
          </w:tcPr>
          <w:p w14:paraId="65E72568" w14:textId="77777777" w:rsidR="00F15482" w:rsidRDefault="00F15482" w:rsidP="00CC1AB2">
            <w:pPr>
              <w:pStyle w:val="BodyText"/>
            </w:pPr>
            <w:r>
              <w:t>Principal Paying Agent:</w:t>
            </w:r>
          </w:p>
        </w:tc>
        <w:tc>
          <w:tcPr>
            <w:tcW w:w="4957" w:type="dxa"/>
            <w:hideMark/>
          </w:tcPr>
          <w:p w14:paraId="6F92EC15" w14:textId="77777777" w:rsidR="00F15482" w:rsidRDefault="00F15482" w:rsidP="00CC1AB2">
            <w:pPr>
              <w:pStyle w:val="BodyText"/>
            </w:pPr>
            <w:r>
              <w:t>Citibank N.A., London Branch.</w:t>
            </w:r>
          </w:p>
        </w:tc>
      </w:tr>
      <w:tr w:rsidR="00F15482" w14:paraId="39E4AA1C" w14:textId="77777777" w:rsidTr="003D6537">
        <w:tc>
          <w:tcPr>
            <w:tcW w:w="630" w:type="dxa"/>
          </w:tcPr>
          <w:p w14:paraId="7B6A6232" w14:textId="77777777" w:rsidR="00F15482" w:rsidRDefault="00F15482" w:rsidP="00CC1AB2">
            <w:pPr>
              <w:pStyle w:val="NA-LEVEL1"/>
              <w:ind w:left="693"/>
              <w:jc w:val="left"/>
            </w:pPr>
          </w:p>
        </w:tc>
        <w:tc>
          <w:tcPr>
            <w:tcW w:w="3583" w:type="dxa"/>
            <w:gridSpan w:val="2"/>
          </w:tcPr>
          <w:p w14:paraId="3B460F13" w14:textId="77777777" w:rsidR="00F15482" w:rsidRDefault="00F15482" w:rsidP="00CC1AB2">
            <w:pPr>
              <w:pStyle w:val="BodyText"/>
            </w:pPr>
            <w:r>
              <w:t>Sub-Custody:November</w:t>
            </w:r>
          </w:p>
        </w:tc>
        <w:tc>
          <w:tcPr>
            <w:tcW w:w="4957" w:type="dxa"/>
            <w:hideMark/>
          </w:tcPr>
          <w:p w14:paraId="09BD2FEF" w14:textId="77777777" w:rsidR="00F15482" w:rsidRDefault="00F15482" w:rsidP="00CC1AB2">
            <w:pPr>
              <w:pStyle w:val="BodyText"/>
            </w:pPr>
            <w:r>
              <w:t>Not applicable.</w:t>
            </w:r>
          </w:p>
        </w:tc>
      </w:tr>
      <w:tr w:rsidR="00F15482" w14:paraId="383FE56C" w14:textId="77777777" w:rsidTr="003D6537">
        <w:tc>
          <w:tcPr>
            <w:tcW w:w="630" w:type="dxa"/>
          </w:tcPr>
          <w:p w14:paraId="145EB630" w14:textId="77777777" w:rsidR="00F15482" w:rsidRDefault="00F15482" w:rsidP="00CC1AB2">
            <w:pPr>
              <w:pStyle w:val="NA-LEVEL1"/>
              <w:ind w:left="693"/>
              <w:jc w:val="left"/>
            </w:pPr>
          </w:p>
        </w:tc>
        <w:tc>
          <w:tcPr>
            <w:tcW w:w="3583" w:type="dxa"/>
            <w:gridSpan w:val="2"/>
            <w:hideMark/>
          </w:tcPr>
          <w:p w14:paraId="108003E4" w14:textId="77777777" w:rsidR="00F15482" w:rsidRDefault="00F15482" w:rsidP="00CC1AB2">
            <w:pPr>
              <w:pStyle w:val="BodyText"/>
            </w:pPr>
            <w:r>
              <w:t>Calculation Agent:</w:t>
            </w:r>
          </w:p>
        </w:tc>
        <w:tc>
          <w:tcPr>
            <w:tcW w:w="4957" w:type="dxa"/>
            <w:hideMark/>
          </w:tcPr>
          <w:p w14:paraId="1A21FB00" w14:textId="1C6E0769" w:rsidR="00F15482" w:rsidRDefault="008F4393" w:rsidP="00CC1AB2">
            <w:pPr>
              <w:pStyle w:val="BodyText"/>
              <w:rPr>
                <w:color w:val="000000"/>
              </w:rPr>
            </w:pPr>
            <w:r>
              <w:rPr>
                <w:color w:val="000000"/>
                <w:highlight w:val="green"/>
              </w:rPr>
              <w:t>[B39</w:t>
            </w:r>
            <w:r w:rsidR="005C77F7" w:rsidRPr="005C77F7">
              <w:rPr>
                <w:color w:val="000000"/>
                <w:highlight w:val="green"/>
              </w:rPr>
              <w:t>]</w:t>
            </w:r>
          </w:p>
          <w:p w14:paraId="24A6F92E" w14:textId="77777777" w:rsidR="00F15482" w:rsidRDefault="00F15482" w:rsidP="00CC1AB2">
            <w:pPr>
              <w:pStyle w:val="BodyText"/>
            </w:pPr>
            <w:r>
              <w:t>The Calculation Agent shall provide the NAV Report to the Arranger on each NAV Report Date.</w:t>
            </w:r>
          </w:p>
          <w:p w14:paraId="34B22CCF" w14:textId="77777777" w:rsidR="00F15482" w:rsidRDefault="00F15482" w:rsidP="00CC1AB2">
            <w:pPr>
              <w:pStyle w:val="BodyText"/>
            </w:pPr>
            <w:r>
              <w:t>The Arranger will publish a summary of the NAV Report received from the Calculation Agent on Bloomberg and will disseminate the NAV to SIX Financial Information USA Inc. and to the Vienna Stock Exchange.</w:t>
            </w:r>
          </w:p>
          <w:p w14:paraId="326DC589" w14:textId="023D52B6" w:rsidR="00F15482" w:rsidRDefault="00CC4954" w:rsidP="00CC1AB2">
            <w:pPr>
              <w:pStyle w:val="BodyText"/>
            </w:pPr>
            <w:r w:rsidRPr="00CC4954">
              <w:t>All determinations made by the Calculation Agent hereunder shall, in the absence of manifest error, be final and conclusive. Whenever a Calculation Agent is required to act or to exercise judgment in any way, it will do so in good faith and in a commercially reasonable manner.  Furthermore, each party agrees that the Calculation Agent is not acting as a fiduciary for or as an advisor to such party in respect of its duties as Calculation Agent in connection with any determinations hereunder.</w:t>
            </w:r>
          </w:p>
        </w:tc>
      </w:tr>
      <w:tr w:rsidR="00A973AE" w14:paraId="5BF85E4B" w14:textId="77777777" w:rsidTr="003D6537">
        <w:tc>
          <w:tcPr>
            <w:tcW w:w="630" w:type="dxa"/>
          </w:tcPr>
          <w:p w14:paraId="0651331C" w14:textId="77777777" w:rsidR="00A973AE" w:rsidRDefault="00A973AE" w:rsidP="00CC1AB2">
            <w:pPr>
              <w:pStyle w:val="NA-LEVEL1"/>
              <w:ind w:left="693"/>
              <w:jc w:val="left"/>
            </w:pPr>
          </w:p>
        </w:tc>
        <w:tc>
          <w:tcPr>
            <w:tcW w:w="3583" w:type="dxa"/>
            <w:gridSpan w:val="2"/>
            <w:hideMark/>
          </w:tcPr>
          <w:p w14:paraId="74226899" w14:textId="77777777" w:rsidR="00A973AE" w:rsidRDefault="00A973AE" w:rsidP="00CC1AB2">
            <w:pPr>
              <w:pStyle w:val="BodyText"/>
            </w:pPr>
            <w:r>
              <w:t>Exchange of Permanent Global Note:</w:t>
            </w:r>
          </w:p>
        </w:tc>
        <w:tc>
          <w:tcPr>
            <w:tcW w:w="4957" w:type="dxa"/>
            <w:hideMark/>
          </w:tcPr>
          <w:p w14:paraId="6713B4F5" w14:textId="77777777" w:rsidR="00A973AE" w:rsidRDefault="00A973AE" w:rsidP="00CC1AB2">
            <w:pPr>
              <w:pStyle w:val="BodyText"/>
            </w:pPr>
            <w:r>
              <w:t>The Permanent Global Note will be exchangeable, in whole but not in part, for a definitive Bearer Note if:</w:t>
            </w:r>
          </w:p>
          <w:p w14:paraId="7A12131C" w14:textId="2EF865D7" w:rsidR="00A973AE" w:rsidRDefault="00A973AE" w:rsidP="00CC1AB2">
            <w:pPr>
              <w:pStyle w:val="BodyText"/>
            </w:pPr>
            <w:r>
              <w:t>(i)</w:t>
            </w:r>
            <w:r>
              <w:tab/>
              <w:t>Euroclear or Clearstream, Luxembourg or any other clearing system in which the Permanent Global Note is for the time being deposited is closed for business for a period of 14 days (other than by reason of holidays statutory or otherwise) or announces an intention</w:t>
            </w:r>
            <w:r w:rsidR="008E2B92">
              <w:t xml:space="preserve"> to permanently</w:t>
            </w:r>
            <w:r>
              <w:t xml:space="preserve"> cease business or to cease to make its book-entry system available for settlement of beneficial interests in such Permanent Global Note or does in fact do either of such things and no alternative clearing system, satisfactory to the Trustee and the Principal Paying </w:t>
            </w:r>
            <w:r>
              <w:lastRenderedPageBreak/>
              <w:t>Agent  is available, or</w:t>
            </w:r>
          </w:p>
          <w:p w14:paraId="22741FE5" w14:textId="77777777" w:rsidR="00A973AE" w:rsidRDefault="00A973AE" w:rsidP="00CC1AB2">
            <w:pPr>
              <w:pStyle w:val="BodyText"/>
            </w:pPr>
            <w:r>
              <w:t>(ii)</w:t>
            </w:r>
            <w:r>
              <w:tab/>
              <w:t>the Notes become due and payable in accordance with Condition 4 and payment is not made on due presentation of the Permanent Global Note for payment.</w:t>
            </w:r>
          </w:p>
        </w:tc>
      </w:tr>
      <w:tr w:rsidR="00A973AE" w14:paraId="3F7AAFBE" w14:textId="77777777" w:rsidTr="003D6537">
        <w:tc>
          <w:tcPr>
            <w:tcW w:w="630" w:type="dxa"/>
          </w:tcPr>
          <w:p w14:paraId="624655BC" w14:textId="77777777" w:rsidR="00A973AE" w:rsidRDefault="00A973AE" w:rsidP="00CC1AB2">
            <w:pPr>
              <w:pStyle w:val="NA-LEVEL1"/>
              <w:ind w:left="693"/>
              <w:jc w:val="left"/>
            </w:pPr>
          </w:p>
        </w:tc>
        <w:tc>
          <w:tcPr>
            <w:tcW w:w="3583" w:type="dxa"/>
            <w:gridSpan w:val="2"/>
            <w:hideMark/>
          </w:tcPr>
          <w:p w14:paraId="3F53FC1E" w14:textId="77777777" w:rsidR="00A973AE" w:rsidRDefault="00A973AE" w:rsidP="00CC1AB2">
            <w:pPr>
              <w:pStyle w:val="BodyText"/>
            </w:pPr>
            <w:r>
              <w:t>Governing law:</w:t>
            </w:r>
          </w:p>
        </w:tc>
        <w:tc>
          <w:tcPr>
            <w:tcW w:w="4957" w:type="dxa"/>
            <w:hideMark/>
          </w:tcPr>
          <w:p w14:paraId="13FBD72E" w14:textId="5ACAFE3E" w:rsidR="00A973AE" w:rsidRDefault="009F45F5" w:rsidP="00CC1AB2">
            <w:pPr>
              <w:pStyle w:val="BodyText"/>
            </w:pPr>
            <w:r w:rsidRPr="005B6D9C">
              <w:t xml:space="preserve">The Notes and any dispute or claim arising out of or in connection with them (including non-contractual </w:t>
            </w:r>
            <w:r w:rsidR="00457D90">
              <w:t xml:space="preserve">obligations, </w:t>
            </w:r>
            <w:r w:rsidRPr="005B6D9C">
              <w:t>disputes or claims) shall be governed by and construe</w:t>
            </w:r>
            <w:r>
              <w:t xml:space="preserve">d in accordance with Irish law. </w:t>
            </w:r>
            <w:r w:rsidR="00A973AE">
              <w:t xml:space="preserve">The courts of Ireland shall have non-exclusive jurisdiction in respect of any dispute.  The New York Security is governed by New York law and New York State and / or Federal Courts may have jurisdiction over any dispute or enforcement proceedings relating thereto. </w:t>
            </w:r>
          </w:p>
        </w:tc>
      </w:tr>
    </w:tbl>
    <w:p w14:paraId="5BC9F025" w14:textId="77777777" w:rsidR="00942B09" w:rsidRDefault="00942B09" w:rsidP="00F15482">
      <w:pPr>
        <w:pStyle w:val="SCHEDULEHEADING-LEVEL1"/>
      </w:pPr>
    </w:p>
    <w:p w14:paraId="60B4D00F" w14:textId="77777777" w:rsidR="00F15482" w:rsidRDefault="00F15482" w:rsidP="00F15482">
      <w:pPr>
        <w:pStyle w:val="SCHEDULEHEADING-LEVEL1"/>
      </w:pPr>
      <w:r>
        <w:t>Admission to trading, public offer and listing</w:t>
      </w:r>
    </w:p>
    <w:p w14:paraId="139EA698" w14:textId="77777777" w:rsidR="00F15482" w:rsidRDefault="00F15482" w:rsidP="00F15482">
      <w:pPr>
        <w:pStyle w:val="BodyText"/>
      </w:pPr>
      <w:r>
        <w:t>Application has been made to list the Notes on the Third Market of the Vienna Stock Exchange.</w:t>
      </w:r>
    </w:p>
    <w:p w14:paraId="231D9BDB" w14:textId="1D812B0C" w:rsidR="000B3274" w:rsidRDefault="000B3274" w:rsidP="00F15482">
      <w:pPr>
        <w:pStyle w:val="BodyText"/>
      </w:pPr>
      <w:r w:rsidRPr="000B3274">
        <w:t>The Notes will not be offered to t</w:t>
      </w:r>
      <w:r w:rsidR="00942B09">
        <w:t xml:space="preserve">he public in any jurisdiction. </w:t>
      </w:r>
      <w:r w:rsidRPr="000B3274">
        <w:t>See “Selling Restrictions” below and in the Programme Memorandum</w:t>
      </w:r>
      <w:r w:rsidR="00BF24EA">
        <w:t>.</w:t>
      </w:r>
      <w:r w:rsidRPr="000B3274">
        <w:t xml:space="preserve"> </w:t>
      </w:r>
    </w:p>
    <w:p w14:paraId="1EB235EA" w14:textId="5BA24D98" w:rsidR="00F15482" w:rsidRDefault="00F15482" w:rsidP="00F15482">
      <w:pPr>
        <w:pStyle w:val="BodyText"/>
      </w:pPr>
      <w:r w:rsidRPr="005C77F7">
        <w:rPr>
          <w:color w:val="000000"/>
        </w:rPr>
        <w:t>GWM Group, Inc</w:t>
      </w:r>
      <w:r w:rsidR="002A7AB2">
        <w:rPr>
          <w:color w:val="000000"/>
        </w:rPr>
        <w:t>.</w:t>
      </w:r>
      <w:r w:rsidR="00D22F00">
        <w:rPr>
          <w:color w:val="000000"/>
        </w:rPr>
        <w:t xml:space="preserve"> and GWM LTD</w:t>
      </w:r>
      <w:r>
        <w:t xml:space="preserve"> in its capacity as the Placing Agent, will be solely responsible for the placing of the Notes with prospective investors.</w:t>
      </w:r>
    </w:p>
    <w:p w14:paraId="35CB12BF" w14:textId="77777777" w:rsidR="00F15482" w:rsidRDefault="00F15482" w:rsidP="00F15482">
      <w:pPr>
        <w:pStyle w:val="BodyText"/>
      </w:pPr>
      <w:r>
        <w:br w:type="page"/>
      </w:r>
      <w:r>
        <w:rPr>
          <w:b/>
        </w:rPr>
        <w:lastRenderedPageBreak/>
        <w:t>Special Conditions:</w:t>
      </w:r>
    </w:p>
    <w:p w14:paraId="4A9B00D4" w14:textId="77777777" w:rsidR="00F15482" w:rsidRDefault="00F15482" w:rsidP="00F15482">
      <w:pPr>
        <w:pStyle w:val="NA-LEVEL2"/>
        <w:keepNext/>
      </w:pPr>
      <w:r>
        <w:rPr>
          <w:b/>
        </w:rPr>
        <w:t>Definitions</w:t>
      </w:r>
    </w:p>
    <w:p w14:paraId="377B9DE2" w14:textId="77777777" w:rsidR="00F15482" w:rsidRDefault="00F15482" w:rsidP="00F15482">
      <w:pPr>
        <w:pStyle w:val="Body2"/>
      </w:pPr>
      <w:r>
        <w:t>Words set out in italics in these Conditions do not form part of the definitions for the purpose of the Constituting Instrument and the documents constituted thereby. In the event of a conflict between the Conditions and the Special Conditions, the Special Conditions shall prevail.</w:t>
      </w:r>
    </w:p>
    <w:p w14:paraId="1C64AAEA" w14:textId="77777777" w:rsidR="00F15482" w:rsidRDefault="00F15482" w:rsidP="00F15482">
      <w:pPr>
        <w:pStyle w:val="Body2"/>
      </w:pPr>
      <w:r>
        <w:t>“</w:t>
      </w:r>
      <w:r>
        <w:rPr>
          <w:b/>
        </w:rPr>
        <w:t>Additional Mandatory Redemption Event</w:t>
      </w:r>
      <w:r>
        <w:t>” means, for the purpose of Condition 2(b)(2) (as amended), the occurrence of any of the following:</w:t>
      </w:r>
    </w:p>
    <w:p w14:paraId="5CFD953E" w14:textId="77777777" w:rsidR="00F15482" w:rsidRDefault="00F15482" w:rsidP="00F15482">
      <w:pPr>
        <w:pStyle w:val="NA-LEVEL3"/>
      </w:pPr>
      <w:r>
        <w:t xml:space="preserve">the </w:t>
      </w:r>
      <w:r>
        <w:rPr>
          <w:color w:val="000000"/>
        </w:rPr>
        <w:t>Margin Account Provider</w:t>
      </w:r>
      <w:r>
        <w:t xml:space="preserve"> fails to perform or observe any of its obligations under the </w:t>
      </w:r>
      <w:r>
        <w:rPr>
          <w:color w:val="000000"/>
        </w:rPr>
        <w:t xml:space="preserve">Margin Account Agreement </w:t>
      </w:r>
      <w:r>
        <w:t xml:space="preserve">and, such failure continues for a period of 30 days (or such longer period as the Issuer may permit) without being remedied following the service of notice by the Issuer on the </w:t>
      </w:r>
      <w:r>
        <w:rPr>
          <w:color w:val="000000"/>
        </w:rPr>
        <w:t>Margin Account Provider</w:t>
      </w:r>
      <w:r>
        <w:t xml:space="preserve"> requiring the same to be remedied (and for such purpose, any failure to perform or observe any obligation shall be deemed remediable notwithstanding that the failure results from not doing an act or thing by a particular time); or</w:t>
      </w:r>
    </w:p>
    <w:p w14:paraId="07535B3F" w14:textId="77777777" w:rsidR="00F15482" w:rsidRDefault="00F15482" w:rsidP="00F15482">
      <w:pPr>
        <w:pStyle w:val="NA-LEVEL3"/>
      </w:pPr>
      <w:r>
        <w:t xml:space="preserve">the </w:t>
      </w:r>
      <w:r>
        <w:rPr>
          <w:color w:val="000000"/>
        </w:rPr>
        <w:t>Margin Account Provider</w:t>
      </w:r>
      <w:r>
        <w:t xml:space="preserve"> gives notice to terminate (or terminates without notice) the </w:t>
      </w:r>
      <w:r>
        <w:rPr>
          <w:color w:val="000000"/>
        </w:rPr>
        <w:t xml:space="preserve">Margin Account Agreement </w:t>
      </w:r>
      <w:r>
        <w:t>prior to the date on which the Issuer has completely fulfilled all of its obligations with respect to the Notes; or</w:t>
      </w:r>
    </w:p>
    <w:p w14:paraId="23E02CB2" w14:textId="77777777" w:rsidR="00F15482" w:rsidRDefault="00F15482" w:rsidP="00F15482">
      <w:pPr>
        <w:pStyle w:val="NA-LEVEL3"/>
      </w:pPr>
      <w:r>
        <w:t xml:space="preserve">the Issuer determines that its obligations under the Notes at any time become illegal. </w:t>
      </w:r>
    </w:p>
    <w:p w14:paraId="6A1F73F7" w14:textId="70963709" w:rsidR="00F15482" w:rsidRDefault="00F15482" w:rsidP="00F15482">
      <w:pPr>
        <w:pStyle w:val="Body2"/>
      </w:pPr>
      <w:r>
        <w:t>“</w:t>
      </w:r>
      <w:r>
        <w:rPr>
          <w:b/>
        </w:rPr>
        <w:t>Agents</w:t>
      </w:r>
      <w:r>
        <w:t xml:space="preserve">” means the Portfolio Manager, the Principal Paying Agent, the Issue Agent, the </w:t>
      </w:r>
      <w:r w:rsidR="00086A7D">
        <w:t>Broker Dealer of Record</w:t>
      </w:r>
      <w:r>
        <w:t>, the Sale Agent, the Placing Agent and the Calculation Agent.</w:t>
      </w:r>
    </w:p>
    <w:p w14:paraId="53B0B9A0" w14:textId="77777777" w:rsidR="00F15482" w:rsidRDefault="00F15482" w:rsidP="00F15482">
      <w:pPr>
        <w:pStyle w:val="Body2"/>
      </w:pPr>
      <w:r>
        <w:t>“</w:t>
      </w:r>
      <w:r>
        <w:rPr>
          <w:b/>
        </w:rPr>
        <w:t>Arranger Default</w:t>
      </w:r>
      <w:r>
        <w:t>” means if any of the follow events occur (in the sole discretion of the Issuer) in respect of the Arranger.  If the Arranger:</w:t>
      </w:r>
    </w:p>
    <w:p w14:paraId="3DCE025F" w14:textId="77777777" w:rsidR="00F15482" w:rsidRDefault="00F15482" w:rsidP="002A7AB2">
      <w:pPr>
        <w:pStyle w:val="NA-LEVEL3"/>
        <w:numPr>
          <w:ilvl w:val="2"/>
          <w:numId w:val="48"/>
        </w:numPr>
      </w:pPr>
      <w:r>
        <w:t xml:space="preserve">is dissolved (other than pursuant to a consolidation, amalgamation or merger); </w:t>
      </w:r>
    </w:p>
    <w:p w14:paraId="233DC8C9" w14:textId="77777777" w:rsidR="00F15482" w:rsidRDefault="00F15482" w:rsidP="00F15482">
      <w:pPr>
        <w:pStyle w:val="NA-LEVEL3"/>
      </w:pPr>
      <w:r>
        <w:t xml:space="preserve">becomes insolvent or is unable to pay its debts or fails or admits in writing its inability generally to pay its debts as they become due; </w:t>
      </w:r>
    </w:p>
    <w:p w14:paraId="144C8B6F" w14:textId="77777777" w:rsidR="00F15482" w:rsidRDefault="00F15482" w:rsidP="00F15482">
      <w:pPr>
        <w:pStyle w:val="NA-LEVEL3"/>
      </w:pPr>
      <w:r>
        <w:t xml:space="preserve">makes a general assignment, arrangement or composition with or for the benefit of its creditors; </w:t>
      </w:r>
    </w:p>
    <w:p w14:paraId="578DCE94" w14:textId="77777777" w:rsidR="00F15482" w:rsidRDefault="00F15482" w:rsidP="00F15482">
      <w:pPr>
        <w:pStyle w:val="NA-LEVEL3"/>
      </w:pPr>
      <w:r>
        <w:t xml:space="preserve">(A) institutes or has instituted against it, by a regulator, supervisor or any similar official with primary insolvency, rehabilitative or regulatory jurisdiction over it in the jurisdiction of its incorporation or organisation or the jurisdiction of its head or home office, a proceeding seeking a judgment of insolvency or bankruptcy or any other relief under any bankruptcy or insolvency law or other similar law affecting creditors’ rights, or a petition is presented for its winding-up or liquidation by it or such regulator, supervisor or similar official, or (B) has instituted against it a proceeding seeking a judgment of insolvency or bankruptcy or any other relief under any bankruptcy or insolvency law or other similar law affecting creditors’ rights, or a petition is presented for its winding-up or liquidation, and such proceeding or petition is instituted or presented by a person or entity not described in clause (A) above and either (I) results in a judgment of insolvency or bankruptcy or the entry of an order for relief or the making of an order for its winding-up or liquidation or (II) is not dismissed, discharged, stayed or restrained in each case within 15 days of the institution or presentation thereof; </w:t>
      </w:r>
    </w:p>
    <w:p w14:paraId="763AF8E0" w14:textId="77777777" w:rsidR="00F15482" w:rsidRDefault="00F15482" w:rsidP="00F15482">
      <w:pPr>
        <w:pStyle w:val="NA-LEVEL3"/>
      </w:pPr>
      <w:r>
        <w:t xml:space="preserve">has a resolution passed for its winding-up, official management or liquidation (other than pursuant to a consolidation, amalgamation or merger); </w:t>
      </w:r>
    </w:p>
    <w:p w14:paraId="4F6AA5E8" w14:textId="77777777" w:rsidR="00F15482" w:rsidRDefault="00F15482" w:rsidP="00F15482">
      <w:pPr>
        <w:pStyle w:val="NA-LEVEL3"/>
      </w:pPr>
      <w:r>
        <w:t xml:space="preserve">seeks or becomes subject to the appointment of an administrator, provisional liquidator, conservator, receiver, trustee, custodian or other similar official for it or for all or substantially all its assets; </w:t>
      </w:r>
    </w:p>
    <w:p w14:paraId="496B8AC6" w14:textId="77777777" w:rsidR="00F15482" w:rsidRDefault="00F15482" w:rsidP="00F15482">
      <w:pPr>
        <w:pStyle w:val="NA-LEVEL3"/>
      </w:pPr>
      <w:r>
        <w:lastRenderedPageBreak/>
        <w:t xml:space="preserve">has a secured party take possession of all or substantially all its assets or has a distress, execution, attachment, sequestration or other legal process levied, enforced or sued on or against all or substantially all its assets and such secured party maintains possession, or any such process is not dismissed, discharged, stayed or restrained, in each case within 15 days thereafter; </w:t>
      </w:r>
    </w:p>
    <w:p w14:paraId="3DB7B16F" w14:textId="77777777" w:rsidR="00F15482" w:rsidRDefault="00F15482" w:rsidP="00F15482">
      <w:pPr>
        <w:pStyle w:val="NA-LEVEL3"/>
      </w:pPr>
      <w:r>
        <w:t xml:space="preserve">causes or is subject to any event with respect to it which, under the applicable laws of any jurisdiction, has an analogous effect to any of the events specified in clauses (i) to (vii) above (inclusive); </w:t>
      </w:r>
    </w:p>
    <w:p w14:paraId="4B1ED18E" w14:textId="77777777" w:rsidR="00F15482" w:rsidRDefault="00F15482" w:rsidP="00F15482">
      <w:pPr>
        <w:pStyle w:val="NA-LEVEL3"/>
      </w:pPr>
      <w:r>
        <w:t>takes any action in furtherance of, or indicating its consent to, approval of, or acquiescence in, any of the foregoing acts; or</w:t>
      </w:r>
    </w:p>
    <w:p w14:paraId="785A1371" w14:textId="77777777" w:rsidR="00F15482" w:rsidRDefault="00F15482" w:rsidP="00F15482">
      <w:pPr>
        <w:pStyle w:val="NA-LEVEL3"/>
      </w:pPr>
      <w:r>
        <w:t>becomes unable to, or fails to within 10 days of receiving notice form the Trustee or the Issuer, perform its duties under the Notes.</w:t>
      </w:r>
    </w:p>
    <w:p w14:paraId="32A8D49B" w14:textId="0684AB79" w:rsidR="00F15482" w:rsidRDefault="00F15482" w:rsidP="00F15482">
      <w:pPr>
        <w:pStyle w:val="Body2"/>
      </w:pPr>
      <w:r>
        <w:t>“</w:t>
      </w:r>
      <w:r>
        <w:rPr>
          <w:b/>
        </w:rPr>
        <w:t>Business Day</w:t>
      </w:r>
      <w:r>
        <w:t>” means a day on which banks are generally open for business in New York</w:t>
      </w:r>
      <w:r w:rsidR="00EB0B41">
        <w:t>, Dublin</w:t>
      </w:r>
      <w:r>
        <w:t xml:space="preserve"> and London.</w:t>
      </w:r>
    </w:p>
    <w:p w14:paraId="11F11035" w14:textId="7525248D" w:rsidR="00F15482" w:rsidRDefault="00F15482" w:rsidP="005C77F7">
      <w:pPr>
        <w:pStyle w:val="Body2"/>
        <w:rPr>
          <w:color w:val="000000"/>
        </w:rPr>
      </w:pPr>
      <w:r>
        <w:t>“</w:t>
      </w:r>
      <w:r>
        <w:rPr>
          <w:b/>
        </w:rPr>
        <w:t>Calculation Agent</w:t>
      </w:r>
      <w:r>
        <w:t xml:space="preserve">” means </w:t>
      </w:r>
      <w:r w:rsidR="008F4393">
        <w:rPr>
          <w:color w:val="000000"/>
          <w:highlight w:val="green"/>
        </w:rPr>
        <w:t>[B39</w:t>
      </w:r>
      <w:r w:rsidR="005C77F7" w:rsidRPr="005C77F7">
        <w:rPr>
          <w:color w:val="000000"/>
          <w:highlight w:val="green"/>
        </w:rPr>
        <w:t>]</w:t>
      </w:r>
    </w:p>
    <w:p w14:paraId="6807892F" w14:textId="77777777" w:rsidR="00F15482" w:rsidRDefault="00F15482" w:rsidP="00F15482">
      <w:pPr>
        <w:pStyle w:val="Body2"/>
      </w:pPr>
      <w:r>
        <w:t>“</w:t>
      </w:r>
      <w:r>
        <w:rPr>
          <w:b/>
        </w:rPr>
        <w:t>Charged Assets Default</w:t>
      </w:r>
      <w:r>
        <w:t>” shall have the meaning given in the Conditions, provided that the term “</w:t>
      </w:r>
      <w:r>
        <w:rPr>
          <w:i/>
        </w:rPr>
        <w:t>Charged Agreement</w:t>
      </w:r>
      <w:r>
        <w:t>” shall be deemed to include the Margin Account Agreement.</w:t>
      </w:r>
    </w:p>
    <w:p w14:paraId="0426B84E" w14:textId="77777777" w:rsidR="00F15482" w:rsidRDefault="00F15482" w:rsidP="00F15482">
      <w:pPr>
        <w:pStyle w:val="Body2"/>
      </w:pPr>
      <w:r>
        <w:t>“</w:t>
      </w:r>
      <w:r>
        <w:rPr>
          <w:b/>
        </w:rPr>
        <w:t>Collateral Default</w:t>
      </w:r>
      <w:r>
        <w:t xml:space="preserve">” means either (i) a compulsory redemption (howsoever described) of the Charged Assets; or (ii) a distribution or return of capital and / or assets to holders of the Charged Assets following the winding up or liquidation of the </w:t>
      </w:r>
      <w:r>
        <w:rPr>
          <w:color w:val="000000"/>
        </w:rPr>
        <w:t>Margin Account Provider</w:t>
      </w:r>
      <w:r>
        <w:t>.</w:t>
      </w:r>
    </w:p>
    <w:p w14:paraId="5C792ED9" w14:textId="77777777" w:rsidR="00F15482" w:rsidRDefault="00F15482" w:rsidP="00F15482">
      <w:pPr>
        <w:pStyle w:val="Body2"/>
      </w:pPr>
      <w:r>
        <w:t>“</w:t>
      </w:r>
      <w:r>
        <w:rPr>
          <w:b/>
        </w:rPr>
        <w:t>Early Redemption Date</w:t>
      </w:r>
      <w:r>
        <w:t>” means in relation to Conditions 2(b) or 2(c), the date specified in the notice given by or on behalf of the Issuer to the Noteholders in accordance with the Conditions.</w:t>
      </w:r>
    </w:p>
    <w:p w14:paraId="3007229C" w14:textId="77777777" w:rsidR="00F15482" w:rsidRDefault="00F15482" w:rsidP="00F15482">
      <w:pPr>
        <w:pStyle w:val="Body2"/>
      </w:pPr>
      <w:r>
        <w:t>“</w:t>
      </w:r>
      <w:r>
        <w:rPr>
          <w:b/>
        </w:rPr>
        <w:t>Early Redemption Payment Date</w:t>
      </w:r>
      <w:r>
        <w:t>” means five (5) Business Days following the day that the Issuer receives the aggregate Sale Proceeds pursuant to Special Condition (IV).  The Early Redemption Payment Date may be significantly later than the Early Redemption Date.  See “</w:t>
      </w:r>
      <w:r>
        <w:rPr>
          <w:i/>
        </w:rPr>
        <w:t>Risk Factors – Payments</w:t>
      </w:r>
      <w:r>
        <w:t>”.</w:t>
      </w:r>
    </w:p>
    <w:p w14:paraId="1CC7841B" w14:textId="77777777" w:rsidR="00F15482" w:rsidRDefault="00F15482" w:rsidP="00F15482">
      <w:pPr>
        <w:pStyle w:val="Body2"/>
      </w:pPr>
      <w:r>
        <w:t>"</w:t>
      </w:r>
      <w:r>
        <w:rPr>
          <w:b/>
        </w:rPr>
        <w:t>ETF</w:t>
      </w:r>
      <w:r>
        <w:t>" means exchange traded fund.</w:t>
      </w:r>
    </w:p>
    <w:p w14:paraId="4ABD1C11" w14:textId="58426280" w:rsidR="00997ECA" w:rsidRDefault="00997ECA" w:rsidP="00F15482">
      <w:pPr>
        <w:pStyle w:val="Body2"/>
      </w:pPr>
      <w:r w:rsidRPr="00997ECA">
        <w:t>"</w:t>
      </w:r>
      <w:r w:rsidRPr="00997ECA">
        <w:rPr>
          <w:b/>
        </w:rPr>
        <w:t>Extended Maturity Date</w:t>
      </w:r>
      <w:r w:rsidRPr="00997ECA">
        <w:t>" means the date to which the term of the Notes may be extended under Special Condition (XII).</w:t>
      </w:r>
    </w:p>
    <w:p w14:paraId="2D23B396" w14:textId="05C9A3FE" w:rsidR="00F15482" w:rsidRDefault="00F15482" w:rsidP="00F15482">
      <w:pPr>
        <w:pStyle w:val="Body2"/>
      </w:pPr>
      <w:r>
        <w:t>“</w:t>
      </w:r>
      <w:r>
        <w:rPr>
          <w:b/>
        </w:rPr>
        <w:t>Final Maturity Payment Date</w:t>
      </w:r>
      <w:r>
        <w:t>” means, subject as provided in Special Condition (VII), five (5) Business Days following the day that the Issuer receives the aggregate Sale Proceeds pursuant to Special Condition (II).  The Final Maturity Payment Date may be significantly later than the Scheduled Maturity Date</w:t>
      </w:r>
      <w:r w:rsidR="00997ECA">
        <w:t xml:space="preserve"> or the Extended Maturity Date, as applicable</w:t>
      </w:r>
      <w:r>
        <w:t>.  See “</w:t>
      </w:r>
      <w:r>
        <w:rPr>
          <w:i/>
        </w:rPr>
        <w:t>Risk Factors – Payments</w:t>
      </w:r>
      <w:r>
        <w:t>”.</w:t>
      </w:r>
    </w:p>
    <w:p w14:paraId="4DAD48AC" w14:textId="77777777" w:rsidR="00F15482" w:rsidRDefault="00F15482" w:rsidP="00F15482">
      <w:pPr>
        <w:pStyle w:val="Body2"/>
      </w:pPr>
      <w:r>
        <w:t>“</w:t>
      </w:r>
      <w:r>
        <w:rPr>
          <w:b/>
        </w:rPr>
        <w:t>Mandatory Redemption Event</w:t>
      </w:r>
      <w:r>
        <w:t>” means any of the events described in Conditions 2(b)(1), (2) or (3).</w:t>
      </w:r>
    </w:p>
    <w:p w14:paraId="0BC9DDC2" w14:textId="5AEBD96D" w:rsidR="00F15482" w:rsidRDefault="00F15482" w:rsidP="00F15482">
      <w:pPr>
        <w:pStyle w:val="Body2"/>
      </w:pPr>
      <w:r>
        <w:t>“</w:t>
      </w:r>
      <w:r>
        <w:rPr>
          <w:b/>
        </w:rPr>
        <w:t>NAV Report</w:t>
      </w:r>
      <w:r>
        <w:t xml:space="preserve">” </w:t>
      </w:r>
      <w:r w:rsidR="008E2B92">
        <w:t xml:space="preserve">means </w:t>
      </w:r>
      <w:r>
        <w:t>a report provided to the Issuer by the Calculation Agent setting out the calculation of the Net Asset Value of the Portfolio (net of any fees as described under Special Condition (XI) below).</w:t>
      </w:r>
    </w:p>
    <w:p w14:paraId="5A4D04D6" w14:textId="0F0A17D5" w:rsidR="00F15482" w:rsidRDefault="00F15482" w:rsidP="00F15482">
      <w:pPr>
        <w:pStyle w:val="Body2"/>
      </w:pPr>
      <w:r>
        <w:t>“</w:t>
      </w:r>
      <w:r>
        <w:rPr>
          <w:b/>
        </w:rPr>
        <w:t>NAV Report Date</w:t>
      </w:r>
      <w:r>
        <w:t xml:space="preserve">” means the last Business Day of each calendar </w:t>
      </w:r>
      <w:r w:rsidR="00912C8D" w:rsidRPr="00912C8D">
        <w:rPr>
          <w:highlight w:val="green"/>
        </w:rPr>
        <w:t>[B67]</w:t>
      </w:r>
      <w:r>
        <w:t>.</w:t>
      </w:r>
    </w:p>
    <w:p w14:paraId="57BF69C5" w14:textId="77777777" w:rsidR="00F15482" w:rsidRDefault="00F15482" w:rsidP="00F15482">
      <w:pPr>
        <w:pStyle w:val="Body2"/>
      </w:pPr>
      <w:r>
        <w:t>“</w:t>
      </w:r>
      <w:r>
        <w:rPr>
          <w:b/>
        </w:rPr>
        <w:t>Net Asset Value</w:t>
      </w:r>
      <w:r>
        <w:t xml:space="preserve">” means, in respect of the Margin Account, the value for each component of the Portfolio held in the Margin Account (net of any fees as described under Special Condition (XI) below), as provided by the Calculation Agent or the Margin Account Provider to the Issuer, </w:t>
      </w:r>
      <w:r>
        <w:lastRenderedPageBreak/>
        <w:t>as the case may be, on or before the NAV Report Date, and “</w:t>
      </w:r>
      <w:r>
        <w:rPr>
          <w:b/>
        </w:rPr>
        <w:t>Net Asset Value of the Portfolio</w:t>
      </w:r>
      <w:r>
        <w:t>” means the aggregate of the Net Asset Value of each component (net of any fees as described under Special Condition (XI) below) comprised in the Portfolio.</w:t>
      </w:r>
    </w:p>
    <w:p w14:paraId="65499736" w14:textId="2F6A1E24" w:rsidR="00F15482" w:rsidRDefault="00F15482" w:rsidP="00F15482">
      <w:pPr>
        <w:pStyle w:val="Body2"/>
      </w:pPr>
      <w:r>
        <w:t>“</w:t>
      </w:r>
      <w:r>
        <w:rPr>
          <w:b/>
        </w:rPr>
        <w:t>Net Proceeds</w:t>
      </w:r>
      <w:r>
        <w:t xml:space="preserve">” means an amount determined by the Calculation Agent being the </w:t>
      </w:r>
      <w:r>
        <w:rPr>
          <w:i/>
        </w:rPr>
        <w:t>pro rata</w:t>
      </w:r>
      <w:r>
        <w:t xml:space="preserve"> share of the Sale Proceeds of the Charged Assets in respect of one Note less any redemption and settlement costs and expenses in respect of the Charged Assets and less any fees, costs or expenses owing to the Trustee and the Agents in connection with the Notes, and less any fees payable to the Margin Account Provider, the Portfolio Manager and the Arranger pursuant</w:t>
      </w:r>
      <w:r w:rsidR="001920FF">
        <w:t xml:space="preserve"> to the C</w:t>
      </w:r>
      <w:r w:rsidR="003D6537">
        <w:t xml:space="preserve">onditions of the Notes, less </w:t>
      </w:r>
      <w:r w:rsidR="003D6537" w:rsidRPr="003D6537">
        <w:rPr>
          <w:highlight w:val="green"/>
        </w:rPr>
        <w:t>[B46]</w:t>
      </w:r>
      <w:r w:rsidR="003D6537">
        <w:t xml:space="preserve"> </w:t>
      </w:r>
      <w:r w:rsidR="001920FF">
        <w:t xml:space="preserve">1,000 per annum, to be retained by the Issuer. </w:t>
      </w:r>
    </w:p>
    <w:p w14:paraId="533ADAFE" w14:textId="61A24AF8" w:rsidR="00F15482" w:rsidRDefault="00F15482" w:rsidP="00F15482">
      <w:pPr>
        <w:pStyle w:val="Body2"/>
      </w:pPr>
      <w:r>
        <w:t>“</w:t>
      </w:r>
      <w:r>
        <w:rPr>
          <w:b/>
        </w:rPr>
        <w:t>New York Security</w:t>
      </w:r>
      <w:r>
        <w:rPr>
          <w:i/>
        </w:rPr>
        <w:t xml:space="preserve">” </w:t>
      </w:r>
      <w:r>
        <w:t xml:space="preserve">means the security interests governed by New York law created by the Charging Instrument dated the Issue Date between the Issuer, the Trustee and the </w:t>
      </w:r>
      <w:r w:rsidR="00086A7D">
        <w:t>Broker Dealer of Record</w:t>
      </w:r>
      <w:r>
        <w:t xml:space="preserve"> pursuant to which the Issuer has granted in favour of the Trustee for itself and as trustee for the Secured Parties a security interest over the Charged Assets.</w:t>
      </w:r>
    </w:p>
    <w:p w14:paraId="13F01D17" w14:textId="1AAEDCA1" w:rsidR="00F15482" w:rsidRDefault="00F15482" w:rsidP="00F15482">
      <w:pPr>
        <w:pStyle w:val="Body2"/>
      </w:pPr>
      <w:r w:rsidRPr="00980786">
        <w:t>“</w:t>
      </w:r>
      <w:r w:rsidRPr="00980786">
        <w:rPr>
          <w:b/>
        </w:rPr>
        <w:t>Optional Redemption Date</w:t>
      </w:r>
      <w:r w:rsidR="00942B09">
        <w:t>” means</w:t>
      </w:r>
      <w:r w:rsidRPr="00980786">
        <w:t xml:space="preserve"> </w:t>
      </w:r>
      <w:r w:rsidR="00940136">
        <w:t xml:space="preserve">either (i) the date specified in a Redemption Notice in accordance with Special Condition (III) (Optional Redemption by the Arranger); or (ii) </w:t>
      </w:r>
      <w:r w:rsidRPr="00980786">
        <w:t>the date specified in an Optional Redemption Notice given by the Issuer or the Arranger pursuant to Condition 2(f)(2), as amended by Special Condition (III) (</w:t>
      </w:r>
      <w:r w:rsidRPr="00980786">
        <w:rPr>
          <w:i/>
        </w:rPr>
        <w:t>Optional Redemption by the Issuer</w:t>
      </w:r>
      <w:r w:rsidRPr="00980786">
        <w:t>).</w:t>
      </w:r>
    </w:p>
    <w:p w14:paraId="7D98B486" w14:textId="77777777" w:rsidR="00F15482" w:rsidRDefault="00F15482" w:rsidP="00F15482">
      <w:pPr>
        <w:pStyle w:val="Body2"/>
      </w:pPr>
      <w:r>
        <w:t>“</w:t>
      </w:r>
      <w:r>
        <w:rPr>
          <w:b/>
        </w:rPr>
        <w:t>Optional Redemption Payment Date</w:t>
      </w:r>
      <w:r>
        <w:t>” means five (5) Business Days following a day that the Issuer receives the aggregate Sale Proceeds pursuant to Special Condition (III).  The Optional Redemption Payment Date may be significantly later than the Optional Redemption Date.  See “</w:t>
      </w:r>
      <w:r>
        <w:rPr>
          <w:i/>
        </w:rPr>
        <w:t>Risk Factors – Payments</w:t>
      </w:r>
      <w:r>
        <w:t>”.</w:t>
      </w:r>
    </w:p>
    <w:p w14:paraId="66526938" w14:textId="6CFCC8D5" w:rsidR="00F15482" w:rsidRDefault="00F15482" w:rsidP="00F15482">
      <w:pPr>
        <w:pStyle w:val="Body2"/>
      </w:pPr>
      <w:r>
        <w:t>“</w:t>
      </w:r>
      <w:r>
        <w:rPr>
          <w:b/>
        </w:rPr>
        <w:t>Placing Agent</w:t>
      </w:r>
      <w:r>
        <w:t xml:space="preserve">” means </w:t>
      </w:r>
      <w:r w:rsidR="000B5CC0">
        <w:t xml:space="preserve">both </w:t>
      </w:r>
      <w:r w:rsidRPr="008F4393">
        <w:rPr>
          <w:color w:val="000000"/>
        </w:rPr>
        <w:t>GWM Group, Inc.</w:t>
      </w:r>
      <w:r>
        <w:t xml:space="preserve"> </w:t>
      </w:r>
      <w:r w:rsidR="00D22F00">
        <w:t>and GWM LTD</w:t>
      </w:r>
      <w:r w:rsidR="000B5CC0">
        <w:t>.</w:t>
      </w:r>
    </w:p>
    <w:p w14:paraId="029B82CE" w14:textId="77777777" w:rsidR="00F15482" w:rsidRDefault="00F15482" w:rsidP="00F15482">
      <w:pPr>
        <w:pStyle w:val="Body2"/>
      </w:pPr>
      <w:r>
        <w:t>“</w:t>
      </w:r>
      <w:r>
        <w:rPr>
          <w:b/>
        </w:rPr>
        <w:t>Portfolio</w:t>
      </w:r>
      <w:r>
        <w:t xml:space="preserve">” means the portfolio of Securities held from time-to-time pursuant to the </w:t>
      </w:r>
      <w:r>
        <w:rPr>
          <w:color w:val="000000"/>
        </w:rPr>
        <w:t>Margin Account Agreement, as managed by the Portfolio Manager subject to the Management Criteria, as further described in the Portfolio Management Agreement in relation to the Notes</w:t>
      </w:r>
      <w:r>
        <w:t>.</w:t>
      </w:r>
    </w:p>
    <w:p w14:paraId="22F5DD2C" w14:textId="77777777" w:rsidR="00F15482" w:rsidRPr="008F4393" w:rsidRDefault="00F15482" w:rsidP="00F15482">
      <w:pPr>
        <w:pStyle w:val="Body2"/>
      </w:pPr>
      <w:r>
        <w:t>“</w:t>
      </w:r>
      <w:r>
        <w:rPr>
          <w:b/>
        </w:rPr>
        <w:t>Related Rights</w:t>
      </w:r>
      <w:r>
        <w:t xml:space="preserve">” means all rights of the Issuer derived from or connected to the Securities including, without limitation, any rights to receive additional shares or other securities, assets or rights or any offers in respect thereof (whether by way of bonus issue, option rights, exchange, substitution, conversion or otherwise) or to receive monies (whether by way of redemption, return of capital, dividend, distribution, </w:t>
      </w:r>
      <w:r w:rsidRPr="008F4393">
        <w:t>income or otherwise) in respect of the Securities.</w:t>
      </w:r>
    </w:p>
    <w:p w14:paraId="4D32ADA3" w14:textId="38EC3BDE" w:rsidR="00F15482" w:rsidRDefault="00F15482" w:rsidP="00F15482">
      <w:pPr>
        <w:pStyle w:val="Body2"/>
      </w:pPr>
      <w:r w:rsidRPr="008F4393">
        <w:t>“</w:t>
      </w:r>
      <w:r w:rsidRPr="008F4393">
        <w:rPr>
          <w:b/>
        </w:rPr>
        <w:t>Sale Agent</w:t>
      </w:r>
      <w:r w:rsidRPr="008F4393">
        <w:t xml:space="preserve">” means </w:t>
      </w:r>
      <w:r w:rsidR="000B5CC0">
        <w:t xml:space="preserve">both </w:t>
      </w:r>
      <w:r w:rsidRPr="008F4393">
        <w:t>GWM Group, Inc.</w:t>
      </w:r>
      <w:r w:rsidR="00D22F00">
        <w:t xml:space="preserve"> and GWM LTD</w:t>
      </w:r>
      <w:r w:rsidR="000B5CC0">
        <w:t>.</w:t>
      </w:r>
    </w:p>
    <w:p w14:paraId="2C3C3017" w14:textId="77777777" w:rsidR="00F15482" w:rsidRDefault="00F15482" w:rsidP="00F15482">
      <w:pPr>
        <w:pStyle w:val="Body2"/>
      </w:pPr>
      <w:r>
        <w:t>“</w:t>
      </w:r>
      <w:r>
        <w:rPr>
          <w:b/>
        </w:rPr>
        <w:t>Sale Proceeds</w:t>
      </w:r>
      <w:r>
        <w:t xml:space="preserve">” means an amount determined by the Calculation Agent being the </w:t>
      </w:r>
      <w:r>
        <w:rPr>
          <w:i/>
        </w:rPr>
        <w:t>pro rata</w:t>
      </w:r>
      <w:r>
        <w:t xml:space="preserve"> share of the proceeds of sale or other means of realisation of the Charged Assets in respect of one Note less any costs, expenses, taxes and duties incurred in connection with the disposal or transfer of the Charged Assets by the Sale Agent.</w:t>
      </w:r>
    </w:p>
    <w:p w14:paraId="1C0DAF16" w14:textId="77777777" w:rsidR="00F15482" w:rsidRDefault="00F15482" w:rsidP="00F15482">
      <w:pPr>
        <w:pStyle w:val="BodyText"/>
        <w:ind w:left="709"/>
        <w:rPr>
          <w:color w:val="000000"/>
        </w:rPr>
      </w:pPr>
      <w:r>
        <w:t>“</w:t>
      </w:r>
      <w:r>
        <w:rPr>
          <w:b/>
        </w:rPr>
        <w:t>Securities</w:t>
      </w:r>
      <w:r>
        <w:rPr>
          <w:color w:val="000000"/>
        </w:rPr>
        <w:t xml:space="preserve"> means any and all securities and other investments (including any investment company securities and securities accounts), monies, credit balances, assets or related contracts and deposit accounts, trading positions or beneficial interests in any assets, to the extent any of the foregoing is:</w:t>
      </w:r>
    </w:p>
    <w:p w14:paraId="54029278" w14:textId="77777777" w:rsidR="00F15482" w:rsidRDefault="00F15482" w:rsidP="00F15482">
      <w:pPr>
        <w:pStyle w:val="BodyText"/>
        <w:ind w:left="1418"/>
        <w:rPr>
          <w:color w:val="000000"/>
        </w:rPr>
      </w:pPr>
      <w:r>
        <w:rPr>
          <w:color w:val="000000"/>
        </w:rPr>
        <w:t>(i) held, carried and / or maintained by the Margin Account Provider</w:t>
      </w:r>
      <w:r>
        <w:t xml:space="preserve"> </w:t>
      </w:r>
      <w:r>
        <w:rPr>
          <w:color w:val="000000"/>
        </w:rPr>
        <w:t xml:space="preserve">and / or any of its affiliates, </w:t>
      </w:r>
    </w:p>
    <w:p w14:paraId="01B9D745" w14:textId="77777777" w:rsidR="00F15482" w:rsidRDefault="00F15482" w:rsidP="00F15482">
      <w:pPr>
        <w:pStyle w:val="BodyText"/>
        <w:ind w:left="1418"/>
        <w:rPr>
          <w:color w:val="000000"/>
        </w:rPr>
      </w:pPr>
      <w:r>
        <w:rPr>
          <w:color w:val="000000"/>
        </w:rPr>
        <w:t xml:space="preserve">(ii) held, carried or maintained by the Margin Account Provider and / or any of its affiliates through any correspondent broker / dealer of the Margin Account Provider, </w:t>
      </w:r>
    </w:p>
    <w:p w14:paraId="51842518" w14:textId="77777777" w:rsidR="00F15482" w:rsidRDefault="00F15482" w:rsidP="00F15482">
      <w:pPr>
        <w:pStyle w:val="BodyText"/>
        <w:ind w:left="1418"/>
        <w:rPr>
          <w:color w:val="000000"/>
        </w:rPr>
      </w:pPr>
      <w:r>
        <w:rPr>
          <w:color w:val="000000"/>
        </w:rPr>
        <w:t>(iii) in the possession or control of the Margin Account Provider</w:t>
      </w:r>
      <w:r>
        <w:t xml:space="preserve"> </w:t>
      </w:r>
      <w:r>
        <w:rPr>
          <w:color w:val="000000"/>
        </w:rPr>
        <w:t xml:space="preserve">or any of its affiliates for any purpose, including for safekeeping, </w:t>
      </w:r>
    </w:p>
    <w:p w14:paraId="558FD7F2" w14:textId="77777777" w:rsidR="00F15482" w:rsidRDefault="00F15482" w:rsidP="00F15482">
      <w:pPr>
        <w:pStyle w:val="BodyText"/>
        <w:ind w:left="1418"/>
        <w:rPr>
          <w:color w:val="000000"/>
        </w:rPr>
      </w:pPr>
      <w:r>
        <w:rPr>
          <w:color w:val="000000"/>
        </w:rPr>
        <w:lastRenderedPageBreak/>
        <w:t>(iv) held, carried or maintained or in the possession or control (as further set out in the Margin Account Agreement) by or for the Margin Account Provider, or</w:t>
      </w:r>
    </w:p>
    <w:p w14:paraId="0A5C41AC" w14:textId="77777777" w:rsidR="00F15482" w:rsidRDefault="00F15482" w:rsidP="00F15482">
      <w:pPr>
        <w:pStyle w:val="BodyText"/>
        <w:ind w:left="709" w:firstLine="709"/>
        <w:rPr>
          <w:color w:val="000000"/>
        </w:rPr>
      </w:pPr>
      <w:r>
        <w:rPr>
          <w:color w:val="000000"/>
        </w:rPr>
        <w:t>(v) established, agreed or obtained by the Margin Account Provider,</w:t>
      </w:r>
    </w:p>
    <w:p w14:paraId="10502666" w14:textId="77777777" w:rsidR="00F15482" w:rsidRDefault="00F15482" w:rsidP="00F15482">
      <w:pPr>
        <w:pStyle w:val="Body1"/>
      </w:pPr>
      <w:r>
        <w:rPr>
          <w:color w:val="000000"/>
        </w:rPr>
        <w:t>pursuant to the Margin Account Agreement.</w:t>
      </w:r>
      <w:r>
        <w:t xml:space="preserve">  See “</w:t>
      </w:r>
      <w:r>
        <w:rPr>
          <w:i/>
        </w:rPr>
        <w:t>Information relating to the Charged Assets</w:t>
      </w:r>
      <w:r>
        <w:t>” below.</w:t>
      </w:r>
    </w:p>
    <w:p w14:paraId="6DDDD265" w14:textId="77777777" w:rsidR="00F15482" w:rsidRDefault="00F15482" w:rsidP="00F15482">
      <w:pPr>
        <w:pStyle w:val="Body2"/>
      </w:pPr>
      <w:r>
        <w:t>“</w:t>
      </w:r>
      <w:r>
        <w:rPr>
          <w:b/>
        </w:rPr>
        <w:t>Security</w:t>
      </w:r>
      <w:r>
        <w:t>” means the New York Security and the security constituted by the Trust Deed entered into by the execution of the Constituting Instrument dated the Issue Date between the Issuer and the Trustee, amongst others.</w:t>
      </w:r>
    </w:p>
    <w:p w14:paraId="71DD677F" w14:textId="77777777" w:rsidR="00F15482" w:rsidRDefault="00F15482" w:rsidP="00F15482">
      <w:pPr>
        <w:pStyle w:val="Body2"/>
      </w:pPr>
      <w:r>
        <w:t>"</w:t>
      </w:r>
      <w:r>
        <w:rPr>
          <w:b/>
        </w:rPr>
        <w:t>Underlying ETF</w:t>
      </w:r>
      <w:r>
        <w:t>" means any ETF acquired by the Issuer, directly or indirectly, using the proceeds from the issue of the Notes.</w:t>
      </w:r>
    </w:p>
    <w:p w14:paraId="55D86840" w14:textId="77777777" w:rsidR="00F15482" w:rsidRDefault="00F15482" w:rsidP="00F15482">
      <w:pPr>
        <w:pStyle w:val="Body2"/>
      </w:pPr>
      <w:r>
        <w:t>"</w:t>
      </w:r>
      <w:r>
        <w:rPr>
          <w:b/>
        </w:rPr>
        <w:t>Underlying Note</w:t>
      </w:r>
      <w:r>
        <w:t>" means any note or bond or similar security acquired by the Issuer, directly or indirectly, using the proceeds from the issue of the Notes.</w:t>
      </w:r>
    </w:p>
    <w:p w14:paraId="6A24357D" w14:textId="77777777" w:rsidR="00F15482" w:rsidRDefault="00F15482" w:rsidP="00F15482">
      <w:pPr>
        <w:pStyle w:val="NA-LEVEL2"/>
        <w:keepNext/>
      </w:pPr>
      <w:r>
        <w:rPr>
          <w:b/>
        </w:rPr>
        <w:t>Redemption Amount</w:t>
      </w:r>
    </w:p>
    <w:p w14:paraId="0A24FF3D" w14:textId="45271662" w:rsidR="00F15482" w:rsidRDefault="00F15482" w:rsidP="00F15482">
      <w:pPr>
        <w:pStyle w:val="BodyText"/>
        <w:ind w:left="706"/>
      </w:pPr>
      <w:r>
        <w:t xml:space="preserve">Unless previously redeemed the Notes will be redeemed by a payment in respect of each Note on the Final Maturity </w:t>
      </w:r>
      <w:r w:rsidR="00B615A7">
        <w:t xml:space="preserve">Payment Date of an amount in </w:t>
      </w:r>
      <w:r w:rsidR="008F4393">
        <w:rPr>
          <w:highlight w:val="green"/>
        </w:rPr>
        <w:t>[B46</w:t>
      </w:r>
      <w:r w:rsidR="005C77F7" w:rsidRPr="005C77F7">
        <w:rPr>
          <w:highlight w:val="green"/>
        </w:rPr>
        <w:t>]</w:t>
      </w:r>
      <w:r>
        <w:t xml:space="preserve"> (the “</w:t>
      </w:r>
      <w:r>
        <w:rPr>
          <w:b/>
        </w:rPr>
        <w:t>Redemption Amount</w:t>
      </w:r>
      <w:r>
        <w:t>”) equal to the lesser of:</w:t>
      </w:r>
    </w:p>
    <w:p w14:paraId="4860802E" w14:textId="1DC15070" w:rsidR="00F15482" w:rsidRDefault="00B615A7" w:rsidP="005C77F7">
      <w:pPr>
        <w:pStyle w:val="BodyText"/>
        <w:ind w:left="706"/>
      </w:pPr>
      <w:r>
        <w:t xml:space="preserve">(a)   </w:t>
      </w:r>
      <w:r w:rsidR="008F4393">
        <w:rPr>
          <w:highlight w:val="green"/>
        </w:rPr>
        <w:t>[B47</w:t>
      </w:r>
      <w:r w:rsidR="005C77F7" w:rsidRPr="005C77F7">
        <w:rPr>
          <w:highlight w:val="green"/>
        </w:rPr>
        <w:t>]</w:t>
      </w:r>
      <w:r w:rsidR="00F15482">
        <w:t>; and</w:t>
      </w:r>
    </w:p>
    <w:p w14:paraId="39224751" w14:textId="77777777" w:rsidR="00F15482" w:rsidRDefault="00F15482" w:rsidP="00F15482">
      <w:pPr>
        <w:pStyle w:val="BodyText"/>
        <w:ind w:left="706"/>
      </w:pPr>
      <w:r>
        <w:t>(b)   Net Proceeds.</w:t>
      </w:r>
    </w:p>
    <w:p w14:paraId="7316C9C3" w14:textId="77777777" w:rsidR="00F15482" w:rsidRDefault="00F15482" w:rsidP="00F15482">
      <w:pPr>
        <w:pStyle w:val="Body2"/>
      </w:pPr>
      <w:r>
        <w:t>No interest or other amount shall accrue or be payable in respect of the Notes in respect of the period from and including the Scheduled Maturity Date, to and including the Final Maturity Payment Date.</w:t>
      </w:r>
    </w:p>
    <w:p w14:paraId="4C4727CA" w14:textId="77777777" w:rsidR="00F15482" w:rsidRDefault="00F15482" w:rsidP="00F15482">
      <w:pPr>
        <w:pStyle w:val="NA-LEVEL2"/>
        <w:keepNext/>
      </w:pPr>
      <w:r>
        <w:rPr>
          <w:b/>
        </w:rPr>
        <w:t>Optional Redemption</w:t>
      </w:r>
    </w:p>
    <w:p w14:paraId="41A6B6C9" w14:textId="736273E3" w:rsidR="008E2B92" w:rsidRPr="008E2B92" w:rsidRDefault="008E2B92" w:rsidP="008E2B92">
      <w:pPr>
        <w:pStyle w:val="Body2"/>
        <w:keepNext/>
      </w:pPr>
      <w:r w:rsidRPr="0091363F">
        <w:t xml:space="preserve">The amount payable in respect of any Notes pursuant to an Optional Redemption by the Issuer or an Optional Redemption by the Arranger will be an amount in </w:t>
      </w:r>
      <w:r>
        <w:rPr>
          <w:highlight w:val="green"/>
        </w:rPr>
        <w:t>[B46</w:t>
      </w:r>
      <w:r w:rsidRPr="005C77F7">
        <w:rPr>
          <w:highlight w:val="green"/>
        </w:rPr>
        <w:t>]</w:t>
      </w:r>
      <w:r>
        <w:t xml:space="preserve"> </w:t>
      </w:r>
      <w:r w:rsidRPr="0091363F">
        <w:t>determined by the Calculation Agent equal to the Early Redemption Amount (the “</w:t>
      </w:r>
      <w:r w:rsidRPr="0091363F">
        <w:rPr>
          <w:b/>
        </w:rPr>
        <w:t>Optional Redemption Amount</w:t>
      </w:r>
      <w:r w:rsidRPr="0091363F">
        <w:t>”).</w:t>
      </w:r>
    </w:p>
    <w:p w14:paraId="44B6D9FA" w14:textId="3B017307" w:rsidR="00F15482" w:rsidRDefault="00F15482" w:rsidP="00F15482">
      <w:pPr>
        <w:pStyle w:val="Body2"/>
        <w:keepNext/>
      </w:pPr>
      <w:r>
        <w:rPr>
          <w:i/>
        </w:rPr>
        <w:t>Optional Redemption by the Issuer</w:t>
      </w:r>
    </w:p>
    <w:p w14:paraId="35D51972" w14:textId="77777777" w:rsidR="00F15482" w:rsidRDefault="00F15482" w:rsidP="00F15482">
      <w:pPr>
        <w:pStyle w:val="Body2"/>
      </w:pPr>
      <w:r>
        <w:t>Condition 2(f)(2) shall apply to the Notes.</w:t>
      </w:r>
    </w:p>
    <w:p w14:paraId="4B3E0B25" w14:textId="77777777" w:rsidR="00F15482" w:rsidRDefault="00F15482" w:rsidP="00F15482">
      <w:pPr>
        <w:pStyle w:val="Body2"/>
      </w:pPr>
      <w:r>
        <w:t xml:space="preserve">The Issuer: </w:t>
      </w:r>
    </w:p>
    <w:p w14:paraId="263E7764" w14:textId="77777777" w:rsidR="00F15482" w:rsidRDefault="00F15482" w:rsidP="00F15482">
      <w:pPr>
        <w:pStyle w:val="Body2"/>
        <w:ind w:left="1417" w:hanging="708"/>
      </w:pPr>
      <w:r>
        <w:t>(A)</w:t>
      </w:r>
      <w:r>
        <w:tab/>
        <w:t>may, on giving not less than ten (10) Business Days’ prior notice to the Trustee and the Noteholders (in accordance with Condition 7);</w:t>
      </w:r>
    </w:p>
    <w:p w14:paraId="4576EEDA" w14:textId="77777777" w:rsidR="00F15482" w:rsidRDefault="00F15482" w:rsidP="00F15482">
      <w:pPr>
        <w:pStyle w:val="Body2"/>
        <w:ind w:left="1417" w:hanging="708"/>
      </w:pPr>
      <w:r>
        <w:t>(B)</w:t>
      </w:r>
      <w:r>
        <w:tab/>
        <w:t>shall, at any time after receipt of a Notice pursuant to this Special Condition (III) from the Arranger,</w:t>
      </w:r>
    </w:p>
    <w:p w14:paraId="7EB5EB85" w14:textId="77777777" w:rsidR="00F15482" w:rsidRDefault="00F15482" w:rsidP="00F15482">
      <w:pPr>
        <w:pStyle w:val="Body1"/>
      </w:pPr>
      <w:r>
        <w:t>(such notice an “</w:t>
      </w:r>
      <w:r>
        <w:rPr>
          <w:b/>
        </w:rPr>
        <w:t>Optional Redemption Notice</w:t>
      </w:r>
      <w:r>
        <w:t>”) redeem any amount of the Notes at their Optional Redemption Amount on the Optional Redemption Payment Date.  The provisions of Condition 2(f)(2) is hereby amended accordingly.</w:t>
      </w:r>
    </w:p>
    <w:p w14:paraId="4C7B0A85" w14:textId="77777777" w:rsidR="00A41A8D" w:rsidRPr="00795BF1" w:rsidRDefault="00A41A8D" w:rsidP="00A41A8D">
      <w:pPr>
        <w:pStyle w:val="Body2"/>
        <w:keepNext/>
      </w:pPr>
      <w:r w:rsidRPr="00795BF1">
        <w:rPr>
          <w:i/>
        </w:rPr>
        <w:t>O</w:t>
      </w:r>
      <w:r>
        <w:rPr>
          <w:i/>
        </w:rPr>
        <w:t>ptional Redemption by the Arranger</w:t>
      </w:r>
    </w:p>
    <w:p w14:paraId="274F6DC1" w14:textId="77777777" w:rsidR="00A41A8D" w:rsidRDefault="00A41A8D" w:rsidP="00A41A8D">
      <w:pPr>
        <w:pStyle w:val="Body2"/>
      </w:pPr>
      <w:r>
        <w:t xml:space="preserve">The Issuer shall, subject to compliance with all relevant laws, regulations and directives, at the option of the Arranger, where the Arranger is the holder of any Note, redeem such Note on the </w:t>
      </w:r>
      <w:r w:rsidRPr="00A25CCC">
        <w:t>Optional Redemption Date.</w:t>
      </w:r>
    </w:p>
    <w:p w14:paraId="6BCDAD37" w14:textId="22F0981E" w:rsidR="00A41A8D" w:rsidRDefault="00A41A8D" w:rsidP="00A41A8D">
      <w:pPr>
        <w:pStyle w:val="Body2"/>
        <w:keepNext/>
      </w:pPr>
      <w:r>
        <w:lastRenderedPageBreak/>
        <w:t>To exercise such option the Arranger must deposit the relevant Note with any Paying Agent (in the case of Bearer Notes) or the Registrar or any Transfer Agent (in the case of Registered Notes) at their respective specified offices, together with a duly completed notice of redemption (“</w:t>
      </w:r>
      <w:r w:rsidRPr="00873356">
        <w:rPr>
          <w:b/>
        </w:rPr>
        <w:t>Redemption Notice</w:t>
      </w:r>
      <w:r>
        <w:t>”) in the form obtainable from any Paying Agent (in the case of Bearer Notes) or from the Registrar or any Transfer Agent (in the case of Registered Notes) not more than 30 nor less than 2 Business Days prior to the relevant date for redemption and provided that, in the case of any Note represented by a Global Note or a Global Registered Certificate registered in the name of a nominee for Euroclear or Clearstream, Luxembourg or an Alternative Clearing System, the Arranger must deliver such Redemption Notice together with an authority to Euroclear or Clearstream, Luxembourg or the relevant Alternative Clearing System (in each case, as appropriate) to debit such Arranger’s account accordingly and provided that, in the case of any Note represented by a Global Registered Certificate registered in the name of any other person, the Arranger must deliver such Redemption Notice together with an instruction to such person to amend its records accordingly. No Note (or authority) so deposited may be withdrawn (except as provided in the Constituting Instrument) without the prior written consent of the Issuer.</w:t>
      </w:r>
    </w:p>
    <w:p w14:paraId="7AD3ACA5" w14:textId="77777777" w:rsidR="00F15482" w:rsidRDefault="00F15482" w:rsidP="00F15482">
      <w:pPr>
        <w:pStyle w:val="NA-LEVEL2"/>
        <w:keepNext/>
      </w:pPr>
      <w:r>
        <w:rPr>
          <w:b/>
        </w:rPr>
        <w:t>Early Redemption Amount</w:t>
      </w:r>
    </w:p>
    <w:p w14:paraId="259330AD" w14:textId="77777777" w:rsidR="00F15482" w:rsidRDefault="00F15482" w:rsidP="00F15482">
      <w:pPr>
        <w:pStyle w:val="Body2"/>
      </w:pPr>
      <w:r>
        <w:t>Condition 2(c)(B) shall apply to the Notes.</w:t>
      </w:r>
    </w:p>
    <w:p w14:paraId="1ABF248E" w14:textId="77777777" w:rsidR="00F15482" w:rsidRDefault="00F15482" w:rsidP="00F15482">
      <w:pPr>
        <w:pStyle w:val="Body2"/>
        <w:ind w:left="1417" w:hanging="708"/>
      </w:pPr>
      <w:r>
        <w:t>(A)</w:t>
      </w:r>
      <w:r>
        <w:tab/>
        <w:t>The Early Redemption Amount of the Notes (in respect of principal and interest (if applicable)) shall be determined in accordance with Condition 2(e)(2) read with this Special Condition (IV) as follows:</w:t>
      </w:r>
    </w:p>
    <w:p w14:paraId="31EA2EE8" w14:textId="1A6C33EE" w:rsidR="00F15482" w:rsidRDefault="00F15482" w:rsidP="00F15482">
      <w:pPr>
        <w:pStyle w:val="Body3"/>
        <w:ind w:left="2125" w:hanging="708"/>
      </w:pPr>
      <w:r>
        <w:t>(i)</w:t>
      </w:r>
      <w:r>
        <w:tab/>
        <w:t xml:space="preserve">In the event the Notes become due and payable pursuant to Condition 2(b)(1), the Sale Agent shall, on behalf of the Issuer sell or procure the sale or other means of realisation of the Charged Assets in accordance with the Master Charged Assets Sale Terms.  The applicable Early Redemption Amount payable in respect of each Note pursuant to Condition 2(b)(1) will be the </w:t>
      </w:r>
      <w:r>
        <w:rPr>
          <w:i/>
        </w:rPr>
        <w:t>pro rata</w:t>
      </w:r>
      <w:r w:rsidR="00997ECA">
        <w:t xml:space="preserve"> share of the Net Proceeds</w:t>
      </w:r>
      <w:r>
        <w:t>; or</w:t>
      </w:r>
    </w:p>
    <w:p w14:paraId="00165386" w14:textId="77777777" w:rsidR="00F15482" w:rsidRDefault="00F15482" w:rsidP="00F15482">
      <w:pPr>
        <w:pStyle w:val="Body3"/>
        <w:ind w:left="2125" w:hanging="708"/>
      </w:pPr>
      <w:r>
        <w:t>(ii)</w:t>
      </w:r>
      <w:r>
        <w:tab/>
        <w:t xml:space="preserve">If the Notes become due and repayable in accordance with Conditions 2(b)(2) or 2(c), </w:t>
      </w:r>
    </w:p>
    <w:p w14:paraId="738EFBF7" w14:textId="77777777" w:rsidR="00F15482" w:rsidRDefault="00F15482" w:rsidP="00F15482">
      <w:pPr>
        <w:pStyle w:val="Body3"/>
      </w:pPr>
      <w:r>
        <w:t>then the applicable Early Redemption Amount shall be determined as an amount equal to the Redemption Amount had the Early Redemption Date been the Final Maturity Payment Date.</w:t>
      </w:r>
    </w:p>
    <w:p w14:paraId="4F652D17" w14:textId="77777777" w:rsidR="00F15482" w:rsidRDefault="00F15482" w:rsidP="00F15482">
      <w:pPr>
        <w:pStyle w:val="Body3"/>
      </w:pPr>
      <w:r>
        <w:t>The Early Redemption Amount shall be payable on the Early Redemption Payment Date and shall not exceed the Net Proceeds of the Charged Assets.  In the event that such Early Redemption Amount is less than the Net Proceeds of the Charged Assets, Noteholders shall receive such lesser amount.</w:t>
      </w:r>
    </w:p>
    <w:p w14:paraId="777FA44B" w14:textId="77777777" w:rsidR="00F15482" w:rsidRDefault="00F15482" w:rsidP="00F15482">
      <w:pPr>
        <w:pStyle w:val="Body2"/>
        <w:ind w:left="1417" w:hanging="708"/>
      </w:pPr>
      <w:r>
        <w:t>(B)</w:t>
      </w:r>
      <w:r>
        <w:tab/>
        <w:t>Subject as provided in Special Condition (VII), the Early Redemption Amount will be paid on the Early Redemption Payment Date.  No interest or other amount shall accrue or be payable in respect of the Notes in respect of the period from and including the Early Redemption Date to and including the Early Redemption Payment Date.</w:t>
      </w:r>
    </w:p>
    <w:p w14:paraId="76CEC263" w14:textId="77777777" w:rsidR="00F15482" w:rsidRDefault="00F15482" w:rsidP="00F15482">
      <w:pPr>
        <w:pStyle w:val="Body2"/>
        <w:ind w:left="1417" w:hanging="708"/>
      </w:pPr>
      <w:r>
        <w:t>(C)</w:t>
      </w:r>
      <w:r>
        <w:tab/>
        <w:t>The Early Redemption Payment Date may be significantly later than the Early Redemption Date, see “</w:t>
      </w:r>
      <w:r>
        <w:rPr>
          <w:i/>
        </w:rPr>
        <w:t>Risk Factors – Payments</w:t>
      </w:r>
      <w:r>
        <w:t>”.</w:t>
      </w:r>
    </w:p>
    <w:p w14:paraId="75043471" w14:textId="77777777" w:rsidR="00F15482" w:rsidRDefault="00F15482" w:rsidP="00F15482">
      <w:pPr>
        <w:pStyle w:val="Body2"/>
        <w:ind w:left="1417" w:hanging="708"/>
      </w:pPr>
      <w:r>
        <w:t>(D)</w:t>
      </w:r>
      <w:r>
        <w:tab/>
        <w:t xml:space="preserve">For the avoidance of doubt, reference in Condition 4 and Condition 2(e) to the Early Redemption Amount payable pursuant to an Event of Default shall mean the amount payable on redemption of each Note upon its becoming due and payable as provided in Condition 4 being the lesser of (i) the outstanding principal amount of such Note and (ii) the amount available by applying the portion available to the Noteholders pursuant to Condition 3(d) of the Net Proceeds of the enforcement of the Security in accordance with Condition 3 </w:t>
      </w:r>
      <w:r>
        <w:rPr>
          <w:i/>
        </w:rPr>
        <w:t>pari passu</w:t>
      </w:r>
      <w:r>
        <w:t xml:space="preserve"> and rateably between the Notes.</w:t>
      </w:r>
    </w:p>
    <w:p w14:paraId="3D5CC338" w14:textId="77777777" w:rsidR="00F15482" w:rsidRDefault="00F15482" w:rsidP="00F15482">
      <w:pPr>
        <w:pStyle w:val="NA-LEVEL2"/>
        <w:keepNext/>
      </w:pPr>
      <w:r>
        <w:rPr>
          <w:b/>
        </w:rPr>
        <w:lastRenderedPageBreak/>
        <w:t>Calculations, determinations and notifications</w:t>
      </w:r>
    </w:p>
    <w:p w14:paraId="2ABA120A" w14:textId="77777777" w:rsidR="00F15482" w:rsidRDefault="00F15482" w:rsidP="00F15482">
      <w:pPr>
        <w:pStyle w:val="Body2"/>
      </w:pPr>
      <w:r>
        <w:t>Following receipt by the Arranger of the NAV Report from the Calculation Agent on the NAV Report Date, the Arranger will publish a summary of the NAV Report on Bloomberg and will disseminate the NAV to SIX Financial Information USA Inc. and to the Vienna Stock Exchange.</w:t>
      </w:r>
    </w:p>
    <w:p w14:paraId="3F52C32E" w14:textId="53B65883" w:rsidR="00F15482" w:rsidRDefault="00F15482" w:rsidP="00F15482">
      <w:pPr>
        <w:pStyle w:val="Body2"/>
      </w:pPr>
      <w:r>
        <w:t xml:space="preserve">The NAV Report and the summary thereof will be an estimated valuation of the assets held in the Margin Account, and shall not be interpreted as an indication of expected redemption values of the Notes.  The NAV Report and the summary thereof shall take account of any fees, </w:t>
      </w:r>
      <w:r w:rsidR="008E2B92">
        <w:t xml:space="preserve">expenses or charges that </w:t>
      </w:r>
      <w:r w:rsidR="00EB0B41">
        <w:t>apply</w:t>
      </w:r>
      <w:r>
        <w:t xml:space="preserve"> to the Notes, and is subject to amendments and / or corrections at any time without giving notice to any person.</w:t>
      </w:r>
    </w:p>
    <w:p w14:paraId="6516825E" w14:textId="77777777" w:rsidR="00F15482" w:rsidRDefault="00F15482" w:rsidP="00F15482">
      <w:pPr>
        <w:pStyle w:val="Body2"/>
      </w:pPr>
      <w:r>
        <w:t>Whenever any matter falls to be determined, considered or otherwise decided upon by the Calculation Agent or any other person (including where a matter is to be decided by reference to the Calculation Agent’s or such other person’s opinion), unless otherwise stated, that matter shall be determined, considered or otherwise decided upon by the Calculation Agent or such other person, as the case may be, in its sole and absolute discretion.  The Calculation Agent has agreed in the Constituting Instrument to comply with its obligations set out in these Conditions.</w:t>
      </w:r>
    </w:p>
    <w:p w14:paraId="2B943501" w14:textId="77777777" w:rsidR="00F15482" w:rsidRDefault="00F15482" w:rsidP="00F15482">
      <w:pPr>
        <w:pStyle w:val="Body2"/>
      </w:pPr>
      <w:r>
        <w:t>Each of the Issuer, the Portfolio Manager, the Principal Paying Agent and the Trustee shall be entitled to rely on any certification, notification, calculation or determination of the Calculation Agent given or copied to it as being true and accurate for all purposes and none of them shall be obliged to make any investigation or enquiry into any such certification, notification, calculation or determination or into the basis on which such certification, notification, calculation or determination was prepared, given or made.</w:t>
      </w:r>
    </w:p>
    <w:p w14:paraId="6FC22D92" w14:textId="77777777" w:rsidR="00F15482" w:rsidRDefault="00F15482" w:rsidP="00F15482">
      <w:pPr>
        <w:pStyle w:val="Body2"/>
      </w:pPr>
      <w:r>
        <w:t>The Calculation Agent is entitled to rely on any certification, notification, calculation, determination or announcement made by or on behalf of the Margin Account Provider in connection with the Margin Account and shall not be obliged to make any investigation or enquiry into, and shall incur no liability to any person for relying on, any such certification, notification, calculation, determination or announcement reasonably believed by it to be genuine and made by or on behalf of the Margin Account Provider.</w:t>
      </w:r>
    </w:p>
    <w:p w14:paraId="075B1B73" w14:textId="77777777" w:rsidR="00F15482" w:rsidRDefault="00F15482" w:rsidP="00F15482">
      <w:pPr>
        <w:pStyle w:val="NA-LEVEL2"/>
        <w:keepNext/>
      </w:pPr>
      <w:r>
        <w:rPr>
          <w:b/>
        </w:rPr>
        <w:t>Further Notes</w:t>
      </w:r>
    </w:p>
    <w:p w14:paraId="4D38C359" w14:textId="77777777" w:rsidR="00F15482" w:rsidRDefault="00F15482" w:rsidP="00F15482">
      <w:pPr>
        <w:pStyle w:val="Body2"/>
      </w:pPr>
      <w:r>
        <w:t>Pursuant to Condition 16 as amended and supplemented by this Special Condition (VI), the Issuer shall be at liberty to issue Further Notes with the express intention that such Further Notes be consolidated and form a single series with the Notes (and with any subsequent Further Notes so issued) provided that:</w:t>
      </w:r>
    </w:p>
    <w:p w14:paraId="15AB0C7E" w14:textId="77777777" w:rsidR="00F15482" w:rsidRDefault="00F15482" w:rsidP="00F15482">
      <w:pPr>
        <w:pStyle w:val="Body2"/>
        <w:ind w:left="1417" w:hanging="708"/>
      </w:pPr>
      <w:r>
        <w:t>(A)</w:t>
      </w:r>
      <w:r>
        <w:tab/>
        <w:t>the net proceeds of issue of such Further Notes shall be transferred to the Margin Account held with the Margin Account Provider, to be invested in such Securities as the Portfolio Manager may in its sole discretion determine, and such proceeds shall form part of the Portfolio the subject of management by the Portfolio Manager on or about the same date as the date on which the Further Notes are issued (such Securities and the Related Rights applicable thereto being the Further Charged Assets);</w:t>
      </w:r>
    </w:p>
    <w:p w14:paraId="5E0B0B79" w14:textId="77777777" w:rsidR="00F15482" w:rsidRDefault="00F15482" w:rsidP="00F15482">
      <w:pPr>
        <w:pStyle w:val="Body2"/>
        <w:ind w:left="1417" w:hanging="708"/>
      </w:pPr>
      <w:r>
        <w:t>(B)</w:t>
      </w:r>
      <w:r>
        <w:tab/>
        <w:t>each of the Further Notes that the Issuer may issue from time to time, together with the Notes, are secured collectively on the Issuer’s right, title and interest in and to the Original Charged Assets and each of the Further Charged Assets such that the Security for the Notes and any Further Notes shall be the identical and all references to “</w:t>
      </w:r>
      <w:r>
        <w:rPr>
          <w:i/>
        </w:rPr>
        <w:t>Charged Assets</w:t>
      </w:r>
      <w:r>
        <w:t xml:space="preserve">” shall be to the Original Charged Assets and the Further Charged Assets from time to time; </w:t>
      </w:r>
    </w:p>
    <w:p w14:paraId="68C408A8" w14:textId="77777777" w:rsidR="00F15482" w:rsidRDefault="00F15482" w:rsidP="00F15482">
      <w:pPr>
        <w:pStyle w:val="Body2"/>
        <w:ind w:left="1417" w:hanging="708"/>
      </w:pPr>
      <w:r>
        <w:t>(C)</w:t>
      </w:r>
      <w:r>
        <w:tab/>
        <w:t>the Conditions of each of the Further Notes are identical to the Conditions of the Notes (save in respect of their date of issue);</w:t>
      </w:r>
    </w:p>
    <w:p w14:paraId="438CFDDB" w14:textId="77777777" w:rsidR="00F15482" w:rsidRDefault="00F15482" w:rsidP="00F15482">
      <w:pPr>
        <w:pStyle w:val="Body2"/>
        <w:ind w:left="1417" w:hanging="708"/>
      </w:pPr>
      <w:r>
        <w:lastRenderedPageBreak/>
        <w:t>(D)</w:t>
      </w:r>
      <w:r>
        <w:tab/>
        <w:t>each issue of Further Notes will be constituted and secured by a supplement to the Constituting Instrument in the form substantially set out in the Constituting Instrument (or in such other form as is legally effective to constitute and secure the Further Notes) (the “</w:t>
      </w:r>
      <w:r>
        <w:rPr>
          <w:b/>
        </w:rPr>
        <w:t>Further Constituting Instrument</w:t>
      </w:r>
      <w:r>
        <w:t>”) and so that upon the execution by the Issuer of the Further Constituting Instrument, all references to the Constituting Instrument shall be construed as being to such document as supplemented from time to time; and</w:t>
      </w:r>
    </w:p>
    <w:p w14:paraId="12F398D2" w14:textId="77777777" w:rsidR="00F15482" w:rsidRDefault="00F15482" w:rsidP="00F15482">
      <w:pPr>
        <w:pStyle w:val="Body2"/>
        <w:ind w:left="1417" w:hanging="708"/>
      </w:pPr>
      <w:r>
        <w:t>(E)</w:t>
      </w:r>
      <w:r>
        <w:tab/>
        <w:t xml:space="preserve">the security interests granted by the Issuer in such Further Constituting Instrument and the Charging Instrument are granted to the Trustee for all the Noteholders of the consolidated Series on a </w:t>
      </w:r>
      <w:r>
        <w:rPr>
          <w:i/>
        </w:rPr>
        <w:t>pari passu</w:t>
      </w:r>
      <w:r>
        <w:t xml:space="preserve"> basis.</w:t>
      </w:r>
    </w:p>
    <w:p w14:paraId="263A7719" w14:textId="77777777" w:rsidR="00F15482" w:rsidRDefault="00F15482" w:rsidP="00F15482">
      <w:pPr>
        <w:pStyle w:val="NA-LEVEL2"/>
        <w:keepNext/>
      </w:pPr>
      <w:r>
        <w:rPr>
          <w:b/>
        </w:rPr>
        <w:t>Collateral Default and Arranger Default</w:t>
      </w:r>
    </w:p>
    <w:p w14:paraId="2BF7C683" w14:textId="77777777" w:rsidR="00F15482" w:rsidRDefault="00F15482" w:rsidP="00F15482">
      <w:pPr>
        <w:pStyle w:val="Body2"/>
        <w:ind w:left="1417" w:hanging="708"/>
      </w:pPr>
      <w:r>
        <w:t>(A)</w:t>
      </w:r>
      <w:r>
        <w:tab/>
        <w:t xml:space="preserve">If the Calculation Agent determines in its sole discretion that a Collateral Default or a Charged Assets Default has occurred then it shall give notice as soon as practicable thereafter to the Issuer, the Trustee, the Portfolio Manager, the Principal Paying Agent and the Noteholders (in accordance with Condition 7) of the occurrence of such event.  The Issuer shall redeem the Notes in full by payment to each Noteholder of a </w:t>
      </w:r>
      <w:r>
        <w:rPr>
          <w:i/>
        </w:rPr>
        <w:t>pro rata</w:t>
      </w:r>
      <w:r>
        <w:t xml:space="preserve"> amount of the Net Proceeds of the Charged Assets five (5) Business Days following the day on which the Issuer receives the Sale Proceeds. </w:t>
      </w:r>
    </w:p>
    <w:p w14:paraId="5B874D8E" w14:textId="77777777" w:rsidR="00F15482" w:rsidRDefault="00F15482" w:rsidP="00F15482">
      <w:pPr>
        <w:pStyle w:val="Body2"/>
        <w:ind w:left="1417" w:hanging="708"/>
      </w:pPr>
      <w:r>
        <w:t>(B)</w:t>
      </w:r>
      <w:r>
        <w:tab/>
        <w:t xml:space="preserve">If the Issuer (in its sole discretion) determines that an Arranger Default has occurred then it shall give notice as soon as practicable thereafter to the Trustee, the Portfolio Manager, the Principal Paying Agent and the Noteholders (in accordance with Condition 7) of the occurrence of such event.  The Issuer shall redeem the Notes in full by payment to each Noteholder of a </w:t>
      </w:r>
      <w:r>
        <w:rPr>
          <w:i/>
        </w:rPr>
        <w:t>pro rata</w:t>
      </w:r>
      <w:r>
        <w:t xml:space="preserve"> amount of the Net Proceeds of the Charged Assets five (5) Business Days following the day on which the Issuer receives the Sale Proceeds.</w:t>
      </w:r>
    </w:p>
    <w:p w14:paraId="70B722BD" w14:textId="77777777" w:rsidR="00F15482" w:rsidRDefault="00F15482" w:rsidP="00F15482">
      <w:pPr>
        <w:pStyle w:val="NA-LEVEL2"/>
        <w:keepNext/>
      </w:pPr>
      <w:r>
        <w:rPr>
          <w:b/>
        </w:rPr>
        <w:t>Purchase</w:t>
      </w:r>
    </w:p>
    <w:p w14:paraId="3CBCAAEA" w14:textId="77777777" w:rsidR="00F15482" w:rsidRDefault="00F15482" w:rsidP="00F15482">
      <w:pPr>
        <w:pStyle w:val="Body2"/>
      </w:pPr>
      <w:r>
        <w:t>Condition 2(g) shall apply subject as amended by this Special Condition (VIII).  In determining what proportion of Charged Assets corresponds to the proportion of Notes to be purchased, the Issuer shall be entitled to rely on advice given to it by the Calculation Agent.  The Issuer has absolute discretion to designate which Securities (or combination of Securities) or other assets held in the Margin Account to select in order to fulfil its obligations pursuant to Condition 2(g) as hereby amended.</w:t>
      </w:r>
    </w:p>
    <w:p w14:paraId="2CF5AF65" w14:textId="77777777" w:rsidR="00F15482" w:rsidRDefault="00F15482" w:rsidP="00F15482">
      <w:pPr>
        <w:pStyle w:val="NA-LEVEL2"/>
        <w:keepNext/>
      </w:pPr>
      <w:r>
        <w:rPr>
          <w:b/>
        </w:rPr>
        <w:t>The Trustee</w:t>
      </w:r>
    </w:p>
    <w:p w14:paraId="68568E1B" w14:textId="77777777" w:rsidR="00F15482" w:rsidRDefault="00F15482" w:rsidP="00F15482">
      <w:pPr>
        <w:pStyle w:val="Body2"/>
      </w:pPr>
      <w:r>
        <w:t>The Trustee shall not be responsible for, or be obliged to monitor or verify or investigate:</w:t>
      </w:r>
    </w:p>
    <w:p w14:paraId="5B968889" w14:textId="77777777" w:rsidR="00F15482" w:rsidRDefault="00F15482" w:rsidP="00F15482">
      <w:pPr>
        <w:pStyle w:val="Body2"/>
        <w:ind w:left="1417" w:hanging="708"/>
      </w:pPr>
      <w:r>
        <w:t>(A)</w:t>
      </w:r>
      <w:r>
        <w:tab/>
        <w:t>the performance, operation or calculation of the Portfolio or other element of the calculation thereof but shall be entitled to rely absolutely on any calculation thereof by the Calculation Agent;</w:t>
      </w:r>
    </w:p>
    <w:p w14:paraId="3900CABC" w14:textId="77777777" w:rsidR="00F15482" w:rsidRDefault="00F15482" w:rsidP="00F15482">
      <w:pPr>
        <w:pStyle w:val="Body2"/>
        <w:ind w:left="1417" w:hanging="708"/>
      </w:pPr>
      <w:r>
        <w:t>(B)</w:t>
      </w:r>
      <w:r>
        <w:tab/>
        <w:t>the performance, operations or financial condition of the Margin Account Provider or the terms of the Charged Assets or the calculation of amounts payable in respect thereof;</w:t>
      </w:r>
    </w:p>
    <w:p w14:paraId="6E6E5567" w14:textId="77777777" w:rsidR="00F15482" w:rsidRDefault="00F15482" w:rsidP="00F15482">
      <w:pPr>
        <w:pStyle w:val="Body2"/>
        <w:ind w:left="1417" w:hanging="708"/>
      </w:pPr>
      <w:r>
        <w:t>(C)</w:t>
      </w:r>
      <w:r>
        <w:tab/>
        <w:t>the performance by the Margin Account Provider, the Portfolio Manager or the Issuer of any of their respective obligations under the Margin Account Agreement or the Portfolio Management Agreement or any other agreement relating to, or in connection with, the Portfolio or the Margin Account and shall be entitled to assume that each of them is in compliance with the terms thereof unless and until expressly notified to the contrary in writing by the Issuer or the Calculation Agent;</w:t>
      </w:r>
    </w:p>
    <w:p w14:paraId="19CF38B9" w14:textId="77777777" w:rsidR="00F15482" w:rsidRDefault="00F15482" w:rsidP="00F15482">
      <w:pPr>
        <w:pStyle w:val="Body2"/>
        <w:ind w:left="1417" w:hanging="708"/>
      </w:pPr>
      <w:r>
        <w:t>(D)</w:t>
      </w:r>
      <w:r>
        <w:tab/>
        <w:t xml:space="preserve">whether or not any Additional Mandatory Redemption Event or other event referred to in Special Condition (IV), any Event of Default or any Collateral Default and shall be </w:t>
      </w:r>
      <w:r>
        <w:lastRenderedPageBreak/>
        <w:t>entitled to assume that no such event has occurred unless and until expressly notified to the contrary in writing by the Issuer or the Calculation Agent; or</w:t>
      </w:r>
    </w:p>
    <w:p w14:paraId="3DBFBEB0" w14:textId="77777777" w:rsidR="00F15482" w:rsidRDefault="00F15482" w:rsidP="00F15482">
      <w:pPr>
        <w:pStyle w:val="Body2"/>
        <w:ind w:left="1417" w:hanging="708"/>
      </w:pPr>
      <w:r>
        <w:t>(E)</w:t>
      </w:r>
      <w:r>
        <w:tab/>
        <w:t>save to the extent caused by its own negligence or wilful default the Trustee shall not be responsible or liable for any failure to sell, realise or redeem the Charged Assets and the Mortgaged Property or any delay in doing so nor for any loss suffered or incurred by any person as a result of the Net Proceeds, the Sale Proceeds or any other proceeds of sale, realisation or redemption of the Charged Assets or the Mortgaged Property being insufficient to discharge any Redemption Amount, Early Redemption Amount or Optional Redemption Amount in full.</w:t>
      </w:r>
    </w:p>
    <w:p w14:paraId="00034999" w14:textId="77777777" w:rsidR="00F15482" w:rsidRDefault="00F15482" w:rsidP="00F15482">
      <w:pPr>
        <w:pStyle w:val="NA-LEVEL2"/>
        <w:keepNext/>
      </w:pPr>
      <w:r>
        <w:rPr>
          <w:b/>
        </w:rPr>
        <w:t>Sale Agent</w:t>
      </w:r>
    </w:p>
    <w:p w14:paraId="192B1607" w14:textId="77777777" w:rsidR="00F15482" w:rsidRDefault="00F15482" w:rsidP="00F15482">
      <w:pPr>
        <w:pStyle w:val="Body2"/>
      </w:pPr>
      <w:r>
        <w:t>The Sale Agent shall, on behalf of the Issuer, sell or procure the sale or other means of realisation of the Charged Assets and shall be entitled to deduct any costs, expenses, taxes and duties incurred in connection with any disposal, realisation or transfer of such Charged Assets.</w:t>
      </w:r>
    </w:p>
    <w:p w14:paraId="24F8BACD" w14:textId="77777777" w:rsidR="00F15482" w:rsidRDefault="00F15482" w:rsidP="00F15482">
      <w:pPr>
        <w:pStyle w:val="Body2"/>
      </w:pPr>
      <w:r>
        <w:t>The Sale Agent may sell or procure the sale or other means of realisation of the Charged Assets in such manner and to and / or involving such person as it thinks fit and shall be entitled to sell and procure the sale or other means of realisation of the Charged Assets at such price in its sole discretion.  The Sale Agent shall not be responsible or liable for any failure to sell or realise the Charged Assets or any delay in doing so nor for any loss suffered or incurred by any person as a result of their sale or other means of realisation.</w:t>
      </w:r>
    </w:p>
    <w:p w14:paraId="75230AE4" w14:textId="77777777" w:rsidR="00F15482" w:rsidRDefault="00F15482" w:rsidP="00F15482">
      <w:pPr>
        <w:pStyle w:val="NA-LEVEL2"/>
        <w:keepNext/>
      </w:pPr>
      <w:r>
        <w:rPr>
          <w:b/>
        </w:rPr>
        <w:t xml:space="preserve">Fees </w:t>
      </w:r>
    </w:p>
    <w:p w14:paraId="5C65B6A0" w14:textId="1B820978" w:rsidR="00F15482" w:rsidRDefault="00F15482" w:rsidP="00F15482">
      <w:pPr>
        <w:pStyle w:val="Body2"/>
      </w:pPr>
      <w:r>
        <w:t xml:space="preserve">In addition to the fees due to the Trustee and any Agents, and any other transaction related fees incurred by the Issuer in respect of the issuance of the Notes, as determined by the Calculation Agent, the Issuer has agreed to pay certain fees to the Margin Account Provider, the Portfolio Manager, the Arranger and the </w:t>
      </w:r>
      <w:r w:rsidR="00086A7D">
        <w:t>Broker Dealer of Record</w:t>
      </w:r>
      <w:r>
        <w:t>.</w:t>
      </w:r>
    </w:p>
    <w:p w14:paraId="451C043F" w14:textId="77777777" w:rsidR="00F15482" w:rsidRDefault="00F15482" w:rsidP="00F15482">
      <w:pPr>
        <w:pStyle w:val="Body2"/>
      </w:pPr>
      <w:r>
        <w:t>The following fees shall be determined by the Calculation Agent as at the date expected to be two Business Days immediately prior to the following: (i) each NAV Report Date, (ii) the Final Maturity Payment Date, and (iii) any Optional Redemption Payment Date or Early Redemption Payment Date (any such date, a “</w:t>
      </w:r>
      <w:r>
        <w:rPr>
          <w:b/>
        </w:rPr>
        <w:t>Fees Determination Date</w:t>
      </w:r>
      <w:r>
        <w:t>”):</w:t>
      </w:r>
    </w:p>
    <w:p w14:paraId="5EDBC2D8" w14:textId="2999C6A4" w:rsidR="00F15482" w:rsidRDefault="00F15482" w:rsidP="00F15482">
      <w:pPr>
        <w:pStyle w:val="Body2"/>
        <w:ind w:left="1417" w:hanging="708"/>
      </w:pPr>
      <w:r>
        <w:t>(a)</w:t>
      </w:r>
      <w:r>
        <w:tab/>
        <w:t>the fees payable to the Margin Account Provider pursuant to the Margin Account Agreement determined as shall be the standard rates, fees and charges of the Margin Account Provider (based on the amount of leverage provided by the Margin Account Provider</w:t>
      </w:r>
      <w:r>
        <w:rPr>
          <w:i/>
        </w:rPr>
        <w:t xml:space="preserve"> multiplied by</w:t>
      </w:r>
      <w:r>
        <w:t xml:space="preserve"> the Margin Account Provider’s base lending rate as set out in the Margin Account Agreement and determined by the Margin Account Provider, payable on the second Business Day of each month;</w:t>
      </w:r>
    </w:p>
    <w:p w14:paraId="2FCED021" w14:textId="15132882" w:rsidR="00F15482" w:rsidRPr="003404C5" w:rsidRDefault="00F15482" w:rsidP="007A096F">
      <w:pPr>
        <w:autoSpaceDE w:val="0"/>
        <w:autoSpaceDN w:val="0"/>
        <w:adjustRightInd w:val="0"/>
        <w:ind w:left="1440" w:hanging="720"/>
        <w:jc w:val="both"/>
      </w:pPr>
      <w:r>
        <w:t>(b)</w:t>
      </w:r>
      <w:r>
        <w:tab/>
      </w:r>
      <w:r w:rsidR="00EB0B41">
        <w:t>t</w:t>
      </w:r>
      <w:r w:rsidRPr="003404C5">
        <w:t>he fees payable to the Portfolio Manager pursuant to the Portfolio Management        Agreement equal to:</w:t>
      </w:r>
    </w:p>
    <w:p w14:paraId="2C135EE7" w14:textId="77777777" w:rsidR="00F15482" w:rsidRPr="003404C5" w:rsidRDefault="00F15482" w:rsidP="007A096F">
      <w:pPr>
        <w:autoSpaceDE w:val="0"/>
        <w:autoSpaceDN w:val="0"/>
        <w:adjustRightInd w:val="0"/>
        <w:ind w:left="1440" w:hanging="720"/>
        <w:jc w:val="both"/>
        <w:rPr>
          <w:color w:val="000000"/>
          <w:lang w:val="en-US"/>
        </w:rPr>
      </w:pPr>
      <w:r w:rsidRPr="003404C5">
        <w:rPr>
          <w:color w:val="000000"/>
          <w:lang w:val="en-US"/>
        </w:rPr>
        <w:t xml:space="preserve"> </w:t>
      </w:r>
    </w:p>
    <w:p w14:paraId="0C461FD9" w14:textId="14C82D1D" w:rsidR="00F15482" w:rsidRPr="003404C5" w:rsidRDefault="003404C5" w:rsidP="007A096F">
      <w:pPr>
        <w:autoSpaceDE w:val="0"/>
        <w:autoSpaceDN w:val="0"/>
        <w:adjustRightInd w:val="0"/>
        <w:ind w:left="1440"/>
        <w:jc w:val="both"/>
        <w:rPr>
          <w:color w:val="000000"/>
          <w:lang w:val="en-US"/>
        </w:rPr>
      </w:pPr>
      <w:r w:rsidRPr="003404C5">
        <w:rPr>
          <w:color w:val="000000"/>
          <w:lang w:val="en-US"/>
        </w:rPr>
        <w:t xml:space="preserve">(i)  </w:t>
      </w:r>
      <w:r w:rsidR="008F4393">
        <w:rPr>
          <w:color w:val="000000"/>
          <w:highlight w:val="green"/>
          <w:lang w:val="en-US"/>
        </w:rPr>
        <w:t>[B50</w:t>
      </w:r>
      <w:r w:rsidR="005C77F7" w:rsidRPr="005C77F7">
        <w:rPr>
          <w:color w:val="000000"/>
          <w:highlight w:val="green"/>
          <w:lang w:val="en-US"/>
        </w:rPr>
        <w:t>]</w:t>
      </w:r>
      <w:r w:rsidR="00305686">
        <w:rPr>
          <w:color w:val="000000"/>
          <w:lang w:val="en-US"/>
        </w:rPr>
        <w:t xml:space="preserve"> </w:t>
      </w:r>
      <w:r w:rsidR="00F15482" w:rsidRPr="003404C5">
        <w:rPr>
          <w:color w:val="000000"/>
          <w:lang w:val="en-US"/>
        </w:rPr>
        <w:t>(the “</w:t>
      </w:r>
      <w:r w:rsidR="00F15482" w:rsidRPr="003404C5">
        <w:rPr>
          <w:b/>
          <w:bCs/>
          <w:color w:val="000000"/>
          <w:lang w:val="en-US"/>
        </w:rPr>
        <w:t>Management Fee</w:t>
      </w:r>
      <w:r w:rsidR="00F15482" w:rsidRPr="003404C5">
        <w:rPr>
          <w:color w:val="000000"/>
          <w:lang w:val="en-US"/>
        </w:rPr>
        <w:t xml:space="preserve">”); and </w:t>
      </w:r>
    </w:p>
    <w:p w14:paraId="79407F0D" w14:textId="77777777" w:rsidR="00F15482" w:rsidRPr="003404C5" w:rsidRDefault="00F15482" w:rsidP="00F15482">
      <w:pPr>
        <w:autoSpaceDE w:val="0"/>
        <w:autoSpaceDN w:val="0"/>
        <w:adjustRightInd w:val="0"/>
        <w:ind w:left="1440"/>
        <w:rPr>
          <w:rFonts w:ascii="Times New Roman" w:hAnsi="Times New Roman" w:cs="Times New Roman"/>
          <w:color w:val="000000"/>
          <w:sz w:val="24"/>
          <w:lang w:val="en-US"/>
        </w:rPr>
      </w:pPr>
    </w:p>
    <w:p w14:paraId="3A5710E8" w14:textId="602F8F52" w:rsidR="00F15482" w:rsidRDefault="00B121EB" w:rsidP="007A096F">
      <w:pPr>
        <w:autoSpaceDE w:val="0"/>
        <w:autoSpaceDN w:val="0"/>
        <w:adjustRightInd w:val="0"/>
        <w:ind w:left="1440"/>
        <w:jc w:val="both"/>
        <w:rPr>
          <w:color w:val="000000"/>
          <w:lang w:val="en-US"/>
        </w:rPr>
      </w:pPr>
      <w:r>
        <w:rPr>
          <w:color w:val="000000"/>
          <w:highlight w:val="green"/>
          <w:lang w:val="en-US"/>
        </w:rPr>
        <w:t>[B</w:t>
      </w:r>
      <w:r w:rsidR="008F4393">
        <w:rPr>
          <w:color w:val="000000"/>
          <w:highlight w:val="green"/>
          <w:lang w:val="en-US"/>
        </w:rPr>
        <w:t>51</w:t>
      </w:r>
      <w:r w:rsidR="005C77F7" w:rsidRPr="005C77F7">
        <w:rPr>
          <w:color w:val="000000"/>
          <w:highlight w:val="green"/>
          <w:lang w:val="en-US"/>
        </w:rPr>
        <w:t>]</w:t>
      </w:r>
    </w:p>
    <w:p w14:paraId="077B12CF" w14:textId="77777777" w:rsidR="00B00CCD" w:rsidRDefault="00B00CCD" w:rsidP="00F15482">
      <w:pPr>
        <w:autoSpaceDE w:val="0"/>
        <w:autoSpaceDN w:val="0"/>
        <w:adjustRightInd w:val="0"/>
        <w:ind w:left="1440"/>
        <w:rPr>
          <w:color w:val="000000"/>
          <w:lang w:val="en-US"/>
        </w:rPr>
      </w:pPr>
    </w:p>
    <w:p w14:paraId="4852E533" w14:textId="78F43DB8" w:rsidR="00B00CCD" w:rsidRPr="00B00CCD" w:rsidRDefault="00B00CCD" w:rsidP="007A096F">
      <w:pPr>
        <w:autoSpaceDE w:val="0"/>
        <w:autoSpaceDN w:val="0"/>
        <w:adjustRightInd w:val="0"/>
        <w:ind w:left="1440"/>
        <w:jc w:val="both"/>
        <w:rPr>
          <w:color w:val="000000"/>
          <w:lang w:val="en-US"/>
        </w:rPr>
      </w:pPr>
      <w:r w:rsidRPr="00B00CCD">
        <w:rPr>
          <w:color w:val="000000"/>
          <w:lang w:val="en-US"/>
        </w:rPr>
        <w:t>T</w:t>
      </w:r>
      <w:r w:rsidR="006328E1">
        <w:rPr>
          <w:color w:val="000000"/>
          <w:lang w:val="en-US"/>
        </w:rPr>
        <w:t>he Portfolio Manager is authorised to utilis</w:t>
      </w:r>
      <w:r w:rsidRPr="00B00CCD">
        <w:rPr>
          <w:color w:val="000000"/>
          <w:lang w:val="en-US"/>
        </w:rPr>
        <w:t>e the Management Fee in discharge of payments to third parties for services provided by such third parties to the Portfolio Manager from time to time with respect to matters identified in a fee schedule provided by the Portfolio Manager to the Calculation Agent.</w:t>
      </w:r>
    </w:p>
    <w:p w14:paraId="4826E334" w14:textId="77777777" w:rsidR="007F23B6" w:rsidRPr="007F23B6" w:rsidRDefault="007F23B6" w:rsidP="00F15482">
      <w:pPr>
        <w:autoSpaceDE w:val="0"/>
        <w:autoSpaceDN w:val="0"/>
        <w:adjustRightInd w:val="0"/>
        <w:ind w:left="709" w:firstLine="709"/>
        <w:rPr>
          <w:rFonts w:ascii="Times New Roman" w:hAnsi="Times New Roman" w:cs="Times New Roman"/>
          <w:color w:val="000000"/>
          <w:sz w:val="24"/>
        </w:rPr>
      </w:pPr>
    </w:p>
    <w:p w14:paraId="789F1A59" w14:textId="1A870146" w:rsidR="00A973AE" w:rsidRDefault="00A973AE" w:rsidP="007A096F">
      <w:pPr>
        <w:pStyle w:val="Level4"/>
        <w:numPr>
          <w:ilvl w:val="3"/>
          <w:numId w:val="15"/>
        </w:numPr>
        <w:tabs>
          <w:tab w:val="num" w:pos="1440"/>
        </w:tabs>
        <w:ind w:left="1440" w:hanging="720"/>
        <w:rPr>
          <w:lang w:val="en-US"/>
        </w:rPr>
      </w:pPr>
      <w:r w:rsidRPr="003404C5">
        <w:rPr>
          <w:lang w:val="en-US"/>
        </w:rPr>
        <w:t xml:space="preserve">fees payable to the Arranger, </w:t>
      </w:r>
      <w:r>
        <w:rPr>
          <w:highlight w:val="green"/>
          <w:lang w:val="en-US"/>
        </w:rPr>
        <w:t>[B52</w:t>
      </w:r>
      <w:r w:rsidRPr="005C77F7">
        <w:rPr>
          <w:highlight w:val="green"/>
          <w:lang w:val="en-US"/>
        </w:rPr>
        <w:t>]</w:t>
      </w:r>
      <w:r w:rsidRPr="003404C5">
        <w:rPr>
          <w:lang w:val="en-US"/>
        </w:rPr>
        <w:t xml:space="preserve"> (the “</w:t>
      </w:r>
      <w:r w:rsidRPr="003404C5">
        <w:rPr>
          <w:b/>
          <w:bCs/>
          <w:lang w:val="en-US"/>
        </w:rPr>
        <w:t>Arranger Fee</w:t>
      </w:r>
      <w:r w:rsidRPr="003404C5">
        <w:rPr>
          <w:lang w:val="en-US"/>
        </w:rPr>
        <w:t>”)</w:t>
      </w:r>
    </w:p>
    <w:p w14:paraId="7B473276" w14:textId="48B3449C" w:rsidR="00F15482" w:rsidRPr="007A096F" w:rsidRDefault="002E4B4F" w:rsidP="00CC7839">
      <w:pPr>
        <w:pStyle w:val="Body4"/>
        <w:ind w:left="1440"/>
        <w:rPr>
          <w:lang w:val="en-US"/>
        </w:rPr>
      </w:pPr>
      <w:r>
        <w:rPr>
          <w:highlight w:val="green"/>
          <w:lang w:val="en-US"/>
        </w:rPr>
        <w:t>[B54</w:t>
      </w:r>
      <w:r w:rsidR="005C77F7" w:rsidRPr="005C77F7">
        <w:rPr>
          <w:highlight w:val="green"/>
          <w:lang w:val="en-US"/>
        </w:rPr>
        <w:t>]</w:t>
      </w:r>
    </w:p>
    <w:p w14:paraId="7567CAAE" w14:textId="383CCAC2" w:rsidR="00F15482" w:rsidRDefault="00F15482" w:rsidP="00F15482">
      <w:pPr>
        <w:pStyle w:val="Body2"/>
      </w:pPr>
      <w:r>
        <w:lastRenderedPageBreak/>
        <w:t>The Issuer will incur fees in relation to the issuance of the Notes, which will be deducted</w:t>
      </w:r>
      <w:r w:rsidR="007A096F">
        <w:t xml:space="preserve"> </w:t>
      </w:r>
      <w:r>
        <w:t>from the Portfolio</w:t>
      </w:r>
      <w:r w:rsidR="007A096F">
        <w:t xml:space="preserve"> on a monthly basis and</w:t>
      </w:r>
      <w:r>
        <w:t xml:space="preserve"> when determining the Redemption Amount.  Such fees will include, but shall not be limited to:</w:t>
      </w:r>
    </w:p>
    <w:p w14:paraId="29D7721E" w14:textId="77777777" w:rsidR="00F15482" w:rsidRDefault="00F15482" w:rsidP="00F15482">
      <w:pPr>
        <w:pStyle w:val="Body2"/>
        <w:ind w:left="1417" w:hanging="708"/>
      </w:pPr>
      <w:r>
        <w:t xml:space="preserve">(A) </w:t>
      </w:r>
      <w:r>
        <w:tab/>
        <w:t>any fees, costs and expenses payable by the Issuer which are directly attributable to the Notes, including:</w:t>
      </w:r>
    </w:p>
    <w:p w14:paraId="4941BAF2" w14:textId="77777777" w:rsidR="00F15482" w:rsidRDefault="00F15482" w:rsidP="00F15482">
      <w:pPr>
        <w:pStyle w:val="Body2"/>
        <w:ind w:left="2125" w:hanging="708"/>
      </w:pPr>
      <w:r>
        <w:t>(aa)</w:t>
      </w:r>
      <w:r>
        <w:tab/>
        <w:t>costs incurred in connection with the issuance, listing, clearing of the Notes and / or the performance of obligations in relation thereto;</w:t>
      </w:r>
    </w:p>
    <w:p w14:paraId="79ADABC7" w14:textId="77777777" w:rsidR="00F15482" w:rsidRDefault="00F15482" w:rsidP="00F15482">
      <w:pPr>
        <w:pStyle w:val="Body2"/>
        <w:ind w:left="2125" w:hanging="708"/>
      </w:pPr>
      <w:r>
        <w:t>(bb)</w:t>
      </w:r>
      <w:r>
        <w:tab/>
        <w:t xml:space="preserve">any commissions, fees, costs and expenses payable by the Issuer pursuant to the Constituting Instrument and the Series Documents as defined therein; </w:t>
      </w:r>
    </w:p>
    <w:p w14:paraId="16A3F7A4" w14:textId="77777777" w:rsidR="00F15482" w:rsidRDefault="00F15482" w:rsidP="00F15482">
      <w:pPr>
        <w:pStyle w:val="Body2"/>
        <w:ind w:left="2125" w:hanging="708"/>
      </w:pPr>
      <w:r>
        <w:t>(cc)</w:t>
      </w:r>
      <w:r>
        <w:tab/>
        <w:t>any fees, costs and expenses of the administrator of the Issuer payable by the Issuer or the Arranger in respect of the Notes; and</w:t>
      </w:r>
    </w:p>
    <w:p w14:paraId="3E9E1854" w14:textId="411B4563" w:rsidR="00EB0B41" w:rsidRPr="00AF02C1" w:rsidRDefault="00EB0B41" w:rsidP="00EB0B41">
      <w:pPr>
        <w:pStyle w:val="Body2"/>
        <w:ind w:left="2125" w:hanging="708"/>
      </w:pPr>
      <w:r w:rsidRPr="00AF02C1">
        <w:t>(dd)</w:t>
      </w:r>
      <w:r w:rsidRPr="00AF02C1">
        <w:tab/>
        <w:t>any legal fees and disburs</w:t>
      </w:r>
      <w:r>
        <w:t xml:space="preserve">ements payable by the Issuer, </w:t>
      </w:r>
      <w:r w:rsidRPr="00AF02C1">
        <w:t>the Arranger</w:t>
      </w:r>
      <w:r>
        <w:t xml:space="preserve"> or the Trustee</w:t>
      </w:r>
      <w:r w:rsidRPr="00AF02C1">
        <w:t xml:space="preserve"> to Mason Hayes and Curran</w:t>
      </w:r>
      <w:r>
        <w:t>, A&amp;L Goodbody</w:t>
      </w:r>
      <w:r w:rsidRPr="00AF02C1">
        <w:t xml:space="preserve"> or any other </w:t>
      </w:r>
      <w:r>
        <w:t xml:space="preserve">legal advisers to the Issuer, </w:t>
      </w:r>
      <w:r w:rsidRPr="00AF02C1">
        <w:t>the Arranger</w:t>
      </w:r>
      <w:r>
        <w:t xml:space="preserve"> or the Trustee</w:t>
      </w:r>
      <w:r w:rsidRPr="00AF02C1">
        <w:t xml:space="preserve"> in respect of the issuance of the Notes; and </w:t>
      </w:r>
    </w:p>
    <w:p w14:paraId="2129B77F" w14:textId="52181446" w:rsidR="00F15482" w:rsidRDefault="00EB0B41" w:rsidP="00EB0B41">
      <w:pPr>
        <w:pStyle w:val="Body2"/>
        <w:ind w:left="1417" w:hanging="708"/>
      </w:pPr>
      <w:r>
        <w:t xml:space="preserve"> </w:t>
      </w:r>
      <w:r w:rsidR="00F15482">
        <w:t>(B)</w:t>
      </w:r>
      <w:r w:rsidR="00F15482">
        <w:tab/>
        <w:t>in relation to any realisation of the Charged Assets, all commissions, fees, charges and expenses (including, without limitation, any stamp duty, documentary or transfer or other taxes or duties payable in respect of the sale or other realisation of any such Charged Assets) incurred or payable by the Sale Agent in respect of such sale or other realisation, as certified by the Sale Agent to the Issuer and the Trustee.</w:t>
      </w:r>
    </w:p>
    <w:p w14:paraId="58714599" w14:textId="77777777" w:rsidR="00F15482" w:rsidRDefault="00F15482" w:rsidP="00F15482">
      <w:pPr>
        <w:pStyle w:val="Body2"/>
      </w:pPr>
      <w:r>
        <w:t xml:space="preserve">Any amounts payable under the Notes are based on the performance of the Charged Assets net of the fees described above.  The fees will be applied in calculating the value of the Portfolio and therefore will result in a reduction in value of the Notes.   </w:t>
      </w:r>
    </w:p>
    <w:p w14:paraId="32B1D060" w14:textId="25D8E0C8" w:rsidR="00751612" w:rsidRPr="00CF409C" w:rsidRDefault="00A973AE" w:rsidP="00751612">
      <w:pPr>
        <w:pStyle w:val="Body2"/>
        <w:rPr>
          <w:lang w:val="en-US"/>
        </w:rPr>
      </w:pPr>
      <w:r>
        <w:rPr>
          <w:highlight w:val="green"/>
          <w:lang w:val="en-US"/>
        </w:rPr>
        <w:t>[B56</w:t>
      </w:r>
      <w:r w:rsidR="00CF409C" w:rsidRPr="00CF409C">
        <w:rPr>
          <w:highlight w:val="green"/>
          <w:lang w:val="en-US"/>
        </w:rPr>
        <w:t>]</w:t>
      </w:r>
    </w:p>
    <w:p w14:paraId="6A93C106" w14:textId="2F53538B" w:rsidR="00751612" w:rsidRDefault="00751612" w:rsidP="00751612">
      <w:pPr>
        <w:pStyle w:val="NA-LEVEL2"/>
        <w:keepNext/>
      </w:pPr>
      <w:r>
        <w:rPr>
          <w:b/>
        </w:rPr>
        <w:t>Extended Maturity Date</w:t>
      </w:r>
    </w:p>
    <w:p w14:paraId="1082F944" w14:textId="77777777" w:rsidR="00751612" w:rsidRDefault="00751612" w:rsidP="00751612">
      <w:pPr>
        <w:pStyle w:val="Body3"/>
        <w:ind w:left="720"/>
        <w:rPr>
          <w:b/>
        </w:rPr>
      </w:pPr>
      <w:r>
        <w:rPr>
          <w:lang w:val="en-US"/>
        </w:rPr>
        <w:t xml:space="preserve">The </w:t>
      </w:r>
      <w:r w:rsidRPr="00751612">
        <w:rPr>
          <w:lang w:val="en-US"/>
        </w:rPr>
        <w:t>term of the Notes may be extended for further periods of up to ten (10) years, provided that, at the request of the Issuer, the Calculation Agent, on behalf of the Issuer, has given a notice (the “</w:t>
      </w:r>
      <w:r w:rsidRPr="00751612">
        <w:rPr>
          <w:b/>
          <w:lang w:val="en-US"/>
        </w:rPr>
        <w:t>Extension Notice</w:t>
      </w:r>
      <w:r w:rsidRPr="00751612">
        <w:rPr>
          <w:lang w:val="en-US"/>
        </w:rPr>
        <w:t>”) to the Trustee, the Principal Paying Agent and the Noteholders three (3) calendar months prior to the Scheduled Maturity Date or the anniversary thereof in each subsequent year, if applicable, stating that such extension shall take place in respect of the Notes. If no Extension Notice, or no further Extension Notices (if applicable) are delivered by the Calculation Agent, the Notes shall be redeemed on the Scheduled Maturity Date or on the date stated in the final Extension Notice (such date being the “</w:t>
      </w:r>
      <w:r w:rsidRPr="00751612">
        <w:rPr>
          <w:b/>
          <w:lang w:val="en-US"/>
        </w:rPr>
        <w:t>Extended Maturity Date</w:t>
      </w:r>
      <w:r w:rsidRPr="00751612">
        <w:rPr>
          <w:lang w:val="en-US"/>
        </w:rPr>
        <w:t>”).</w:t>
      </w:r>
      <w:r w:rsidR="00F15482">
        <w:rPr>
          <w:b/>
        </w:rPr>
        <w:br w:type="page"/>
      </w:r>
    </w:p>
    <w:p w14:paraId="46A519DE" w14:textId="77777777" w:rsidR="00751612" w:rsidRPr="00FF6EA7" w:rsidRDefault="00751612" w:rsidP="00751612">
      <w:pPr>
        <w:pStyle w:val="PROSPECTUS-LEVEL1"/>
      </w:pPr>
      <w:bookmarkStart w:id="4" w:name="_Toc409171182"/>
      <w:bookmarkStart w:id="5" w:name="_Toc387999222"/>
      <w:bookmarkStart w:id="6" w:name="_Toc438553643"/>
      <w:r w:rsidRPr="00FF6EA7">
        <w:lastRenderedPageBreak/>
        <w:t>Use of proceeds</w:t>
      </w:r>
      <w:bookmarkEnd w:id="4"/>
      <w:bookmarkEnd w:id="5"/>
      <w:bookmarkEnd w:id="6"/>
    </w:p>
    <w:p w14:paraId="53301146" w14:textId="77777777" w:rsidR="00F15482" w:rsidRDefault="00F15482" w:rsidP="00F15482">
      <w:pPr>
        <w:pStyle w:val="BodyText"/>
      </w:pPr>
      <w:r>
        <w:t>The entire net proceeds from the issue of the Notes and any Further Notes, will be invested by the Issuer in the Margin Account, subject to the management of the Portfolio Manager, to obtain the Original Charged Assets (in the case of the Notes issued on the Issue Date) and the relevant Further Charged Assets (in the case of any Further Notes) in each case on or as soon as practical following the Issue Date or, as applicable, the relevant date of issue in respect of any Further Notes.</w:t>
      </w:r>
    </w:p>
    <w:p w14:paraId="76139D38" w14:textId="77777777" w:rsidR="00F15482" w:rsidRDefault="00F15482" w:rsidP="00F15482">
      <w:pPr>
        <w:pStyle w:val="BodyText"/>
      </w:pPr>
    </w:p>
    <w:p w14:paraId="698351AC" w14:textId="77777777" w:rsidR="00F15482" w:rsidRDefault="00F15482" w:rsidP="00F15482">
      <w:pPr>
        <w:pStyle w:val="PROSPECTUS-LEVEL1"/>
      </w:pPr>
      <w:r>
        <w:rPr>
          <w:b w:val="0"/>
        </w:rPr>
        <w:br w:type="page"/>
      </w:r>
      <w:bookmarkStart w:id="7" w:name="_Toc438553644"/>
      <w:r>
        <w:lastRenderedPageBreak/>
        <w:t>Information relating to the Charged Assets</w:t>
      </w:r>
      <w:bookmarkEnd w:id="7"/>
    </w:p>
    <w:p w14:paraId="6DE115B6" w14:textId="77777777" w:rsidR="00F15482" w:rsidRDefault="00F15482" w:rsidP="00F15482">
      <w:pPr>
        <w:pStyle w:val="BodyText"/>
      </w:pPr>
      <w:r>
        <w:rPr>
          <w:b/>
        </w:rPr>
        <w:t>General</w:t>
      </w:r>
    </w:p>
    <w:p w14:paraId="6F0AEC56" w14:textId="77777777" w:rsidR="00F15482" w:rsidRDefault="00F15482" w:rsidP="00F15482">
      <w:pPr>
        <w:pStyle w:val="BodyText"/>
      </w:pPr>
      <w:r>
        <w:t>The Issuer will use the proceeds of the Notes to establish a Margin Account and, acting through the Portfolio Manager, invest in certain Securities from time-to-time.  The Portfolio Manager will be responsible for identifying or selecting Securities and investment opportunities for investment, subject to the Management Criteria.</w:t>
      </w:r>
    </w:p>
    <w:p w14:paraId="11199DCD" w14:textId="46DE343D" w:rsidR="00F15482" w:rsidRDefault="00F15482" w:rsidP="00F15482">
      <w:pPr>
        <w:pStyle w:val="BodyText"/>
      </w:pPr>
      <w:r>
        <w:t>On the Issue Date, the Original Charged Assets will consist of the interests of the Issuer in the Margin Account, the Margin Account Agreement and any Securities held in the Margin Account by the Margin Account Provider</w:t>
      </w:r>
      <w:r w:rsidR="00751612">
        <w:t>, and the Related Rights</w:t>
      </w:r>
      <w:r>
        <w:t>.</w:t>
      </w:r>
    </w:p>
    <w:p w14:paraId="1EC76D02" w14:textId="77777777" w:rsidR="00F15482" w:rsidRDefault="00F15482" w:rsidP="00F15482">
      <w:pPr>
        <w:pStyle w:val="BodyText"/>
      </w:pPr>
      <w:r>
        <w:rPr>
          <w:b/>
        </w:rPr>
        <w:t>Securities in the Portfolio</w:t>
      </w:r>
    </w:p>
    <w:p w14:paraId="63ADADA8" w14:textId="77777777" w:rsidR="00F15482" w:rsidRPr="008F4393" w:rsidRDefault="00F15482" w:rsidP="00F15482">
      <w:pPr>
        <w:pStyle w:val="BodyText"/>
      </w:pPr>
      <w:r>
        <w:t xml:space="preserve">The Portfolio Manager may invest in Securities that meet the Management Criteria.  The Management Criteria is set out in the Portfolio Management Agreement </w:t>
      </w:r>
      <w:r w:rsidRPr="008F4393">
        <w:t>as follows:</w:t>
      </w:r>
    </w:p>
    <w:p w14:paraId="18EBEE42" w14:textId="6B11C892" w:rsidR="00F15482" w:rsidRDefault="00F15482" w:rsidP="00F15482">
      <w:pPr>
        <w:pStyle w:val="BodyText"/>
        <w:rPr>
          <w:color w:val="000000"/>
        </w:rPr>
      </w:pPr>
      <w:r w:rsidRPr="008F4393">
        <w:rPr>
          <w:color w:val="000000"/>
        </w:rPr>
        <w:t xml:space="preserve">The Portfolio Manager will seek to achieve the Investment Objective through the Investment Strategy </w:t>
      </w:r>
      <w:r w:rsidR="008F4393">
        <w:rPr>
          <w:color w:val="000000"/>
        </w:rPr>
        <w:t xml:space="preserve">focused on </w:t>
      </w:r>
      <w:r w:rsidR="000173F1" w:rsidRPr="000173F1">
        <w:rPr>
          <w:color w:val="000000"/>
          <w:highlight w:val="green"/>
        </w:rPr>
        <w:t>[B64]</w:t>
      </w:r>
      <w:r w:rsidR="008F4393" w:rsidRPr="008F4393">
        <w:rPr>
          <w:color w:val="000000"/>
        </w:rPr>
        <w:t>.</w:t>
      </w:r>
      <w:r w:rsidR="008F4393">
        <w:rPr>
          <w:color w:val="000000"/>
        </w:rPr>
        <w:t xml:space="preserve"> </w:t>
      </w:r>
      <w:r w:rsidRPr="008F4393">
        <w:rPr>
          <w:color w:val="000000"/>
        </w:rPr>
        <w:t>(</w:t>
      </w:r>
      <w:r w:rsidR="008F4393" w:rsidRPr="008F4393">
        <w:rPr>
          <w:color w:val="000000"/>
        </w:rPr>
        <w:t>As</w:t>
      </w:r>
      <w:r w:rsidRPr="008F4393">
        <w:rPr>
          <w:color w:val="000000"/>
        </w:rPr>
        <w:t xml:space="preserve"> more particularly set out in the Portfolio Management Agreement).</w:t>
      </w:r>
    </w:p>
    <w:p w14:paraId="2E2026DB" w14:textId="77777777" w:rsidR="00F15482" w:rsidRDefault="00F15482" w:rsidP="00F15482">
      <w:pPr>
        <w:pStyle w:val="BodyText"/>
      </w:pPr>
      <w:r>
        <w:rPr>
          <w:b/>
        </w:rPr>
        <w:t>Portfolio Manager</w:t>
      </w:r>
    </w:p>
    <w:p w14:paraId="227F60F9" w14:textId="77777777" w:rsidR="00F15482" w:rsidRDefault="00F15482" w:rsidP="00F15482">
      <w:pPr>
        <w:pStyle w:val="BodyText"/>
      </w:pPr>
      <w:r>
        <w:t>The Securities held in the Margin Account will be managed by the Portfolio Manager.  A description of the Portfolio Manager is set out under “</w:t>
      </w:r>
      <w:r>
        <w:rPr>
          <w:i/>
        </w:rPr>
        <w:t>Information relating to the Portfolio Management Agreement</w:t>
      </w:r>
      <w:r>
        <w:t>” below.</w:t>
      </w:r>
    </w:p>
    <w:p w14:paraId="0BB7F9E4" w14:textId="77777777" w:rsidR="00F15482" w:rsidRDefault="00F15482" w:rsidP="00F15482">
      <w:pPr>
        <w:pStyle w:val="PROSPECTUS-LEVEL1"/>
      </w:pPr>
      <w:r>
        <w:rPr>
          <w:b w:val="0"/>
        </w:rPr>
        <w:br w:type="page"/>
      </w:r>
      <w:bookmarkStart w:id="8" w:name="_Toc438553645"/>
      <w:r>
        <w:lastRenderedPageBreak/>
        <w:t>Description of the Margin Account</w:t>
      </w:r>
      <w:bookmarkEnd w:id="8"/>
    </w:p>
    <w:p w14:paraId="2BFA539B" w14:textId="77777777" w:rsidR="00F15482" w:rsidRDefault="00F15482" w:rsidP="00F15482">
      <w:pPr>
        <w:pStyle w:val="BodyText"/>
        <w:keepNext/>
      </w:pPr>
      <w:r>
        <w:rPr>
          <w:b/>
        </w:rPr>
        <w:t>General</w:t>
      </w:r>
    </w:p>
    <w:p w14:paraId="3D66287E" w14:textId="545D432B" w:rsidR="00F15482" w:rsidRDefault="00F15482" w:rsidP="005C77F7">
      <w:pPr>
        <w:pStyle w:val="BodyText"/>
      </w:pPr>
      <w:r>
        <w:t xml:space="preserve">The Margin Account is established pursuant to (a) a margin account agreement entered into between the Issuer and </w:t>
      </w:r>
      <w:r w:rsidR="008F4393">
        <w:rPr>
          <w:highlight w:val="green"/>
        </w:rPr>
        <w:t>[B29</w:t>
      </w:r>
      <w:r w:rsidR="005C77F7" w:rsidRPr="005C77F7">
        <w:rPr>
          <w:highlight w:val="green"/>
        </w:rPr>
        <w:t>]</w:t>
      </w:r>
      <w:r>
        <w:t xml:space="preserve"> (the “</w:t>
      </w:r>
      <w:r>
        <w:rPr>
          <w:b/>
        </w:rPr>
        <w:t>Margin Account Provider</w:t>
      </w:r>
      <w:r>
        <w:t xml:space="preserve">) and (b) a side letter to the margin account agreement entered into between (i) the Issuer, (ii) the Trustee, (iii) the </w:t>
      </w:r>
      <w:r w:rsidR="00086A7D">
        <w:t>Broker Dealer of Record</w:t>
      </w:r>
      <w:r>
        <w:t>, (iv) the Portfolio Manager, and (v) the Margin Account Provider (the “</w:t>
      </w:r>
      <w:r>
        <w:rPr>
          <w:b/>
        </w:rPr>
        <w:t>Margin Account Agreement</w:t>
      </w:r>
      <w:r>
        <w:t>”).</w:t>
      </w:r>
    </w:p>
    <w:p w14:paraId="132C32AF" w14:textId="77777777" w:rsidR="00F15482" w:rsidRDefault="00F15482" w:rsidP="00F15482">
      <w:pPr>
        <w:pStyle w:val="BodyText"/>
        <w:keepNext/>
      </w:pPr>
      <w:r>
        <w:rPr>
          <w:b/>
        </w:rPr>
        <w:t>Margin Account</w:t>
      </w:r>
    </w:p>
    <w:p w14:paraId="21A10CF0" w14:textId="77777777" w:rsidR="00F15482" w:rsidRDefault="00F15482" w:rsidP="00F15482">
      <w:pPr>
        <w:pStyle w:val="BodyText"/>
      </w:pPr>
      <w:r>
        <w:t xml:space="preserve">Under the Margin Account Agreement, the Portfolio Manager as authorised representative of the Issuer pursuant to the Margin Account Agreement, may buy or sell securities or other products from cash held in the Margin Account or to be held in the Margin Account, as applicable.  </w:t>
      </w:r>
    </w:p>
    <w:p w14:paraId="3A7A10DB" w14:textId="77777777" w:rsidR="00F15482" w:rsidRDefault="00F15482" w:rsidP="00F15482">
      <w:pPr>
        <w:pStyle w:val="BodyText"/>
      </w:pPr>
      <w:r>
        <w:t>The Margin Account is to be used to invest in securities or other products on margin which involves the extension of credit to the Issuer from the Margin Account Provider.  As a result, the Issuer’s financial exposure could exceed the value of securities or other products in the Margin Account.  Any such credit will accrue interest at the agreed rates.</w:t>
      </w:r>
    </w:p>
    <w:p w14:paraId="77E567D7" w14:textId="77777777" w:rsidR="00F15482" w:rsidRDefault="00F15482" w:rsidP="00F15482">
      <w:pPr>
        <w:pStyle w:val="BodyText"/>
      </w:pPr>
      <w:r>
        <w:t>The Margin Account Provider may, in the event of a dispute concerning a trade, upon a Margin Account Default (as defined below), or whenever it deems it necessary or advisable for its protection, sell any or all securities or related contracts in the Margin Account, or buy any securities or related contracts relating thereto, in order to close out in whole or in part any obligations of the Issuer pursuant to the Margin Account Agreement.  The Margin Account Provider has the right to purchase for its own account any or all of the aforesaid property at such sale, discharged of any right of redemption.</w:t>
      </w:r>
    </w:p>
    <w:p w14:paraId="36CD8B7B" w14:textId="77777777" w:rsidR="00F15482" w:rsidRDefault="00F15482" w:rsidP="00F15482">
      <w:pPr>
        <w:pStyle w:val="BodyText"/>
      </w:pPr>
      <w:r>
        <w:t>A “</w:t>
      </w:r>
      <w:r>
        <w:rPr>
          <w:b/>
        </w:rPr>
        <w:t>Margin Account Default</w:t>
      </w:r>
      <w:r>
        <w:t>” refers to the Issuer being in default under the Margin Account Agreement, and would include the Issuer being in breach of its obligations pursuant to the Margin Account Agreement, the Issuer becoming insolvent or if analogous proceedings are instituted against the Issuer.</w:t>
      </w:r>
    </w:p>
    <w:p w14:paraId="066CC893" w14:textId="77777777" w:rsidR="00F15482" w:rsidRDefault="00F15482" w:rsidP="00F15482">
      <w:pPr>
        <w:pStyle w:val="BodyText"/>
      </w:pPr>
      <w:r>
        <w:t>Any credit balances, securities, assets or related contracts, and all other property in which the Issuer may have an interest and held by the Margin Account Provider or carried for the Margin Account shall be subject to a general lien for the discharge of the Issuer’s obligations to the Margin Account Provider (including unmatured and contingent obligations) and the Margin Account Provider may sell, transfer, or assign such assets or property to satisfy a margin deficiency or other obligation whether or not the Margin Account Provider has made advances with respect to such property.  Without notice to the Issuer, such property may be sold by the Margin Account Provider, and may be pledged, repledged, hypothecated, separately or in common with other securities or any other property for the sum due to the Margin Account Provider or for a greater sum, and without retaining such property in the Margin Account Provider’s possession and control, for delivery of a like amount of similar securities or other property.</w:t>
      </w:r>
    </w:p>
    <w:p w14:paraId="16576F8B" w14:textId="77777777" w:rsidR="00F15482" w:rsidRDefault="00F15482" w:rsidP="00F15482">
      <w:pPr>
        <w:pStyle w:val="BodyText"/>
      </w:pPr>
      <w:r>
        <w:t>In return for the Margin Account Provider agreeing to the extension or maintenance of credit in connection with the Margin Account, the Issuer has agreed that the securities in the Margin Account, together with all attendant rights of ownership, may be the subject of securities lending transactions, whether to the Margin Account Provider or by the Margin Account Provider to third parties.  In connection with such loans, the Margin Account Provider may receive and retain certain benefits to which the Issuer will not be entitled.  Further, there is a risk that substitute payments that the Issuer may be entitled to as a result of such securities loans may not be afforded the same tax treatment as actual interest, dividends and / or other distributions, that the Issuer may have been entitled to but for such securities loans, and the Issuer may incur additional tax liability for substitute payments that it receives.  The Issuer would not be entitled to any compensation in connection with securities lent from the Margin Account or for additional taxes they may be required to pay as a result of any tax treatment differential between substitute payments and actual interest, dividends, and / or other distributions.</w:t>
      </w:r>
    </w:p>
    <w:p w14:paraId="335EED8E" w14:textId="77777777" w:rsidR="00F15482" w:rsidRDefault="00F15482" w:rsidP="00F15482">
      <w:pPr>
        <w:pStyle w:val="BodyText"/>
      </w:pPr>
      <w:r>
        <w:t xml:space="preserve">The Issuer is required to reimburse the Margin Account Provider for all costs and expenses incurred in the collection of any debit balance or unpaid deficiency in the Margin Account, including, but not </w:t>
      </w:r>
      <w:r>
        <w:lastRenderedPageBreak/>
        <w:t>limited to, attorneys’ fees, as well as all actions, omissions, costs, fees (including but not limited to attorney’s fees), or liabilities associated with any Margin Account Default, or any transactions undertaken by the Margin Account Provider upon such Margin Account Default.</w:t>
      </w:r>
    </w:p>
    <w:p w14:paraId="5BCC340E" w14:textId="77777777" w:rsidR="00F15482" w:rsidRDefault="00F15482" w:rsidP="00F15482">
      <w:pPr>
        <w:pStyle w:val="BodyText"/>
      </w:pPr>
      <w:r>
        <w:t>Pursuant to the Margin Account Agreement, the Issuer is required to grant to the Margin Account Provider a security interest in and pledge to the Margin Account Provider any and all assets of the Issuer of any kind held by or on behalf of the Margin Account Provider for the Margin Account.  The security interests described in this paragraph is granted by the Issuer to secure the performance of obligations and liabilities to the Margin Account Provider under the Margin Account Agreement or any other agreement.</w:t>
      </w:r>
    </w:p>
    <w:p w14:paraId="43F5E443" w14:textId="77777777" w:rsidR="00F15482" w:rsidRDefault="00F15482" w:rsidP="00F15482">
      <w:pPr>
        <w:pStyle w:val="BodyText"/>
      </w:pPr>
      <w:r>
        <w:t xml:space="preserve">The Issuer’s obligations shall include any and all indebtedness, liabilities or other obligations (including unmatured and contingent obligations) now or hereafter owed by the Issuer to the Margin Account Provider. </w:t>
      </w:r>
    </w:p>
    <w:p w14:paraId="4B42BCC0" w14:textId="77777777" w:rsidR="00F15482" w:rsidRDefault="00F15482" w:rsidP="00F15482">
      <w:pPr>
        <w:pStyle w:val="BodyText"/>
      </w:pPr>
      <w:r>
        <w:t>The Margin Account Provider cannot be held liable for any losses caused directly or indirectly by government restrictions, exchange or market rulings, suspension of trading, war, strikes or other conditions beyond their control, including, but not limited to, extreme market volatility or trading volumes.</w:t>
      </w:r>
    </w:p>
    <w:p w14:paraId="5A4FE67E" w14:textId="77777777" w:rsidR="00F15482" w:rsidRDefault="00F15482" w:rsidP="00F15482">
      <w:pPr>
        <w:pStyle w:val="BodyText"/>
        <w:keepNext/>
      </w:pPr>
      <w:r>
        <w:rPr>
          <w:b/>
        </w:rPr>
        <w:t>Investment in the Margin Account</w:t>
      </w:r>
    </w:p>
    <w:p w14:paraId="464A5A52" w14:textId="77777777" w:rsidR="00F15482" w:rsidRDefault="00F15482" w:rsidP="00F15482">
      <w:pPr>
        <w:pStyle w:val="BodyText"/>
      </w:pPr>
      <w:r>
        <w:t>By investing in the Margin Account, the Issuer will purchase certain Securities and also have the ability to invest on margin.  This means that the Margin Account Provider may, in its sole discretion, allow the Issuer to obtain an exposure to Securities with an aggregate value that exceeds the amount that the Issuer has invested, by allowing the Issuer to only maintain sufficient margin in the Margin Account to fund margin calls on the relevant position in the Securities (and not the face value of the Securities themselves).  In this way, the Margin Account Provider provides the Issuer with leverage in respect of the Portfolio.</w:t>
      </w:r>
    </w:p>
    <w:p w14:paraId="2D77E0DE" w14:textId="77777777" w:rsidR="00F15482" w:rsidRDefault="00F15482" w:rsidP="00F15482">
      <w:pPr>
        <w:pStyle w:val="BodyText"/>
      </w:pPr>
      <w:r>
        <w:t>However, if the Net Asset Value of the Portfolio (and therefore the value of the underlying Securities) were to fall below a certain level, as determined by the Margin Account Provider in its sole discretion, the Issuer will receive a margin call from the Margin Account Provider.  At this time:</w:t>
      </w:r>
    </w:p>
    <w:p w14:paraId="6AFA7FC2" w14:textId="77777777" w:rsidR="00F15482" w:rsidRDefault="00F15482" w:rsidP="00942B09">
      <w:pPr>
        <w:pStyle w:val="Level4"/>
        <w:numPr>
          <w:ilvl w:val="3"/>
          <w:numId w:val="49"/>
        </w:numPr>
        <w:tabs>
          <w:tab w:val="clear" w:pos="2126"/>
          <w:tab w:val="num" w:pos="709"/>
        </w:tabs>
        <w:ind w:left="720"/>
      </w:pPr>
      <w:r>
        <w:t>the Issuer may issue Further Notes pursuant to Special Condition (VI) and to use the proceeds of such Further Notes to fund the relevant margin call;</w:t>
      </w:r>
    </w:p>
    <w:p w14:paraId="270430E3" w14:textId="77777777" w:rsidR="00F15482" w:rsidRDefault="00F15482" w:rsidP="00F15482">
      <w:pPr>
        <w:pStyle w:val="Level4"/>
        <w:numPr>
          <w:ilvl w:val="3"/>
          <w:numId w:val="15"/>
        </w:numPr>
        <w:tabs>
          <w:tab w:val="num" w:pos="709"/>
        </w:tabs>
        <w:ind w:left="709"/>
      </w:pPr>
      <w:r>
        <w:t xml:space="preserve">the Portfolio Manager may elect to meet such margin call from its own assets (and no amounts provided by the Portfolio Manager in respect of such margin calls are refundable to the Portfolio Manager by the Issuer); or </w:t>
      </w:r>
    </w:p>
    <w:p w14:paraId="66D42E3C" w14:textId="77777777" w:rsidR="00F15482" w:rsidRDefault="00F15482" w:rsidP="00F15482">
      <w:pPr>
        <w:pStyle w:val="Level4"/>
        <w:numPr>
          <w:ilvl w:val="3"/>
          <w:numId w:val="15"/>
        </w:numPr>
        <w:tabs>
          <w:tab w:val="num" w:pos="709"/>
        </w:tabs>
        <w:ind w:left="709"/>
      </w:pPr>
      <w:r>
        <w:t>the Margin Account Provider may elect to liquidate positions by selling Securities or by terminating margin investments and retain the proceeds thereof to meet such margin calls.</w:t>
      </w:r>
    </w:p>
    <w:p w14:paraId="74FE8F5B" w14:textId="77777777" w:rsidR="00F15482" w:rsidRDefault="00F15482" w:rsidP="00F15482">
      <w:pPr>
        <w:pStyle w:val="BodyText"/>
      </w:pPr>
      <w:r>
        <w:t>A liquidation of positions as set out in (c) above would not lead to an early redemption of the Notes, unless such a liquidation is a Collateral Default or a Charged Assets Default (as defined in Condition 2(b)(ii)).</w:t>
      </w:r>
    </w:p>
    <w:p w14:paraId="64CE94E9" w14:textId="61CB47DC" w:rsidR="00F15482" w:rsidRDefault="00F15482" w:rsidP="00F15482">
      <w:pPr>
        <w:pStyle w:val="BodyText"/>
      </w:pPr>
      <w:r>
        <w:t xml:space="preserve">While the leverage described above presents opportunities for increasing total return, it has the effect of potentially increasing losses as well subject to limited recourse and non-petition provisions contained in a side letter to the Margin Account Agreement from the Margin Account Provider to the Issuer, Trustee, Portfolio Manager and </w:t>
      </w:r>
      <w:r w:rsidR="00086A7D">
        <w:t>Broker Dealer of Record</w:t>
      </w:r>
      <w:r>
        <w:t xml:space="preserve"> for the benefit of the Issuer. That is, where the income and appreciation on the Portfolio are less than the cost of the leverage (margin), the value of the Portfolio and the Margin Account (and therefore the redemption value of the Notes) will decrease.  Accordingly, any event which adversely affects the value of the Portfolio would be magnified to the extent leverage is employed.</w:t>
      </w:r>
    </w:p>
    <w:p w14:paraId="64339C6A" w14:textId="77777777" w:rsidR="00F15482" w:rsidRDefault="00F15482" w:rsidP="00F15482">
      <w:pPr>
        <w:pStyle w:val="BodyText"/>
      </w:pPr>
      <w:r>
        <w:t>Therefore, an investor in the Notes should note the following:</w:t>
      </w:r>
    </w:p>
    <w:p w14:paraId="2B046C52" w14:textId="77777777" w:rsidR="00F15482" w:rsidRDefault="00F15482" w:rsidP="00F15482">
      <w:pPr>
        <w:pStyle w:val="Level5"/>
        <w:numPr>
          <w:ilvl w:val="4"/>
          <w:numId w:val="15"/>
        </w:numPr>
        <w:tabs>
          <w:tab w:val="num" w:pos="709"/>
        </w:tabs>
        <w:ind w:left="709"/>
      </w:pPr>
      <w:r>
        <w:lastRenderedPageBreak/>
        <w:t>The cumulative effect of the use of leverage in a market that moves adversely to a leveraged investment could result in a substantial loss which would be greater than if leverage was not used;</w:t>
      </w:r>
    </w:p>
    <w:p w14:paraId="63BC4926" w14:textId="77777777" w:rsidR="00F15482" w:rsidRDefault="00F15482" w:rsidP="00F15482">
      <w:pPr>
        <w:pStyle w:val="Level5"/>
        <w:numPr>
          <w:ilvl w:val="4"/>
          <w:numId w:val="15"/>
        </w:numPr>
        <w:tabs>
          <w:tab w:val="num" w:pos="709"/>
        </w:tabs>
        <w:ind w:left="709"/>
      </w:pPr>
      <w:r>
        <w:t>Leveraged transactions involve the posting of margin.  Increases in the amount of margin or similar payments could result in the need for trading activity at times and at prices which could be disadvantageous to the Portfolio;</w:t>
      </w:r>
    </w:p>
    <w:p w14:paraId="494F1BF5" w14:textId="77777777" w:rsidR="00F15482" w:rsidRDefault="00F15482" w:rsidP="00F15482">
      <w:pPr>
        <w:pStyle w:val="Level5"/>
        <w:numPr>
          <w:ilvl w:val="4"/>
          <w:numId w:val="15"/>
        </w:numPr>
        <w:tabs>
          <w:tab w:val="num" w:pos="709"/>
        </w:tabs>
        <w:ind w:left="709"/>
      </w:pPr>
      <w:r>
        <w:t>Some of the investment strategies employed by the Portfolio Manager may require the use of considerable leverage, there can be no assurance that margin will always be available.  The terms upon which the Margin Account Provider is willing to provide credit may be subject to change; and</w:t>
      </w:r>
    </w:p>
    <w:p w14:paraId="7AF06815" w14:textId="77777777" w:rsidR="00F15482" w:rsidRDefault="00F15482" w:rsidP="00F15482">
      <w:pPr>
        <w:pStyle w:val="Level5"/>
        <w:numPr>
          <w:ilvl w:val="4"/>
          <w:numId w:val="15"/>
        </w:numPr>
        <w:tabs>
          <w:tab w:val="num" w:pos="709"/>
        </w:tabs>
        <w:ind w:left="709"/>
      </w:pPr>
      <w:r>
        <w:t>As a consequence of leverage, interest expense may be material as a percentage of the Portfolio.  The use of leverage means that even comparatively small losses, or insufficient profits to offset expenses, could rapidly reduce the Net Asset Value of the Portfolio.</w:t>
      </w:r>
    </w:p>
    <w:p w14:paraId="73D5E4E9" w14:textId="77777777" w:rsidR="00F15482" w:rsidRDefault="00F15482" w:rsidP="00F15482">
      <w:pPr>
        <w:pStyle w:val="BodyText"/>
        <w:keepNext/>
      </w:pPr>
      <w:r>
        <w:rPr>
          <w:b/>
        </w:rPr>
        <w:t xml:space="preserve">Margin Account Provider </w:t>
      </w:r>
    </w:p>
    <w:p w14:paraId="6FBBC570" w14:textId="3B6A7D2F" w:rsidR="00F15482" w:rsidRDefault="008F4393" w:rsidP="00F15482">
      <w:pPr>
        <w:pStyle w:val="BodyText"/>
      </w:pPr>
      <w:r>
        <w:rPr>
          <w:highlight w:val="green"/>
        </w:rPr>
        <w:t>[B40</w:t>
      </w:r>
      <w:r w:rsidR="005C77F7">
        <w:rPr>
          <w:highlight w:val="green"/>
        </w:rPr>
        <w:t>]</w:t>
      </w:r>
    </w:p>
    <w:p w14:paraId="11925134" w14:textId="4014A842" w:rsidR="00F15482" w:rsidRDefault="00F15482" w:rsidP="00F15482">
      <w:pPr>
        <w:pStyle w:val="BodyText"/>
      </w:pPr>
      <w:r>
        <w:t>Any holder of the Notes will have claims against the Issuer only</w:t>
      </w:r>
      <w:r w:rsidR="000B3274">
        <w:t>, and shall not have any rights</w:t>
      </w:r>
      <w:r>
        <w:t xml:space="preserve"> directly against the Margin Account Provider.</w:t>
      </w:r>
    </w:p>
    <w:p w14:paraId="3541E094" w14:textId="77777777" w:rsidR="00F15482" w:rsidRDefault="00F15482" w:rsidP="00F15482">
      <w:pPr>
        <w:pStyle w:val="BodyText"/>
      </w:pPr>
      <w:r>
        <w:rPr>
          <w:b/>
        </w:rPr>
        <w:t>Fees</w:t>
      </w:r>
    </w:p>
    <w:p w14:paraId="3B515972" w14:textId="77777777" w:rsidR="00F15482" w:rsidRDefault="00F15482" w:rsidP="00F15482">
      <w:pPr>
        <w:pStyle w:val="BodyText"/>
      </w:pPr>
      <w:r>
        <w:t>The fees payable to the Margin Account Provider are described in Special Condition (XI) of the Notes.</w:t>
      </w:r>
    </w:p>
    <w:p w14:paraId="3AE12F6C" w14:textId="77777777" w:rsidR="00F15482" w:rsidRDefault="00F15482" w:rsidP="00F15482">
      <w:pPr>
        <w:pStyle w:val="PROSPECTUS-LEVEL1"/>
      </w:pPr>
      <w:r>
        <w:rPr>
          <w:b w:val="0"/>
        </w:rPr>
        <w:br w:type="page"/>
      </w:r>
      <w:bookmarkStart w:id="9" w:name="_Toc438553646"/>
      <w:r>
        <w:lastRenderedPageBreak/>
        <w:t>Description of the security arrangements in respect of the Notes</w:t>
      </w:r>
      <w:bookmarkEnd w:id="9"/>
    </w:p>
    <w:p w14:paraId="6BE5273C" w14:textId="77777777" w:rsidR="00F15482" w:rsidRDefault="00F15482" w:rsidP="00F15482">
      <w:pPr>
        <w:pStyle w:val="BodyText"/>
        <w:keepNext/>
        <w:rPr>
          <w:b/>
        </w:rPr>
      </w:pPr>
      <w:r>
        <w:rPr>
          <w:b/>
        </w:rPr>
        <w:t>Introduction</w:t>
      </w:r>
    </w:p>
    <w:p w14:paraId="511F234E" w14:textId="77777777" w:rsidR="00F15482" w:rsidRDefault="00F15482" w:rsidP="00F15482">
      <w:pPr>
        <w:pStyle w:val="BodyText"/>
      </w:pPr>
      <w:r>
        <w:t>The Notes will be secured, limited recourse obligations of the Issuer.  The purpose of this section is to provide further information in respect of these important features of the Notes, which are included in the Conditions.  However, the following description is a summary only of certain aspects of the security arrangements and is subject in all respects to the terms of the Trust Deed and the Conditions of the Notes, of which Noteholders are deemed to have notice and by which they are bound.</w:t>
      </w:r>
    </w:p>
    <w:p w14:paraId="329A4094" w14:textId="77777777" w:rsidR="00F15482" w:rsidRDefault="00F15482" w:rsidP="00F15482">
      <w:pPr>
        <w:pStyle w:val="BodyText"/>
      </w:pPr>
      <w:r>
        <w:t>The Issuer will, pursuant to the provisions of the Trust Deed, grant the Security described below to the Trustee as continuing security for the payment of all sums due under the Trust Deed and the Notes.  The Trustee shall hold such Security on behalf of itself, the Agents and the Noteholders.</w:t>
      </w:r>
    </w:p>
    <w:p w14:paraId="62AC2E0D" w14:textId="77777777" w:rsidR="00F15482" w:rsidRDefault="00F15482" w:rsidP="00F15482">
      <w:pPr>
        <w:pStyle w:val="BodyText"/>
        <w:keepNext/>
      </w:pPr>
      <w:r>
        <w:rPr>
          <w:b/>
        </w:rPr>
        <w:t>Margin Account Agreement</w:t>
      </w:r>
    </w:p>
    <w:p w14:paraId="026FA316" w14:textId="77777777" w:rsidR="00F15482" w:rsidRDefault="00F15482" w:rsidP="00F15482">
      <w:pPr>
        <w:pStyle w:val="BodyText"/>
      </w:pPr>
      <w:r>
        <w:t>The Security is subject to (i) a lien retained by the Margin Account Provider; and (ii) the security interests created pursuant to the Margin Account Agreement over the assets held in the Margin Account, that supersede any security interests created by either the Trust Deed or the Charging Instrument.</w:t>
      </w:r>
    </w:p>
    <w:p w14:paraId="0FD027DC" w14:textId="77777777" w:rsidR="00F15482" w:rsidRDefault="00F15482" w:rsidP="00F15482">
      <w:pPr>
        <w:pStyle w:val="BodyText"/>
        <w:keepNext/>
        <w:rPr>
          <w:b/>
        </w:rPr>
      </w:pPr>
      <w:r>
        <w:rPr>
          <w:b/>
        </w:rPr>
        <w:t>Security arrangements</w:t>
      </w:r>
    </w:p>
    <w:p w14:paraId="3F95E47D" w14:textId="77777777" w:rsidR="00F15482" w:rsidRDefault="00F15482" w:rsidP="00F15482">
      <w:pPr>
        <w:pStyle w:val="BodyText"/>
      </w:pPr>
      <w:r>
        <w:t>The Notes will be secured by a charge over the Margin Account and any Securities held in respect of the Margin Account from time-to-time and the Related Rights obtained with the entire net proceeds of the issue of the Notes and all rights of the Issuer derived from or connected to the shares and all rights and sums derived therefrom in favour of the Trustee for itself and as trustee for the Secured Parties (which includes the Noteholders).</w:t>
      </w:r>
    </w:p>
    <w:p w14:paraId="746B576A" w14:textId="77777777" w:rsidR="00F15482" w:rsidRDefault="00F15482" w:rsidP="00F15482">
      <w:pPr>
        <w:pStyle w:val="BodyText"/>
      </w:pPr>
      <w:r>
        <w:t>Under the Trust Deed, as amended by the terms of the Constituting Instrument, the Issuer, in favour of the Trustee for itself and as trustee for the Secured Parties, and as continuing Security, will:</w:t>
      </w:r>
    </w:p>
    <w:p w14:paraId="55056CB3" w14:textId="1D285306" w:rsidR="00F15482" w:rsidRDefault="00F15482" w:rsidP="00F15482">
      <w:pPr>
        <w:pStyle w:val="Level2"/>
        <w:tabs>
          <w:tab w:val="left" w:pos="720"/>
        </w:tabs>
        <w:ind w:left="0" w:firstLine="0"/>
      </w:pPr>
      <w:r>
        <w:t xml:space="preserve">(A) charge by way of fixed charge and assign by way of fixed security assignment in favour of the Trustee for itself and as trustee for the Secured Parties all of the Issuer's rights against the </w:t>
      </w:r>
      <w:r w:rsidR="00086A7D">
        <w:t>Broker Dealer of Record</w:t>
      </w:r>
      <w:r>
        <w:t xml:space="preserve"> with respect to (a) the Charged Assets under the Custody Agreement and (b) any moneys and/or assets received under the Custody Agreement or in respect of such Charged Assets (including, for the avoidance of doubt, any sums standing to the credit of the Deposit Account, pursuant to sub-clau</w:t>
      </w:r>
      <w:r w:rsidR="00BE7766">
        <w:t>se 7.6 of the Trust Deed</w:t>
      </w:r>
      <w:r>
        <w:t>);</w:t>
      </w:r>
    </w:p>
    <w:p w14:paraId="4C27FE25" w14:textId="77777777" w:rsidR="00F15482" w:rsidRDefault="00F15482" w:rsidP="00F15482">
      <w:pPr>
        <w:pStyle w:val="Bezriadkovania"/>
      </w:pPr>
      <w:r>
        <w:t>(B) charge by way of fixed charge and assign by way of fixed security assignment in favour of the Trustee for itself and as trustee for the Secured Parties all funds and any other assets now or thereafter standing to the credit of the account of the Principal Paying Agent or, as the case may be, the Registrar in respect of the Notes, the Receipts and the Coupons (if any) and the debts represented by such moneys;</w:t>
      </w:r>
    </w:p>
    <w:p w14:paraId="354DB998" w14:textId="77777777" w:rsidR="00F15482" w:rsidRDefault="00F15482" w:rsidP="00F15482">
      <w:pPr>
        <w:pStyle w:val="Bezriadkovania"/>
      </w:pPr>
    </w:p>
    <w:p w14:paraId="01D5C222" w14:textId="77777777" w:rsidR="00F15482" w:rsidRDefault="00F15482" w:rsidP="00F15482">
      <w:pPr>
        <w:pStyle w:val="Bezriadkovania"/>
        <w:rPr>
          <w:szCs w:val="20"/>
        </w:rPr>
      </w:pPr>
      <w:r>
        <w:rPr>
          <w:szCs w:val="20"/>
        </w:rPr>
        <w:t>(C) assign by way of fixed security assignment in favour of the Trustee for itself and as trustee for the Secured Parties all of the Issuer's rights, title, benefit and interest in, to and under the Agency Agreement and the Placing Agreement and all sums and any other assets derived therefrom;</w:t>
      </w:r>
    </w:p>
    <w:p w14:paraId="00853187" w14:textId="77777777" w:rsidR="00F15482" w:rsidRDefault="00F15482" w:rsidP="00F15482">
      <w:pPr>
        <w:pStyle w:val="Bezriadkovania"/>
        <w:rPr>
          <w:szCs w:val="20"/>
        </w:rPr>
      </w:pPr>
    </w:p>
    <w:p w14:paraId="10C9AABE" w14:textId="2FB8BFC8" w:rsidR="00F15482" w:rsidRDefault="00F15482" w:rsidP="00F15482">
      <w:pPr>
        <w:pStyle w:val="Bezriadkovania"/>
        <w:rPr>
          <w:szCs w:val="20"/>
        </w:rPr>
      </w:pPr>
      <w:r>
        <w:rPr>
          <w:szCs w:val="20"/>
        </w:rPr>
        <w:t>(D) charge by way of fixed security charge and assign by way of fixed security assignment in favour of the Trustee for itself and as trustee for the Secured Parties all of the Issuer's rights, title, benefit and interest in, to and under the Margin Account Agreement and any sums and any oth</w:t>
      </w:r>
      <w:r w:rsidR="00BE7766">
        <w:rPr>
          <w:szCs w:val="20"/>
        </w:rPr>
        <w:t>er assets derived therefrom;</w:t>
      </w:r>
    </w:p>
    <w:p w14:paraId="23A7E2F5" w14:textId="77777777" w:rsidR="00F15482" w:rsidRDefault="00F15482" w:rsidP="00F15482">
      <w:pPr>
        <w:pStyle w:val="Bezriadkovania"/>
        <w:rPr>
          <w:szCs w:val="20"/>
        </w:rPr>
      </w:pPr>
    </w:p>
    <w:p w14:paraId="7ABA9099" w14:textId="77777777" w:rsidR="00F15482" w:rsidRDefault="00F15482" w:rsidP="00F15482">
      <w:pPr>
        <w:pStyle w:val="Bezriadkovania"/>
        <w:rPr>
          <w:szCs w:val="20"/>
        </w:rPr>
      </w:pPr>
      <w:r>
        <w:rPr>
          <w:szCs w:val="20"/>
        </w:rPr>
        <w:t>(E) assign by way of fixed security assignment in favour of the Trustee for itself and as trustee for the Secured Parties (other than the Portfolio Manager) all of the Issuer's rights, title, benefit and interest in, to and under the Portfolio Management Agreement and all sums derived therefrom.</w:t>
      </w:r>
    </w:p>
    <w:p w14:paraId="624A2774" w14:textId="77777777" w:rsidR="00F15482" w:rsidRDefault="00F15482" w:rsidP="00F15482">
      <w:pPr>
        <w:pStyle w:val="Bezriadkovania"/>
        <w:rPr>
          <w:szCs w:val="20"/>
        </w:rPr>
      </w:pPr>
    </w:p>
    <w:p w14:paraId="01640E8B" w14:textId="77777777" w:rsidR="00BE7766" w:rsidRPr="00BE7766" w:rsidRDefault="00BE7766" w:rsidP="00BE7766">
      <w:pPr>
        <w:pStyle w:val="Bezriadkovania"/>
        <w:rPr>
          <w:szCs w:val="20"/>
        </w:rPr>
      </w:pPr>
      <w:r w:rsidRPr="00BE7766">
        <w:rPr>
          <w:szCs w:val="20"/>
        </w:rPr>
        <w:lastRenderedPageBreak/>
        <w:t>(F) assign by way of fixed security assignment in favour of the Trustee for itself and as trustee for the Secured Parties all of the Issuer’s rights, title, benefit and interest in, to and under the Portfolio Administration Agreement and all sums derived therefrom; and</w:t>
      </w:r>
    </w:p>
    <w:p w14:paraId="768EAD08" w14:textId="77777777" w:rsidR="00BE7766" w:rsidRPr="00BE7766" w:rsidRDefault="00BE7766" w:rsidP="00BE7766">
      <w:pPr>
        <w:pStyle w:val="Bezriadkovania"/>
        <w:rPr>
          <w:szCs w:val="20"/>
        </w:rPr>
      </w:pPr>
    </w:p>
    <w:p w14:paraId="51D8804E" w14:textId="5A90F122" w:rsidR="00F15482" w:rsidRPr="00BE7766" w:rsidRDefault="00BE7766" w:rsidP="00BE7766">
      <w:pPr>
        <w:pStyle w:val="Bezriadkovania"/>
        <w:rPr>
          <w:szCs w:val="20"/>
        </w:rPr>
      </w:pPr>
      <w:r w:rsidRPr="00BE7766">
        <w:rPr>
          <w:szCs w:val="20"/>
        </w:rPr>
        <w:t>(G) if so specified in the Constituting Instrument, charge by way of fixed security charge and assign by way of fixed security assignment in favour of the Trustee for itself and as trustee for the Secured Parties all of the Issuer’s rights, title, benefit and interest in, to and under the Securities Lending Agreement and any sums and any other assets derived therefrom.</w:t>
      </w:r>
    </w:p>
    <w:p w14:paraId="00DFD895" w14:textId="77777777" w:rsidR="00BE7766" w:rsidRDefault="00BE7766" w:rsidP="00F15482">
      <w:pPr>
        <w:pStyle w:val="Bezriadkovania"/>
        <w:rPr>
          <w:b/>
          <w:szCs w:val="20"/>
        </w:rPr>
      </w:pPr>
    </w:p>
    <w:p w14:paraId="79BF1124" w14:textId="77777777" w:rsidR="00F15482" w:rsidRDefault="00F15482" w:rsidP="00F15482">
      <w:pPr>
        <w:pStyle w:val="BodyText"/>
        <w:keepNext/>
        <w:rPr>
          <w:b/>
        </w:rPr>
      </w:pPr>
      <w:r>
        <w:rPr>
          <w:b/>
        </w:rPr>
        <w:t>Charging Instrument</w:t>
      </w:r>
    </w:p>
    <w:p w14:paraId="320185FE" w14:textId="77777777" w:rsidR="00F15482" w:rsidRDefault="00F15482" w:rsidP="00F15482">
      <w:pPr>
        <w:pStyle w:val="BodyText"/>
      </w:pPr>
      <w:r>
        <w:t>Pursuant to the Charging Instrument the Issuer will grant a New York law governed security interest over the Margin Account and any Securities held in respect of the Margin Account from time-to-time and the Related Rights obtained with the entire net proceeds of the issue of the Notes and all rights of the Issuer derived from or connected to the Charged Assets as security in favour of the Trustee for itself and as trustee for the Secured Parties.</w:t>
      </w:r>
    </w:p>
    <w:p w14:paraId="7F7E3B1C" w14:textId="77777777" w:rsidR="00F15482" w:rsidRDefault="00F15482" w:rsidP="00F15482">
      <w:pPr>
        <w:pStyle w:val="BodyText"/>
        <w:keepNext/>
        <w:rPr>
          <w:b/>
        </w:rPr>
      </w:pPr>
      <w:r>
        <w:rPr>
          <w:b/>
        </w:rPr>
        <w:t>Enforcement of the Mortgaged Property</w:t>
      </w:r>
    </w:p>
    <w:p w14:paraId="28AE9935" w14:textId="1AC5448B" w:rsidR="00F15482" w:rsidRDefault="00F15482" w:rsidP="00F15482">
      <w:pPr>
        <w:pStyle w:val="BodyText"/>
      </w:pPr>
      <w:r>
        <w:t>The Mortgaged Property may become enforceable if the Notes or any of them have beco</w:t>
      </w:r>
      <w:r w:rsidR="001920FF">
        <w:t xml:space="preserve">me due and repayable </w:t>
      </w:r>
      <w:r>
        <w:t>(for example, due to acceleration following the occurrence of a Tax Event, Mandatory Redemption Event, Additional Mandatory Redemption Event or an Event of Default) and have not been repaid.</w:t>
      </w:r>
    </w:p>
    <w:p w14:paraId="4D385FA5" w14:textId="1CE33E13" w:rsidR="00F15482" w:rsidRDefault="00F15482" w:rsidP="00F15482">
      <w:pPr>
        <w:pStyle w:val="BodyText"/>
      </w:pPr>
      <w:r>
        <w:t>In such circumstances the Trustee may at its discretion</w:t>
      </w:r>
      <w:r w:rsidR="001920FF">
        <w:t>, and upon being indemnified, secured and/or prefunded to its satisfaction</w:t>
      </w:r>
      <w:r>
        <w:t xml:space="preserve"> and shall if so requested or directed by the relevant parties (as more fully described in Condition 7), realise the Charged Assets.  In realising the Charged Assets the Trustee may, but shall not be obliged to, procure the sale of the Charged Assets or may request the redemption of the Charged Assets.</w:t>
      </w:r>
    </w:p>
    <w:p w14:paraId="06BA0B2C" w14:textId="77777777" w:rsidR="00F15482" w:rsidRDefault="00F15482" w:rsidP="00F15482">
      <w:pPr>
        <w:pStyle w:val="BodyText"/>
        <w:keepNext/>
        <w:rPr>
          <w:b/>
        </w:rPr>
      </w:pPr>
      <w:r>
        <w:rPr>
          <w:b/>
        </w:rPr>
        <w:t>Priority of claims and potential for insufficient security on sale of Charged Assets and / or on enforcement</w:t>
      </w:r>
    </w:p>
    <w:p w14:paraId="2A4B3C60" w14:textId="5F103489" w:rsidR="00F15482" w:rsidRDefault="00F15482" w:rsidP="00F15482">
      <w:pPr>
        <w:pStyle w:val="BodyText"/>
      </w:pPr>
      <w:r>
        <w:t>In the event that any Charged Assets are required to be sold pursuant to the Conditions or the Security constituted by the Trust Deed</w:t>
      </w:r>
      <w:r w:rsidR="00751612">
        <w:t>,</w:t>
      </w:r>
      <w:r w:rsidR="0057040E">
        <w:t xml:space="preserve"> the Constituting Instrument</w:t>
      </w:r>
      <w:r>
        <w:t xml:space="preserve"> and the Charging Instrument becomes enforceable in accordance with the Conditions, the net sums realised could be insufficient to pay all the amounts due to the Noteholders under the Notes.  The sums realised from any such sale of the Charged Assets will be subject to deduction of the costs and expenses associated with such sale.  In addition, all costs and expenses incurred by the Trustee in enforcing the Security (including any costs of a receiver or similar official) and amounts due to the Agents will be deducted from the proceeds of such enforcement before such proceeds are paid to the Noteholders.  After taking action to enforce the Security as provided in the Conditions, the Trustee shall not be entitled to take any further steps against the Issuer to recover any sum still unpaid and no debt shall be owed by the Issuer in respect of such sum.  In particular, no Agent or Noteholder may petition or take any other step for the winding-up of the Issuer nor shall any of them have any claim in respect of any sum over or in respect of any assets of the Issuer which are security for any other liability of the Issuer.</w:t>
      </w:r>
    </w:p>
    <w:p w14:paraId="2357FADB" w14:textId="77777777" w:rsidR="00F15482" w:rsidRDefault="00F15482" w:rsidP="00F15482">
      <w:pPr>
        <w:pStyle w:val="BodyText"/>
        <w:keepNext/>
        <w:rPr>
          <w:b/>
        </w:rPr>
      </w:pPr>
      <w:r>
        <w:rPr>
          <w:b/>
        </w:rPr>
        <w:t>Limited recourse provisions</w:t>
      </w:r>
    </w:p>
    <w:p w14:paraId="013F5E15" w14:textId="77777777" w:rsidR="00F15482" w:rsidRDefault="00F15482" w:rsidP="00F15482">
      <w:pPr>
        <w:pStyle w:val="BodyText"/>
      </w:pPr>
      <w:r>
        <w:t xml:space="preserve">The Trustee, the Agents and the Noteholders (in each case to the extent that their claims are secured) shall have recourse only to the Mortgaged Property.  If, the Trustee having realised the Mortgaged Property, the proceeds thereof are insufficient for the Issuer to make all payments then due to all such parties, the obligations of the Issuer will be limited to such proceeds of realisation of the Mortgaged Property and no other assets of the Issuer will be available to meet such shortfall; the Trustee, the Agents, the Noteholders or anyone acting on behalf of any of them shall not be entitled to take any further steps against the Issuer to recover any further sum and no debt shall be owed to any such persons by the Issuer.  The Trustee (including any costs of a receiver or similar official) and the Agents shall rank prior to the Noteholders in the application of all moneys received in connection with the realisation or enforcement of the Security.  In particular, none of the Trustee and the Agents or any holder of the Notes may petition or take any other step for the winding-up of the Issuer, and none of </w:t>
      </w:r>
      <w:r>
        <w:lastRenderedPageBreak/>
        <w:t>them shall have any claim in respect of any sum arising in respect of the Mortgaged Property for any other Series.</w:t>
      </w:r>
    </w:p>
    <w:p w14:paraId="7708F9C8" w14:textId="77777777" w:rsidR="00F15482" w:rsidRPr="00E42728" w:rsidRDefault="00F15482" w:rsidP="00F15482">
      <w:pPr>
        <w:pStyle w:val="PROSPECTUS-LEVEL1"/>
      </w:pPr>
      <w:r>
        <w:rPr>
          <w:b w:val="0"/>
        </w:rPr>
        <w:br w:type="page"/>
      </w:r>
      <w:bookmarkStart w:id="10" w:name="_Toc438553647"/>
      <w:r w:rsidRPr="00E42728">
        <w:lastRenderedPageBreak/>
        <w:t>Information relating to the Portfolio Management Agreement</w:t>
      </w:r>
      <w:bookmarkEnd w:id="10"/>
    </w:p>
    <w:p w14:paraId="2E6369AA" w14:textId="77777777" w:rsidR="00F15482" w:rsidRPr="00E42728" w:rsidRDefault="00F15482" w:rsidP="00F15482">
      <w:pPr>
        <w:pStyle w:val="BodyText"/>
        <w:keepNext/>
      </w:pPr>
      <w:r w:rsidRPr="00E42728">
        <w:rPr>
          <w:b/>
        </w:rPr>
        <w:t>Portfolio Management Agreement</w:t>
      </w:r>
    </w:p>
    <w:p w14:paraId="36D9754D" w14:textId="77777777" w:rsidR="00F15482" w:rsidRPr="00E42728" w:rsidRDefault="00F15482" w:rsidP="00F15482">
      <w:pPr>
        <w:pStyle w:val="BodyText"/>
      </w:pPr>
      <w:r w:rsidRPr="00E42728">
        <w:t xml:space="preserve">The Portfolio Management Agreement sets out the terms and condition of the appointment of the Portfolio Manager.  </w:t>
      </w:r>
    </w:p>
    <w:p w14:paraId="4F75DCF2" w14:textId="3321465F" w:rsidR="00F15482" w:rsidRPr="00E42728" w:rsidRDefault="00751612" w:rsidP="005C77F7">
      <w:pPr>
        <w:pStyle w:val="BodyText"/>
      </w:pPr>
      <w:r>
        <w:t xml:space="preserve">The Portfolio Manager, </w:t>
      </w:r>
      <w:r w:rsidR="00F15482" w:rsidRPr="00E42728">
        <w:t>in accordance with the terms of the Po</w:t>
      </w:r>
      <w:r>
        <w:t>rtfolio Management Agreement,</w:t>
      </w:r>
      <w:r w:rsidR="00F15482" w:rsidRPr="00E42728">
        <w:t xml:space="preserve"> shall be obliged to use all reasonable endeavours, in the course of carrying out such obligations, to pursue any strategy that it deems fit to maximise the total returns achieved by the Portfolio by </w:t>
      </w:r>
      <w:r w:rsidR="00212924">
        <w:rPr>
          <w:highlight w:val="green"/>
        </w:rPr>
        <w:t>[B6</w:t>
      </w:r>
      <w:r w:rsidR="00FB2233">
        <w:rPr>
          <w:highlight w:val="green"/>
        </w:rPr>
        <w:t>2</w:t>
      </w:r>
      <w:r w:rsidR="005C77F7">
        <w:rPr>
          <w:highlight w:val="green"/>
        </w:rPr>
        <w:t>]</w:t>
      </w:r>
      <w:r w:rsidR="0057574F">
        <w:t>.</w:t>
      </w:r>
    </w:p>
    <w:p w14:paraId="77A9FECF" w14:textId="54A3912A" w:rsidR="00F15482" w:rsidRPr="00E42728" w:rsidRDefault="00F15482" w:rsidP="00F15482">
      <w:pPr>
        <w:pStyle w:val="BodyText"/>
        <w:rPr>
          <w:color w:val="000000"/>
        </w:rPr>
      </w:pPr>
      <w:r w:rsidRPr="00E42728">
        <w:rPr>
          <w:color w:val="000000"/>
        </w:rPr>
        <w:t>The Portfolio Manager will be obliged to seek to achieve the Investment Objective and to enhance the performance of the Portfolio through leveraged investments in any assets that meet the Investment Objective, using leverage subject t</w:t>
      </w:r>
      <w:r w:rsidR="00CD42E8" w:rsidRPr="00E42728">
        <w:rPr>
          <w:color w:val="000000"/>
        </w:rPr>
        <w:t xml:space="preserve">o a maximum leverage level of </w:t>
      </w:r>
      <w:r w:rsidR="00212924">
        <w:rPr>
          <w:color w:val="000000"/>
          <w:highlight w:val="green"/>
        </w:rPr>
        <w:t>[B90</w:t>
      </w:r>
      <w:r w:rsidR="005C77F7">
        <w:rPr>
          <w:color w:val="000000"/>
          <w:highlight w:val="green"/>
        </w:rPr>
        <w:t>]</w:t>
      </w:r>
      <w:r w:rsidRPr="00E42728">
        <w:rPr>
          <w:color w:val="000000"/>
        </w:rPr>
        <w:t xml:space="preserve"> of the value of the Portfolio at any given time.</w:t>
      </w:r>
    </w:p>
    <w:p w14:paraId="4FA155AB" w14:textId="0B3E18E3" w:rsidR="00F15482" w:rsidRPr="00E42728" w:rsidRDefault="00F15482" w:rsidP="00F15482">
      <w:pPr>
        <w:pStyle w:val="BodyText"/>
        <w:rPr>
          <w:color w:val="000000"/>
        </w:rPr>
      </w:pPr>
      <w:r w:rsidRPr="00E42728">
        <w:t xml:space="preserve">The Portfolio Manager shall be obliged to manage the </w:t>
      </w:r>
      <w:r w:rsidRPr="00E42728">
        <w:rPr>
          <w:color w:val="000000"/>
        </w:rPr>
        <w:t>buying and / or selling of Securities pursuant to the Margin Account Agreement</w:t>
      </w:r>
      <w:r w:rsidR="00751612">
        <w:rPr>
          <w:color w:val="000000"/>
        </w:rPr>
        <w:t xml:space="preserve"> and the Portfolio Manager Agreement</w:t>
      </w:r>
      <w:r w:rsidRPr="00E42728">
        <w:rPr>
          <w:color w:val="000000"/>
        </w:rPr>
        <w:t xml:space="preserve">, by instructing the Margin Account Provider and / or the </w:t>
      </w:r>
      <w:r w:rsidR="00086A7D">
        <w:rPr>
          <w:color w:val="000000"/>
        </w:rPr>
        <w:t>Broker Dealer of Record</w:t>
      </w:r>
      <w:r w:rsidRPr="00E42728">
        <w:rPr>
          <w:color w:val="000000"/>
        </w:rPr>
        <w:t xml:space="preserve"> to make Substitutions of Charged Assets.  A Substitution may only be made if: </w:t>
      </w:r>
    </w:p>
    <w:p w14:paraId="7B604E5E" w14:textId="77777777" w:rsidR="00F15482" w:rsidRPr="00E42728" w:rsidRDefault="00F15482" w:rsidP="00F15482">
      <w:pPr>
        <w:pStyle w:val="BodyText"/>
        <w:rPr>
          <w:color w:val="000000"/>
        </w:rPr>
      </w:pPr>
      <w:r w:rsidRPr="00E42728">
        <w:rPr>
          <w:color w:val="000000"/>
        </w:rPr>
        <w:t>(i)</w:t>
      </w:r>
      <w:r w:rsidRPr="00E42728">
        <w:rPr>
          <w:color w:val="000000"/>
        </w:rPr>
        <w:tab/>
        <w:t xml:space="preserve">such Substitution and any Substitute Assets do not: </w:t>
      </w:r>
    </w:p>
    <w:p w14:paraId="38AB76C4" w14:textId="77777777" w:rsidR="00F15482" w:rsidRPr="00E42728" w:rsidRDefault="00F15482" w:rsidP="00F15482">
      <w:pPr>
        <w:pStyle w:val="BodyText"/>
        <w:ind w:left="709"/>
        <w:rPr>
          <w:color w:val="000000"/>
        </w:rPr>
      </w:pPr>
      <w:r w:rsidRPr="00E42728">
        <w:rPr>
          <w:color w:val="000000"/>
        </w:rPr>
        <w:t xml:space="preserve">(aa) </w:t>
      </w:r>
      <w:r w:rsidRPr="00E42728">
        <w:rPr>
          <w:color w:val="000000"/>
        </w:rPr>
        <w:tab/>
        <w:t xml:space="preserve">render the Issuer liable to taxation outside its jurisdiction of incorporation; </w:t>
      </w:r>
    </w:p>
    <w:p w14:paraId="24F81865" w14:textId="77777777" w:rsidR="00F15482" w:rsidRPr="00E42728" w:rsidRDefault="00F15482" w:rsidP="00F15482">
      <w:pPr>
        <w:pStyle w:val="BodyText"/>
        <w:ind w:left="709"/>
        <w:rPr>
          <w:color w:val="000000"/>
        </w:rPr>
      </w:pPr>
      <w:r w:rsidRPr="00E42728">
        <w:rPr>
          <w:color w:val="000000"/>
        </w:rPr>
        <w:t xml:space="preserve">(bb) </w:t>
      </w:r>
      <w:r w:rsidRPr="00E42728">
        <w:rPr>
          <w:color w:val="000000"/>
        </w:rPr>
        <w:tab/>
        <w:t xml:space="preserve">result in the contravention by the Issuer of any applicable law or regulation; </w:t>
      </w:r>
    </w:p>
    <w:p w14:paraId="5CCC9057" w14:textId="77777777" w:rsidR="00F15482" w:rsidRPr="00E42728" w:rsidRDefault="00F15482" w:rsidP="00F15482">
      <w:pPr>
        <w:pStyle w:val="BodyText"/>
        <w:ind w:left="1417" w:hanging="708"/>
        <w:rPr>
          <w:color w:val="000000"/>
        </w:rPr>
      </w:pPr>
      <w:r w:rsidRPr="00E42728">
        <w:rPr>
          <w:color w:val="000000"/>
        </w:rPr>
        <w:t xml:space="preserve">(cc) </w:t>
      </w:r>
      <w:r w:rsidRPr="00E42728">
        <w:rPr>
          <w:color w:val="000000"/>
        </w:rPr>
        <w:tab/>
        <w:t xml:space="preserve">require the Issuer to make any filing or declaration under any applicable law or regulation; and </w:t>
      </w:r>
    </w:p>
    <w:p w14:paraId="2ECA358B" w14:textId="77777777" w:rsidR="00F15482" w:rsidRPr="00E42728" w:rsidRDefault="00F15482" w:rsidP="00F15482">
      <w:pPr>
        <w:pStyle w:val="BodyText"/>
        <w:ind w:left="1417" w:hanging="708"/>
        <w:rPr>
          <w:color w:val="000000"/>
        </w:rPr>
      </w:pPr>
      <w:r w:rsidRPr="00E42728">
        <w:rPr>
          <w:color w:val="000000"/>
        </w:rPr>
        <w:t xml:space="preserve">(dd) </w:t>
      </w:r>
      <w:r w:rsidRPr="00E42728">
        <w:rPr>
          <w:color w:val="000000"/>
        </w:rPr>
        <w:tab/>
        <w:t xml:space="preserve">give rise (save as provided for in Condition 3(f)(2)) to any obligation or liability on the Issuer’s part to take any action, or to make any payment, other than with the Issuer’s express agreement, </w:t>
      </w:r>
    </w:p>
    <w:p w14:paraId="1E74EA78" w14:textId="77777777" w:rsidR="00F15482" w:rsidRPr="00E42728" w:rsidRDefault="00F15482" w:rsidP="00F15482">
      <w:pPr>
        <w:pStyle w:val="BodyText"/>
        <w:ind w:left="709"/>
        <w:rPr>
          <w:color w:val="000000"/>
        </w:rPr>
      </w:pPr>
      <w:r w:rsidRPr="00E42728">
        <w:rPr>
          <w:color w:val="000000"/>
        </w:rPr>
        <w:t xml:space="preserve">unless, in the case of (aa) or (dd) only, the Issuer shall have first been indemnified and / or secured to its satisfaction against such liability; and </w:t>
      </w:r>
    </w:p>
    <w:p w14:paraId="0653B053" w14:textId="77777777" w:rsidR="00F15482" w:rsidRPr="00E42728" w:rsidRDefault="00F15482" w:rsidP="00F15482">
      <w:pPr>
        <w:pStyle w:val="BodyText"/>
        <w:ind w:left="708" w:hanging="708"/>
        <w:rPr>
          <w:color w:val="000000"/>
        </w:rPr>
      </w:pPr>
      <w:r w:rsidRPr="00E42728">
        <w:rPr>
          <w:color w:val="000000"/>
        </w:rPr>
        <w:t>(ii)</w:t>
      </w:r>
      <w:r w:rsidRPr="00E42728">
        <w:rPr>
          <w:color w:val="000000"/>
        </w:rPr>
        <w:tab/>
        <w:t xml:space="preserve">any Substitute Assets are expressed to be delivered, transferred or (as the case may be) assigned to the Issuer on the same terms, </w:t>
      </w:r>
      <w:r w:rsidRPr="00E42728">
        <w:rPr>
          <w:i/>
          <w:color w:val="000000"/>
        </w:rPr>
        <w:t>mutatis mutandis</w:t>
      </w:r>
      <w:r w:rsidRPr="00E42728">
        <w:rPr>
          <w:color w:val="000000"/>
        </w:rPr>
        <w:t>, as the Charged Assets the subject of a Substitution or otherwise as the Trustee and the Portfolio Manager may approve.</w:t>
      </w:r>
    </w:p>
    <w:p w14:paraId="53A01281" w14:textId="77777777" w:rsidR="00F15482" w:rsidRPr="00E42728" w:rsidRDefault="00F15482" w:rsidP="00F15482">
      <w:pPr>
        <w:pStyle w:val="BodyText"/>
        <w:keepNext/>
        <w:rPr>
          <w:b/>
        </w:rPr>
      </w:pPr>
      <w:r w:rsidRPr="00E42728">
        <w:rPr>
          <w:b/>
        </w:rPr>
        <w:t xml:space="preserve">Portfolio Manager </w:t>
      </w:r>
    </w:p>
    <w:p w14:paraId="3CCC43B6" w14:textId="2F083A31" w:rsidR="00B076B4" w:rsidRPr="00E42728" w:rsidRDefault="00B076B4" w:rsidP="00B076B4">
      <w:pPr>
        <w:pStyle w:val="BodyText"/>
        <w:keepNext/>
      </w:pPr>
      <w:r w:rsidRPr="00E42728">
        <w:t xml:space="preserve">The Issuer has appointed </w:t>
      </w:r>
      <w:r w:rsidR="00212924">
        <w:rPr>
          <w:highlight w:val="green"/>
        </w:rPr>
        <w:t>[B21</w:t>
      </w:r>
      <w:r w:rsidR="005C77F7">
        <w:rPr>
          <w:highlight w:val="green"/>
        </w:rPr>
        <w:t>]</w:t>
      </w:r>
      <w:r w:rsidRPr="00E42728">
        <w:t xml:space="preserve"> as the Portfolio Manager in respect of the Notes pursuant to the Portfolio Management Agreement.  The role of the Portfolio Manager is to actively manage the Portfolio by the buying and / or selling of Securities pursuant to the Margin Account Agreement entered into between the Issuer and the Margin Account Provider.</w:t>
      </w:r>
    </w:p>
    <w:p w14:paraId="39D40FC4" w14:textId="67613152" w:rsidR="00581D96" w:rsidRPr="00E42728" w:rsidRDefault="00212924" w:rsidP="00581D96">
      <w:pPr>
        <w:pStyle w:val="BodyText"/>
        <w:keepNext/>
      </w:pPr>
      <w:r>
        <w:rPr>
          <w:highlight w:val="green"/>
        </w:rPr>
        <w:t>[B27</w:t>
      </w:r>
      <w:r w:rsidR="00B02AB4">
        <w:rPr>
          <w:highlight w:val="green"/>
        </w:rPr>
        <w:t>]</w:t>
      </w:r>
      <w:r w:rsidR="00CC7839">
        <w:t>.</w:t>
      </w:r>
    </w:p>
    <w:p w14:paraId="535DC186" w14:textId="176DB6D6" w:rsidR="004D12A8" w:rsidRPr="00E42728" w:rsidRDefault="00B076B4" w:rsidP="00581D96">
      <w:pPr>
        <w:pStyle w:val="BodyText"/>
        <w:keepNext/>
      </w:pPr>
      <w:r w:rsidRPr="00E42728">
        <w:t>The holder of the Notes will have claims against the Issuer only, and shall not have any rights directly against the Portfolio Manager.</w:t>
      </w:r>
    </w:p>
    <w:p w14:paraId="19D0D267" w14:textId="77777777" w:rsidR="00F15482" w:rsidRPr="00E42728" w:rsidRDefault="00F15482" w:rsidP="00F15482">
      <w:pPr>
        <w:pStyle w:val="BodyText"/>
        <w:keepNext/>
      </w:pPr>
      <w:r w:rsidRPr="00E42728">
        <w:rPr>
          <w:b/>
        </w:rPr>
        <w:t>Fees</w:t>
      </w:r>
    </w:p>
    <w:p w14:paraId="295937EA" w14:textId="77777777" w:rsidR="00751612" w:rsidRDefault="00F15482" w:rsidP="00F15482">
      <w:pPr>
        <w:pStyle w:val="BodyText"/>
      </w:pPr>
      <w:r w:rsidRPr="00E42728">
        <w:t>The fees payable to the Portfolio Manager are described in Special Condition (XI) of the Notes.</w:t>
      </w:r>
    </w:p>
    <w:p w14:paraId="41F641E5" w14:textId="5EC2E0C0" w:rsidR="00F15482" w:rsidRDefault="00F15482" w:rsidP="00F15482">
      <w:pPr>
        <w:pStyle w:val="BodyText"/>
      </w:pPr>
      <w:r w:rsidRPr="00E42728">
        <w:rPr>
          <w:i/>
        </w:rPr>
        <w:lastRenderedPageBreak/>
        <w:t>The above summary is qualified in its entirety by the terms of the Portfolio Management Agreement, which will be available during business hours on any day (Saturdays, Sundays and public holidays excepted) for inspection at, and collection of copies from, the registered office of the Issuer for as long as the Notes are outstanding.</w:t>
      </w:r>
    </w:p>
    <w:p w14:paraId="5987400B" w14:textId="77777777" w:rsidR="00062189" w:rsidRPr="007C3919" w:rsidRDefault="00F15482" w:rsidP="00062189">
      <w:pPr>
        <w:pStyle w:val="PROSPECTUS-LEVEL1"/>
      </w:pPr>
      <w:r>
        <w:rPr>
          <w:b w:val="0"/>
        </w:rPr>
        <w:br w:type="page"/>
      </w:r>
      <w:bookmarkStart w:id="11" w:name="_Toc437877826"/>
      <w:bookmarkStart w:id="12" w:name="_Toc438553648"/>
      <w:r w:rsidR="00062189" w:rsidRPr="007C3919">
        <w:lastRenderedPageBreak/>
        <w:t>Information relating to the Arranger and Calculation Agent</w:t>
      </w:r>
      <w:bookmarkEnd w:id="11"/>
      <w:bookmarkEnd w:id="12"/>
    </w:p>
    <w:p w14:paraId="34B0BA71" w14:textId="77777777" w:rsidR="00062189" w:rsidRPr="002B7475" w:rsidRDefault="00062189" w:rsidP="00062189">
      <w:pPr>
        <w:pStyle w:val="BodyText"/>
      </w:pPr>
      <w:r w:rsidRPr="002B7475">
        <w:t xml:space="preserve">FlexFunds Ltd. is the Arranger in respect of the Notes and has been </w:t>
      </w:r>
      <w:r>
        <w:t>appointed as Calculation Agent</w:t>
      </w:r>
      <w:r w:rsidRPr="002B7475">
        <w:t>, and as such is responsible for certain management and administrative functions in relation to the Notes.</w:t>
      </w:r>
    </w:p>
    <w:p w14:paraId="7AED4FB9" w14:textId="77BBD4F3" w:rsidR="00062189" w:rsidRDefault="00062189" w:rsidP="00062189">
      <w:r>
        <w:t xml:space="preserve">FlexFunds Ltd. is </w:t>
      </w:r>
      <w:r w:rsidRPr="00620179">
        <w:t xml:space="preserve">an </w:t>
      </w:r>
      <w:r>
        <w:t>e</w:t>
      </w:r>
      <w:r w:rsidRPr="00620179">
        <w:t xml:space="preserve">xempted </w:t>
      </w:r>
      <w:r>
        <w:t>c</w:t>
      </w:r>
      <w:r w:rsidRPr="00620179">
        <w:t>ompany incorpora</w:t>
      </w:r>
      <w:r w:rsidR="008E2B92">
        <w:t>ted in the Cayman Islands with limited l</w:t>
      </w:r>
      <w:r w:rsidRPr="00620179">
        <w:t xml:space="preserve">iability. The </w:t>
      </w:r>
      <w:r>
        <w:t>c</w:t>
      </w:r>
      <w:r w:rsidRPr="00620179">
        <w:t>ompany administers the Note program with all participants and prepares the notes for issuance and calculation of NAV.</w:t>
      </w:r>
    </w:p>
    <w:p w14:paraId="7D1861C4" w14:textId="77777777" w:rsidR="00062189" w:rsidRPr="00620179" w:rsidRDefault="00062189" w:rsidP="00062189"/>
    <w:p w14:paraId="2B6B9C42" w14:textId="77777777" w:rsidR="00062189" w:rsidRPr="002B7475" w:rsidRDefault="00062189" w:rsidP="00062189">
      <w:pPr>
        <w:pStyle w:val="BodyText"/>
      </w:pPr>
      <w:r w:rsidRPr="002B7475">
        <w:t>FlexFunds Ltd. has a presence in the Cayman Islands.</w:t>
      </w:r>
    </w:p>
    <w:p w14:paraId="5A5653C9" w14:textId="77777777" w:rsidR="00062189" w:rsidRPr="002B7475" w:rsidRDefault="00062189" w:rsidP="00062189">
      <w:pPr>
        <w:pStyle w:val="BodyText"/>
      </w:pPr>
      <w:r w:rsidRPr="002B7475">
        <w:t xml:space="preserve">As Calculation Agent, FlexFunds Ltd. is responsible for determining the Interest Payment Date and any Extended Maturity Date in addition to calculating interest payment on the Notes. </w:t>
      </w:r>
    </w:p>
    <w:p w14:paraId="3CD92E9F" w14:textId="2F0630C3" w:rsidR="00062189" w:rsidRPr="002B7475" w:rsidRDefault="00062189" w:rsidP="00062189">
      <w:pPr>
        <w:pStyle w:val="BodyText"/>
      </w:pPr>
      <w:r w:rsidRPr="002B7475">
        <w:t>The Calculation Agent may at any time resign and the Issuer may at</w:t>
      </w:r>
      <w:r w:rsidR="008E2B92">
        <w:t xml:space="preserve"> any</w:t>
      </w:r>
      <w:r w:rsidRPr="002B7475">
        <w:t xml:space="preserve"> time terminate its appointment, subject to giving 60 days’ prior written notice.  In such case the Issuer would, with the prior written consent of the Trustee, appoint a successor.</w:t>
      </w:r>
    </w:p>
    <w:p w14:paraId="72DE531D" w14:textId="77777777" w:rsidR="00062189" w:rsidRPr="002B7475" w:rsidRDefault="00062189" w:rsidP="00062189">
      <w:pPr>
        <w:pStyle w:val="BodyText"/>
      </w:pPr>
      <w:r w:rsidRPr="002B7475">
        <w:t>The holder of the Notes will have claims against the Issuer only, and shall not have any rights directly against the Arranger or any Agent of the Issuer.</w:t>
      </w:r>
    </w:p>
    <w:p w14:paraId="56277911" w14:textId="77777777" w:rsidR="00062189" w:rsidRPr="007C3919" w:rsidRDefault="00062189" w:rsidP="00062189">
      <w:pPr>
        <w:pStyle w:val="BodyText"/>
        <w:keepNext/>
        <w:rPr>
          <w:b/>
        </w:rPr>
      </w:pPr>
      <w:r w:rsidRPr="007C3919">
        <w:rPr>
          <w:b/>
        </w:rPr>
        <w:t>Fees</w:t>
      </w:r>
    </w:p>
    <w:p w14:paraId="435C72FE" w14:textId="77777777" w:rsidR="00062189" w:rsidRDefault="00062189" w:rsidP="00062189">
      <w:pPr>
        <w:pStyle w:val="BodyText"/>
      </w:pPr>
      <w:r w:rsidRPr="007C3919">
        <w:t xml:space="preserve">The fees payable to </w:t>
      </w:r>
      <w:r>
        <w:t>FlexFunds Ltd</w:t>
      </w:r>
      <w:r w:rsidRPr="007C3919">
        <w:t>. as the Arranger are described in Special Condition (XI) of the Notes.</w:t>
      </w:r>
    </w:p>
    <w:p w14:paraId="40F26308" w14:textId="77777777" w:rsidR="00062189" w:rsidRDefault="00062189" w:rsidP="00062189">
      <w:pPr>
        <w:pStyle w:val="BodyText"/>
      </w:pPr>
    </w:p>
    <w:p w14:paraId="2DCE1282" w14:textId="77777777" w:rsidR="00062189" w:rsidRDefault="00062189" w:rsidP="00062189">
      <w:pPr>
        <w:pStyle w:val="BodyText"/>
      </w:pPr>
    </w:p>
    <w:p w14:paraId="55A8CE95" w14:textId="77777777" w:rsidR="00062189" w:rsidRDefault="00062189" w:rsidP="00062189">
      <w:pPr>
        <w:pStyle w:val="BodyText"/>
      </w:pPr>
    </w:p>
    <w:p w14:paraId="4809FD4D" w14:textId="77777777" w:rsidR="00062189" w:rsidRDefault="00062189" w:rsidP="00062189">
      <w:pPr>
        <w:pStyle w:val="BodyText"/>
      </w:pPr>
    </w:p>
    <w:p w14:paraId="42473E47" w14:textId="77777777" w:rsidR="00062189" w:rsidRDefault="00062189" w:rsidP="00062189">
      <w:pPr>
        <w:pStyle w:val="BodyText"/>
      </w:pPr>
    </w:p>
    <w:p w14:paraId="422CF253" w14:textId="77777777" w:rsidR="00062189" w:rsidRDefault="00062189" w:rsidP="00062189">
      <w:pPr>
        <w:pStyle w:val="BodyText"/>
      </w:pPr>
    </w:p>
    <w:p w14:paraId="51592D66" w14:textId="77777777" w:rsidR="00062189" w:rsidRDefault="00062189" w:rsidP="00062189">
      <w:pPr>
        <w:pStyle w:val="BodyText"/>
      </w:pPr>
    </w:p>
    <w:p w14:paraId="652F7453" w14:textId="77777777" w:rsidR="00062189" w:rsidRDefault="00062189" w:rsidP="00062189">
      <w:pPr>
        <w:pStyle w:val="BodyText"/>
      </w:pPr>
    </w:p>
    <w:p w14:paraId="688E7EEC" w14:textId="77777777" w:rsidR="00062189" w:rsidRDefault="00062189" w:rsidP="00062189">
      <w:pPr>
        <w:pStyle w:val="BodyText"/>
      </w:pPr>
    </w:p>
    <w:p w14:paraId="209C9F63" w14:textId="77777777" w:rsidR="00062189" w:rsidRDefault="00062189" w:rsidP="00062189">
      <w:pPr>
        <w:pStyle w:val="BodyText"/>
      </w:pPr>
    </w:p>
    <w:p w14:paraId="2CEE9CBE" w14:textId="77777777" w:rsidR="00062189" w:rsidRDefault="00062189" w:rsidP="00062189">
      <w:pPr>
        <w:pStyle w:val="BodyText"/>
      </w:pPr>
    </w:p>
    <w:p w14:paraId="58FFDE58" w14:textId="77777777" w:rsidR="00062189" w:rsidRDefault="00062189" w:rsidP="00062189">
      <w:pPr>
        <w:pStyle w:val="BodyText"/>
      </w:pPr>
    </w:p>
    <w:p w14:paraId="6B01AE15" w14:textId="77777777" w:rsidR="00062189" w:rsidRDefault="00062189" w:rsidP="00062189">
      <w:pPr>
        <w:pStyle w:val="BodyText"/>
      </w:pPr>
    </w:p>
    <w:p w14:paraId="3A804CD9" w14:textId="77777777" w:rsidR="00062189" w:rsidRPr="007C3919" w:rsidRDefault="00062189" w:rsidP="00062189">
      <w:pPr>
        <w:pStyle w:val="BodyText"/>
      </w:pPr>
    </w:p>
    <w:p w14:paraId="4D4383D3" w14:textId="77777777" w:rsidR="00062189" w:rsidRPr="00E61E73" w:rsidRDefault="00062189" w:rsidP="00062189">
      <w:pPr>
        <w:pStyle w:val="PROSPECTUS-LEVEL1"/>
      </w:pPr>
      <w:bookmarkStart w:id="13" w:name="_Toc437877827"/>
      <w:bookmarkStart w:id="14" w:name="_Toc438553649"/>
      <w:r w:rsidRPr="007C3919">
        <w:lastRenderedPageBreak/>
        <w:t>Information relating to the</w:t>
      </w:r>
      <w:r w:rsidRPr="00E61E73">
        <w:t xml:space="preserve"> </w:t>
      </w:r>
      <w:r>
        <w:t>Sale Agent and Placing Agent</w:t>
      </w:r>
      <w:bookmarkEnd w:id="13"/>
      <w:bookmarkEnd w:id="14"/>
    </w:p>
    <w:p w14:paraId="32250A2C" w14:textId="77777777" w:rsidR="00062189" w:rsidRPr="007C3919" w:rsidRDefault="00062189" w:rsidP="00062189">
      <w:pPr>
        <w:pStyle w:val="BodyText"/>
      </w:pPr>
      <w:r w:rsidRPr="007C3919">
        <w:t>GWM Group, Inc</w:t>
      </w:r>
      <w:r>
        <w:t>. and GWM LTD have</w:t>
      </w:r>
      <w:r w:rsidRPr="007C3919">
        <w:t xml:space="preserve"> been appointed as </w:t>
      </w:r>
      <w:r>
        <w:t>Sales</w:t>
      </w:r>
      <w:r w:rsidRPr="007C3919">
        <w:t xml:space="preserve"> Agent a</w:t>
      </w:r>
      <w:r>
        <w:t>nd Placing Agent, and as such are</w:t>
      </w:r>
      <w:r w:rsidRPr="007C3919">
        <w:t xml:space="preserve"> responsible for certain management and administrative functions in relation to the Notes.</w:t>
      </w:r>
    </w:p>
    <w:p w14:paraId="52040FA0" w14:textId="353CB74C" w:rsidR="00062189" w:rsidRPr="007C3919" w:rsidRDefault="00062189" w:rsidP="00062189">
      <w:pPr>
        <w:pStyle w:val="BodyText"/>
      </w:pPr>
      <w:r w:rsidRPr="007C3919">
        <w:t>GWM Group, Inc. is a full service broker dealer based in Stamford, and a member of the Financial Industry Regulatory Authority and the Securities Investor Protection Corporation.  Its clients’ accounts are introduced on a fully disclos</w:t>
      </w:r>
      <w:r w:rsidR="008E77DC">
        <w:t>ed basis to Interactive Brokers</w:t>
      </w:r>
      <w:r w:rsidRPr="007C3919">
        <w:t xml:space="preserve"> LLC. </w:t>
      </w:r>
    </w:p>
    <w:p w14:paraId="00D85E92" w14:textId="77777777" w:rsidR="00062189" w:rsidRPr="007C3919" w:rsidRDefault="00062189" w:rsidP="00062189">
      <w:pPr>
        <w:pStyle w:val="BodyText"/>
      </w:pPr>
      <w:r w:rsidRPr="007C3919">
        <w:t xml:space="preserve">GWM Group, Inc. offers execution services to clients ranging from retail clients to institutional investment firms, and services ranging from wealth management services to custody and clearing services.  The company also offers investment solutions, such as fee-based programs, retirement products and programs, asset management accounts, margin borrowing, mutual fund solutions, and wealth management.  </w:t>
      </w:r>
    </w:p>
    <w:p w14:paraId="07B0BAAB" w14:textId="0DB80D3F" w:rsidR="00062189" w:rsidRPr="007C3919" w:rsidRDefault="00062189" w:rsidP="00062189">
      <w:pPr>
        <w:pStyle w:val="BodyText"/>
      </w:pPr>
      <w:r w:rsidRPr="007C3919">
        <w:t>GWM Group, Inc. has a presence in Connecticut and Miami.</w:t>
      </w:r>
    </w:p>
    <w:p w14:paraId="21F5EB5F" w14:textId="77777777" w:rsidR="00062189" w:rsidRPr="00E3194E" w:rsidRDefault="00062189" w:rsidP="00062189">
      <w:pPr>
        <w:pStyle w:val="BodyText"/>
        <w:rPr>
          <w:lang w:val="en-US"/>
        </w:rPr>
      </w:pPr>
      <w:r w:rsidRPr="00E3194E">
        <w:rPr>
          <w:lang w:val="en-US"/>
        </w:rPr>
        <w:t>GWM LTD was incorporated in Bermuda in December 2014 and is l</w:t>
      </w:r>
      <w:r w:rsidRPr="00E3194E">
        <w:rPr>
          <w:bCs/>
          <w:lang w:val="en-US"/>
        </w:rPr>
        <w:t>icensed to conduct investment business by the Bermuda Monetary Authority.</w:t>
      </w:r>
    </w:p>
    <w:p w14:paraId="725351CB" w14:textId="77777777" w:rsidR="00062189" w:rsidRPr="00E3194E" w:rsidRDefault="00062189" w:rsidP="00062189">
      <w:pPr>
        <w:pStyle w:val="BodyText"/>
        <w:rPr>
          <w:lang w:val="en-US"/>
        </w:rPr>
      </w:pPr>
      <w:r w:rsidRPr="00E3194E">
        <w:rPr>
          <w:lang w:val="en-US"/>
        </w:rPr>
        <w:t xml:space="preserve">The Bermuda Monetary Authority granted approval to GWM LTD for a license under section 16 of the Investment Business Act 2003. </w:t>
      </w:r>
    </w:p>
    <w:p w14:paraId="0175DCBD" w14:textId="77777777" w:rsidR="00062189" w:rsidRPr="007C3919" w:rsidRDefault="00062189" w:rsidP="00062189">
      <w:pPr>
        <w:pStyle w:val="BodyText"/>
      </w:pPr>
      <w:r w:rsidRPr="007C3919">
        <w:t>As Placing Agent, GWM Group, Inc.</w:t>
      </w:r>
      <w:r>
        <w:t xml:space="preserve"> and GWM LTD have</w:t>
      </w:r>
      <w:r w:rsidRPr="007C3919">
        <w:t xml:space="preserve"> agreed to comply with all duties and responsibilities set out in the Conditions of the Notes, and to strictly adhere to the Selling Restrictions.</w:t>
      </w:r>
    </w:p>
    <w:p w14:paraId="21A1DD75" w14:textId="77777777" w:rsidR="00062189" w:rsidRPr="007C3919" w:rsidRDefault="00062189" w:rsidP="00062189">
      <w:pPr>
        <w:pStyle w:val="BodyText"/>
      </w:pPr>
      <w:r w:rsidRPr="007C3919">
        <w:t xml:space="preserve">As Sales Agent, GWM Group, Inc. </w:t>
      </w:r>
      <w:r>
        <w:t>and GWM LTD are</w:t>
      </w:r>
      <w:r w:rsidRPr="007C3919">
        <w:t xml:space="preserve"> responsible to the Issuer for taking any steps in order to realise the Charged Assets as required for the purposes of the Notes.</w:t>
      </w:r>
    </w:p>
    <w:p w14:paraId="59B99E15" w14:textId="77777777" w:rsidR="00062189" w:rsidRPr="007C3919" w:rsidRDefault="00062189" w:rsidP="00062189">
      <w:pPr>
        <w:pStyle w:val="BodyText"/>
      </w:pPr>
      <w:r w:rsidRPr="007C3919">
        <w:t>The holder of the Notes will have claims against the Issuer only, and shall not have any rights directly against the Arranger or any Agent of the Issuer.</w:t>
      </w:r>
    </w:p>
    <w:p w14:paraId="68EF19D1" w14:textId="77777777" w:rsidR="00F15482" w:rsidRDefault="00F15482" w:rsidP="00F15482">
      <w:pPr>
        <w:pStyle w:val="BodyText"/>
      </w:pPr>
    </w:p>
    <w:p w14:paraId="49A43019" w14:textId="3AD608FF" w:rsidR="00062189" w:rsidRPr="00062189" w:rsidRDefault="00A973AE" w:rsidP="00A973AE">
      <w:r>
        <w:br w:type="page"/>
      </w:r>
    </w:p>
    <w:p w14:paraId="2C1D1E94" w14:textId="77777777" w:rsidR="00F15482" w:rsidRDefault="00F15482" w:rsidP="00F15482">
      <w:pPr>
        <w:pStyle w:val="BodyText"/>
      </w:pPr>
    </w:p>
    <w:p w14:paraId="742ACF08" w14:textId="77777777" w:rsidR="00F15482" w:rsidRDefault="00F15482" w:rsidP="00F15482">
      <w:pPr>
        <w:pStyle w:val="PROSPECTUS-LEVEL1"/>
      </w:pPr>
      <w:bookmarkStart w:id="15" w:name="_Toc438553650"/>
      <w:r>
        <w:t>Information relating to the Issuer</w:t>
      </w:r>
      <w:bookmarkEnd w:id="15"/>
    </w:p>
    <w:p w14:paraId="295559BF" w14:textId="77777777" w:rsidR="00F15482" w:rsidRDefault="00F15482" w:rsidP="00F15482">
      <w:pPr>
        <w:pStyle w:val="BodyText"/>
        <w:keepNext/>
        <w:rPr>
          <w:b/>
        </w:rPr>
      </w:pPr>
      <w:r>
        <w:rPr>
          <w:b/>
        </w:rPr>
        <w:t>General</w:t>
      </w:r>
    </w:p>
    <w:p w14:paraId="4A60C72F" w14:textId="77777777" w:rsidR="00F15482" w:rsidRDefault="00F15482" w:rsidP="00F15482">
      <w:pPr>
        <w:pStyle w:val="BodyText"/>
      </w:pPr>
      <w:r>
        <w:t>The Issuer was incorporated in Ireland as a public limited liability company on 29 August 2011, with registration number 502865 under the name IA Capital Structures (Ireland) plc, under the Companies Acts 1963 – 2013.</w:t>
      </w:r>
    </w:p>
    <w:p w14:paraId="2A888884" w14:textId="77777777" w:rsidR="00F621F8" w:rsidRPr="00AF2D4D" w:rsidRDefault="00F621F8" w:rsidP="00F621F8">
      <w:pPr>
        <w:pStyle w:val="BodyText"/>
      </w:pPr>
      <w:r w:rsidRPr="00AF2D4D">
        <w:t>The registered office of the Issuer is at 22 Clanwilliam Square, Grand Canal Quay, Dublin 2, Ireland.  The telephone number of the Issuer is +353 1 609 9184.  The authorised share capital of the Issuer is EUR 100,000,000 divided into 100,000,000 Ordinary Shares of EUR 1 each (“</w:t>
      </w:r>
      <w:r w:rsidRPr="00AF2D4D">
        <w:rPr>
          <w:b/>
        </w:rPr>
        <w:t>Shares</w:t>
      </w:r>
      <w:r w:rsidRPr="00AF2D4D">
        <w:t>”).  The Issuer has issued 38,100 Shares all of which are fully paid.  The issued Shares are held by a Jersey-incorporated company, Sanne Trustee Services Limited (the “</w:t>
      </w:r>
      <w:r w:rsidRPr="00AF2D4D">
        <w:rPr>
          <w:b/>
        </w:rPr>
        <w:t>Share Trustee</w:t>
      </w:r>
      <w:r w:rsidRPr="00AF2D4D">
        <w:t>”), on trust for charitable purposes.  The Share Trustee has, inter alia, undertaken not to exercise its voting rights to wind up the Issuer unless and until it has received written confirmation from the Directors of the Issuer that the Issuer does not intend to carry on further business.</w:t>
      </w:r>
    </w:p>
    <w:p w14:paraId="358268B1" w14:textId="77777777" w:rsidR="00F15482" w:rsidRDefault="00F15482" w:rsidP="00F15482">
      <w:pPr>
        <w:pStyle w:val="BodyText"/>
      </w:pPr>
      <w:r>
        <w:t>The Issuer has been established as a special purpose vehicle.  The principal activities of the Issuer are the issuance of financial instruments, the acquisition of financial assets and the entering into of other legally binding arrangements.</w:t>
      </w:r>
    </w:p>
    <w:p w14:paraId="54F848C2" w14:textId="4FC30370" w:rsidR="00013582" w:rsidRDefault="00013582" w:rsidP="00F15482">
      <w:pPr>
        <w:pStyle w:val="BodyText"/>
      </w:pPr>
      <w:r w:rsidRPr="00013582">
        <w:t>The Issuer is not, and will not be, regulated by the Central Bank of Ireland (the “Central Bank”) by virtue of the issue of the Notes. Any investment in the Notes does not have the status of a bank deposit and is not subject to the deposit protection scheme operated by the Central Bank.</w:t>
      </w:r>
    </w:p>
    <w:p w14:paraId="1743E461" w14:textId="405E2570" w:rsidR="00751612" w:rsidRDefault="00751612" w:rsidP="00F15482">
      <w:pPr>
        <w:pStyle w:val="BodyText"/>
      </w:pPr>
      <w:r w:rsidRPr="00751612">
        <w:t>The Issuer has not underwritten and will not underwrite the issue of, place, offer, or otherwise act in respect of the Notes, otherwise than in conformity with the provisions of all laws applicable in the jurisdiction in which the Notes are offered.</w:t>
      </w:r>
    </w:p>
    <w:p w14:paraId="66F71FBF" w14:textId="77777777" w:rsidR="00F15482" w:rsidRDefault="00F15482" w:rsidP="00F15482">
      <w:pPr>
        <w:pStyle w:val="BodyText"/>
        <w:keepNext/>
        <w:rPr>
          <w:b/>
        </w:rPr>
      </w:pPr>
      <w:r>
        <w:rPr>
          <w:b/>
        </w:rPr>
        <w:t>Directors and company secretary</w:t>
      </w:r>
    </w:p>
    <w:p w14:paraId="3189CD3C" w14:textId="77777777" w:rsidR="00F15482" w:rsidRDefault="00F15482" w:rsidP="00F15482">
      <w:pPr>
        <w:pStyle w:val="BodyText"/>
      </w:pPr>
      <w:r>
        <w:t>The Directors of the Issuer are as follows:</w:t>
      </w:r>
    </w:p>
    <w:p w14:paraId="0E935163" w14:textId="77777777" w:rsidR="00F15482" w:rsidRDefault="00F15482" w:rsidP="00F15482">
      <w:pPr>
        <w:pStyle w:val="Bullet1"/>
        <w:numPr>
          <w:ilvl w:val="0"/>
          <w:numId w:val="35"/>
        </w:numPr>
      </w:pPr>
      <w:r>
        <w:t xml:space="preserve">Wendy Merrigan </w:t>
      </w:r>
    </w:p>
    <w:p w14:paraId="44A60D98" w14:textId="77777777" w:rsidR="00F15482" w:rsidRDefault="00F15482" w:rsidP="00F15482">
      <w:pPr>
        <w:pStyle w:val="Bullet1"/>
        <w:numPr>
          <w:ilvl w:val="0"/>
          <w:numId w:val="35"/>
        </w:numPr>
      </w:pPr>
      <w:r>
        <w:t xml:space="preserve">Rory Williams </w:t>
      </w:r>
    </w:p>
    <w:p w14:paraId="316456C3" w14:textId="77777777" w:rsidR="00F15482" w:rsidRDefault="00F15482" w:rsidP="00F15482">
      <w:pPr>
        <w:pStyle w:val="BodyText"/>
      </w:pPr>
      <w:r>
        <w:t xml:space="preserve">The Company Secretary is Sanne Capital Markets Ireland Limited. </w:t>
      </w:r>
    </w:p>
    <w:p w14:paraId="716148CF" w14:textId="77777777" w:rsidR="00F15482" w:rsidRDefault="00F15482" w:rsidP="00F15482">
      <w:pPr>
        <w:pStyle w:val="BodyText"/>
      </w:pPr>
      <w:r>
        <w:t>Sanne Capital Markets Ireland Limited is the administrator of the Issuer.  Its duties include the provision of certain administrative, accounting and related services.  The appointment of the administrator may be terminated forthwith if the administrator commits any material breach of the corporate service agreement between the Issuer and the administrator, or if the administrator is unable to pay its debts as they fall due or if the administrator becomes subject to insolvency or other related proceedings.  The administrator may retire upon 90 days’ written notice subject to the appointment of an alternative administrator on similar terms to the existing administrator.  The business address of the administrator is 22 Clanwilliam Square, Grand Canal Quay, Dublin 2, Ireland.</w:t>
      </w:r>
    </w:p>
    <w:p w14:paraId="3C332276" w14:textId="77777777" w:rsidR="00F15482" w:rsidRDefault="00F15482" w:rsidP="00F15482">
      <w:pPr>
        <w:pStyle w:val="BodyText"/>
      </w:pPr>
      <w:r>
        <w:t xml:space="preserve">The auditors of the Issuer are PricewaterhouseCoopers who are chartered accountants qualified to practice in Ireland. </w:t>
      </w:r>
    </w:p>
    <w:p w14:paraId="10BDED0D" w14:textId="77777777" w:rsidR="00F15482" w:rsidRDefault="00F15482" w:rsidP="00F15482">
      <w:pPr>
        <w:pStyle w:val="BodyText"/>
        <w:keepNext/>
        <w:rPr>
          <w:b/>
        </w:rPr>
      </w:pPr>
      <w:r>
        <w:rPr>
          <w:b/>
        </w:rPr>
        <w:t>Financial statements</w:t>
      </w:r>
    </w:p>
    <w:p w14:paraId="7C7B02ED" w14:textId="4C30B909" w:rsidR="00C75B7E" w:rsidRPr="00D175E4" w:rsidRDefault="00C75B7E" w:rsidP="00C75B7E">
      <w:pPr>
        <w:pStyle w:val="BodyText"/>
      </w:pPr>
      <w:r w:rsidRPr="00D175E4">
        <w:t xml:space="preserve">The Issuer has published financial statements for </w:t>
      </w:r>
      <w:r>
        <w:t>up to</w:t>
      </w:r>
      <w:r w:rsidRPr="00D175E4">
        <w:rPr>
          <w:color w:val="000000"/>
          <w:shd w:val="clear" w:color="auto" w:fill="FFFFFF"/>
        </w:rPr>
        <w:t xml:space="preserve"> 30 June </w:t>
      </w:r>
      <w:r w:rsidR="00EB0B41">
        <w:rPr>
          <w:color w:val="000000"/>
          <w:shd w:val="clear" w:color="auto" w:fill="FFFFFF"/>
        </w:rPr>
        <w:t>2015</w:t>
      </w:r>
      <w:r w:rsidRPr="00D175E4">
        <w:t xml:space="preserve">.  </w:t>
      </w:r>
    </w:p>
    <w:p w14:paraId="4B4B42E6" w14:textId="77777777" w:rsidR="00F15482" w:rsidRDefault="00F15482" w:rsidP="00BE7766">
      <w:pPr>
        <w:pStyle w:val="BodyText"/>
        <w:keepNext/>
        <w:spacing w:after="120"/>
        <w:rPr>
          <w:b/>
        </w:rPr>
      </w:pPr>
      <w:r>
        <w:rPr>
          <w:b/>
        </w:rPr>
        <w:lastRenderedPageBreak/>
        <w:t>Authorisation</w:t>
      </w:r>
    </w:p>
    <w:p w14:paraId="45250ACD" w14:textId="51A4D04B" w:rsidR="00BE7766" w:rsidRDefault="00F15482" w:rsidP="00BE7766">
      <w:pPr>
        <w:pStyle w:val="BodyText"/>
      </w:pPr>
      <w:r>
        <w:t>The issue of the Notes was authorised by a resolution of the board of dire</w:t>
      </w:r>
      <w:r w:rsidR="00B615A7">
        <w:t xml:space="preserve">ctors of the Issuer passed on </w:t>
      </w:r>
      <w:r w:rsidR="003D6537">
        <w:rPr>
          <w:highlight w:val="green"/>
        </w:rPr>
        <w:t>[B15]</w:t>
      </w:r>
      <w:r w:rsidR="004F1DDF">
        <w:t>.</w:t>
      </w:r>
    </w:p>
    <w:p w14:paraId="6D655063" w14:textId="391C41E0" w:rsidR="00F15482" w:rsidRPr="00BE7766" w:rsidRDefault="00F15482" w:rsidP="00BE7766">
      <w:pPr>
        <w:pStyle w:val="BodyText"/>
      </w:pPr>
      <w:r>
        <w:rPr>
          <w:b/>
        </w:rPr>
        <w:t>Litigation</w:t>
      </w:r>
    </w:p>
    <w:p w14:paraId="62C9D3A8" w14:textId="77777777" w:rsidR="00F15482" w:rsidRDefault="00F15482" w:rsidP="00F15482">
      <w:pPr>
        <w:pStyle w:val="BodyText"/>
      </w:pPr>
      <w:r>
        <w:t>There are no legal, governmental or arbitration proceedings (including any such proceedings which are pending or threatened of which the Issuer is aware) which may have or have had a significant effect on the Issuer’s financial position.</w:t>
      </w:r>
    </w:p>
    <w:p w14:paraId="73C9D13C" w14:textId="77777777" w:rsidR="00F15482" w:rsidRDefault="00F15482" w:rsidP="00F15482">
      <w:pPr>
        <w:pStyle w:val="PROSPECTUS-LEVEL1"/>
      </w:pPr>
      <w:r>
        <w:rPr>
          <w:b w:val="0"/>
        </w:rPr>
        <w:br w:type="page"/>
      </w:r>
      <w:bookmarkStart w:id="16" w:name="_Toc438553651"/>
      <w:r>
        <w:lastRenderedPageBreak/>
        <w:t>Selling restrictions</w:t>
      </w:r>
      <w:bookmarkEnd w:id="16"/>
    </w:p>
    <w:p w14:paraId="206CD8A5" w14:textId="77777777" w:rsidR="00F15482" w:rsidRDefault="00F15482" w:rsidP="00F15482">
      <w:pPr>
        <w:pStyle w:val="BodyText"/>
      </w:pPr>
      <w:r>
        <w:t>In addition to the Selling Restrictions set out in the Programme Memorandum the restrictions set out below shall apply.</w:t>
      </w:r>
    </w:p>
    <w:p w14:paraId="30EAA272" w14:textId="77777777" w:rsidR="00855A6F" w:rsidRPr="00FF6EA7" w:rsidRDefault="00855A6F" w:rsidP="00855A6F">
      <w:pPr>
        <w:pStyle w:val="BodyText"/>
      </w:pPr>
      <w:r w:rsidRPr="00FF6EA7">
        <w:t>The Notes have not been and will not be registered under the U.S Securities Act of 1933, as amended, and may not be directly or indirectly offered or sold in the United States or to or for the benefit of any U.S person</w:t>
      </w:r>
      <w:r>
        <w:t xml:space="preserve"> (as defined in Regulation S) unless the securities are registered under the Securities Act of 1933, or an exemption from the registration requirements of the Securities Act of 1933 is available.</w:t>
      </w:r>
    </w:p>
    <w:p w14:paraId="3466C788" w14:textId="77777777" w:rsidR="00855A6F" w:rsidRPr="00FF6EA7" w:rsidRDefault="00855A6F" w:rsidP="00855A6F">
      <w:pPr>
        <w:pStyle w:val="BodyText"/>
      </w:pPr>
      <w:r w:rsidRPr="00FF6EA7">
        <w:t>Where:</w:t>
      </w:r>
    </w:p>
    <w:p w14:paraId="66017742" w14:textId="77777777" w:rsidR="00855A6F" w:rsidRPr="00FF6EA7" w:rsidRDefault="00855A6F" w:rsidP="00855A6F">
      <w:pPr>
        <w:pStyle w:val="BodyText"/>
      </w:pPr>
      <w:r w:rsidRPr="00FF6EA7">
        <w:t>“</w:t>
      </w:r>
      <w:r w:rsidRPr="00FF6EA7">
        <w:rPr>
          <w:b/>
        </w:rPr>
        <w:t>U.S person</w:t>
      </w:r>
      <w:r w:rsidRPr="00FF6EA7">
        <w:t>” means a “</w:t>
      </w:r>
      <w:r w:rsidRPr="00FF6EA7">
        <w:rPr>
          <w:i/>
        </w:rPr>
        <w:t>US person</w:t>
      </w:r>
      <w:r w:rsidRPr="00FF6EA7">
        <w:t>”, as the term is defined in Regulation S under the Securities Act of 1933 (as amended from time to time) and more particularly are references to: (i) any natural person that resides  in the U.S; (ii) any entity organised or incorporated under the laws of the U.S; (iii) any entity organised or incorporated outside the U.S</w:t>
      </w:r>
      <w:r>
        <w:t xml:space="preserve"> that was formed by a U.S. person principally for the purpose of investing in securities not registered under the Securities Act of 1933, unless it is organised or incorporated, and owned, by accredited investors (as defined in Section 501 of Regulation D promulgated under the Securities Act of 1933) who are not natural persons, estates or trusts;</w:t>
      </w:r>
      <w:r w:rsidRPr="00FF6EA7">
        <w:t xml:space="preserve"> (iv) any estate of which any executor or administrator is a US person ; (v) any trust of which</w:t>
      </w:r>
      <w:r>
        <w:t xml:space="preserve"> any trustee is a U.S person;</w:t>
      </w:r>
      <w:r w:rsidRPr="00FF6EA7">
        <w:t xml:space="preserve"> (vi) any agency or branch of a foreign entity located in the U.S</w:t>
      </w:r>
      <w:r>
        <w:t>; or (vii) any non-discretionary account or similar account (other than an estate or trust) held by a dealer or other fiduciary for the benefit or account of a U.S. person; and (viii) any discretionary account or similar account (other than an estate or trust) held by a dealer or other fiduciary organised, incorporated, or resident in the U.S.</w:t>
      </w:r>
      <w:r w:rsidRPr="00FF6EA7">
        <w:t>.  For the purposes hereof, the term “</w:t>
      </w:r>
      <w:r w:rsidRPr="00FF6EA7">
        <w:rPr>
          <w:b/>
        </w:rPr>
        <w:t>U.S person</w:t>
      </w:r>
      <w:r w:rsidRPr="00FF6EA7">
        <w:t>” shall not include any discretionary or non-discretionary account (other than an estate or trust) held for the benefit or account of a non-U.S person by a dealer or other professional fiduciary organised or incorporated in the US.  The term “</w:t>
      </w:r>
      <w:r w:rsidRPr="00FF6EA7">
        <w:rPr>
          <w:b/>
        </w:rPr>
        <w:t>U.S person</w:t>
      </w:r>
      <w:r w:rsidRPr="00FF6EA7">
        <w:t xml:space="preserve">” includes entities that are subject to the U.S Employee Retirement Income Securities Act of 1974, as amended, or other tax-exempt investors or entities in which substantially all of the ownership is held by U.S </w:t>
      </w:r>
      <w:r>
        <w:t>persons</w:t>
      </w:r>
      <w:r w:rsidRPr="00FF6EA7">
        <w:t>.</w:t>
      </w:r>
    </w:p>
    <w:p w14:paraId="61490A6C" w14:textId="77777777" w:rsidR="00855A6F" w:rsidRPr="00FF6EA7" w:rsidRDefault="00855A6F" w:rsidP="00855A6F">
      <w:pPr>
        <w:pStyle w:val="BodyText"/>
      </w:pPr>
      <w:r w:rsidRPr="00FF6EA7">
        <w:t>In relation to each Member State of the European Economic Area which has implemented the Prospectus Directive (each, a “</w:t>
      </w:r>
      <w:r w:rsidRPr="00FF6EA7">
        <w:rPr>
          <w:b/>
        </w:rPr>
        <w:t>Relevant Member State</w:t>
      </w:r>
      <w:r w:rsidRPr="00FF6EA7">
        <w:t xml:space="preserve">”), an offer of Notes to the public has not and may not be made in that Relevant Member State. </w:t>
      </w:r>
    </w:p>
    <w:p w14:paraId="4A21BD35" w14:textId="77777777" w:rsidR="00855A6F" w:rsidRPr="00FF6EA7" w:rsidRDefault="00855A6F" w:rsidP="00855A6F">
      <w:pPr>
        <w:pStyle w:val="BodyText"/>
      </w:pPr>
      <w:r w:rsidRPr="00FF6EA7">
        <w:t xml:space="preserve">No action has been taken in any jurisdiction that would permit a public offering of any of the Notes, or possession or distribution of the Programme Memorandum, this Series Memorandum or any part thereof or any other offering material, in any country or jurisdiction where action for that purpose is required. </w:t>
      </w:r>
    </w:p>
    <w:p w14:paraId="0B646A48" w14:textId="77777777" w:rsidR="00855A6F" w:rsidRPr="00FF6EA7" w:rsidRDefault="00855A6F" w:rsidP="00855A6F">
      <w:pPr>
        <w:pStyle w:val="BodyText"/>
      </w:pPr>
      <w:r w:rsidRPr="00FF6EA7">
        <w:t>NO OFFER, SALE OR DELIVERY OF THE NOTES, OR DISTRIBUTION OR PUBLICATION OF ANY OFFERING MATERIAL RELATING TO THE NOTES, MAY BE MADE IN OR FROM ANY JURISDICTION EXCEPT IN CIRCUMSTANCES WHICH WILL RESULT IN COMPLIANCE WITH ANY APPLICABLE LAWS AND REGULATIONS.  ANY OFFER OR SALE OF THE NOTES SHALL COMPLY WITH THE SELLING RESTRICTIONS AS SET OUT IN THE ISSUER’S OFFERING DOCUMENTS AND ALL APPLICABLE LAWS AND REGULATIONS.</w:t>
      </w:r>
    </w:p>
    <w:p w14:paraId="689B0486" w14:textId="77777777" w:rsidR="00F15482" w:rsidRDefault="00F15482" w:rsidP="00F15482">
      <w:pPr>
        <w:pStyle w:val="BodyText"/>
      </w:pPr>
    </w:p>
    <w:p w14:paraId="56E1F298" w14:textId="77777777" w:rsidR="000259DE" w:rsidRDefault="00F15482" w:rsidP="00F15482">
      <w:pPr>
        <w:pStyle w:val="PROSPECTUS-LEVEL1"/>
        <w:rPr>
          <w:b w:val="0"/>
        </w:rPr>
      </w:pPr>
      <w:r>
        <w:rPr>
          <w:b w:val="0"/>
        </w:rPr>
        <w:br w:type="page"/>
      </w:r>
    </w:p>
    <w:p w14:paraId="535B0977" w14:textId="78B17162" w:rsidR="00F15482" w:rsidRDefault="00F15482" w:rsidP="00F15482">
      <w:pPr>
        <w:pStyle w:val="PROSPECTUS-LEVEL1"/>
      </w:pPr>
      <w:bookmarkStart w:id="17" w:name="_Toc438553652"/>
      <w:r>
        <w:lastRenderedPageBreak/>
        <w:t>General information</w:t>
      </w:r>
      <w:bookmarkEnd w:id="17"/>
    </w:p>
    <w:p w14:paraId="6686F857" w14:textId="19493C0B" w:rsidR="00F15482" w:rsidRDefault="00855A6F" w:rsidP="00F15482">
      <w:pPr>
        <w:pStyle w:val="NA-LEVEL1"/>
        <w:numPr>
          <w:ilvl w:val="0"/>
          <w:numId w:val="0"/>
        </w:numPr>
        <w:tabs>
          <w:tab w:val="left" w:pos="720"/>
        </w:tabs>
      </w:pPr>
      <w:r>
        <w:t>For so long as the N</w:t>
      </w:r>
      <w:r w:rsidR="00F15482">
        <w:t xml:space="preserve">otes remain outstanding, the following documents will be available in physical form from the date hereof during usual business hours on any weekday (Saturdays, Sundays and public holidays excepted) for inspection at the registered office of the issuer and the specified office of the Principal Paying Agent in London: </w:t>
      </w:r>
    </w:p>
    <w:p w14:paraId="62F200D6" w14:textId="77777777" w:rsidR="00F15482" w:rsidRDefault="00F15482" w:rsidP="00F15482">
      <w:pPr>
        <w:pStyle w:val="SCH-LEVEL4"/>
        <w:numPr>
          <w:ilvl w:val="3"/>
          <w:numId w:val="36"/>
        </w:numPr>
      </w:pPr>
      <w:r>
        <w:t xml:space="preserve">the Master Documents which are incorporated by reference by the Constituting Instrument so as to constitute the Trust Deed, Agency Agreement, Custody Agreement, Placing Agreement, Charged Assets Sale Agreement and the Portfolio Management Agreement with respect to the Notes (to the extent not otherwise amended, modified and / or supplemented by the Constituting Instrument); </w:t>
      </w:r>
    </w:p>
    <w:p w14:paraId="79170CC5" w14:textId="77777777" w:rsidR="00F15482" w:rsidRDefault="00F15482" w:rsidP="00F15482">
      <w:pPr>
        <w:pStyle w:val="SCH-LEVEL4"/>
        <w:numPr>
          <w:ilvl w:val="3"/>
          <w:numId w:val="36"/>
        </w:numPr>
      </w:pPr>
      <w:r>
        <w:t xml:space="preserve">any deed or agreement supplemental to the Master Documents; </w:t>
      </w:r>
    </w:p>
    <w:p w14:paraId="0451EB83" w14:textId="77777777" w:rsidR="00F15482" w:rsidRDefault="00F15482" w:rsidP="00F15482">
      <w:pPr>
        <w:pStyle w:val="SCH-LEVEL4"/>
        <w:numPr>
          <w:ilvl w:val="3"/>
          <w:numId w:val="36"/>
        </w:numPr>
      </w:pPr>
      <w:r>
        <w:t xml:space="preserve">the Programme Memorandum; </w:t>
      </w:r>
    </w:p>
    <w:p w14:paraId="55C4C380" w14:textId="77777777" w:rsidR="00F15482" w:rsidRDefault="00F15482" w:rsidP="00F15482">
      <w:pPr>
        <w:pStyle w:val="SCH-LEVEL4"/>
        <w:numPr>
          <w:ilvl w:val="3"/>
          <w:numId w:val="36"/>
        </w:numPr>
      </w:pPr>
      <w:r>
        <w:t xml:space="preserve">the Certificate of Incorporation and the Memorandum and Articles of Association of the Issuer; </w:t>
      </w:r>
    </w:p>
    <w:p w14:paraId="788CE734" w14:textId="77777777" w:rsidR="00F15482" w:rsidRDefault="00F15482" w:rsidP="00F15482">
      <w:pPr>
        <w:pStyle w:val="SCH-LEVEL4"/>
        <w:numPr>
          <w:ilvl w:val="3"/>
          <w:numId w:val="36"/>
        </w:numPr>
      </w:pPr>
      <w:r>
        <w:t xml:space="preserve">the Constituting Instrument; </w:t>
      </w:r>
    </w:p>
    <w:p w14:paraId="508EB0B3" w14:textId="77777777" w:rsidR="00F15482" w:rsidRDefault="00F15482" w:rsidP="00F15482">
      <w:pPr>
        <w:pStyle w:val="SCH-LEVEL4"/>
        <w:numPr>
          <w:ilvl w:val="3"/>
          <w:numId w:val="36"/>
        </w:numPr>
      </w:pPr>
      <w:r>
        <w:t>the Charging Instrument; and</w:t>
      </w:r>
    </w:p>
    <w:p w14:paraId="0D1D91C8" w14:textId="77777777" w:rsidR="00F15482" w:rsidRDefault="00F15482" w:rsidP="00F15482">
      <w:pPr>
        <w:pStyle w:val="SCH-LEVEL4"/>
        <w:numPr>
          <w:ilvl w:val="3"/>
          <w:numId w:val="36"/>
        </w:numPr>
      </w:pPr>
      <w:r>
        <w:t xml:space="preserve">the </w:t>
      </w:r>
      <w:r>
        <w:rPr>
          <w:color w:val="000000"/>
        </w:rPr>
        <w:t>Margin Account Agreement</w:t>
      </w:r>
      <w:r>
        <w:t>.</w:t>
      </w:r>
    </w:p>
    <w:p w14:paraId="426E5576" w14:textId="77777777" w:rsidR="00F15482" w:rsidRDefault="00F15482" w:rsidP="00F15482">
      <w:pPr>
        <w:pStyle w:val="BodyText"/>
      </w:pPr>
      <w:r>
        <w:br w:type="page"/>
      </w:r>
    </w:p>
    <w:tbl>
      <w:tblPr>
        <w:tblW w:w="9301" w:type="dxa"/>
        <w:tblLook w:val="01E0" w:firstRow="1" w:lastRow="1" w:firstColumn="1" w:lastColumn="1" w:noHBand="0" w:noVBand="0"/>
      </w:tblPr>
      <w:tblGrid>
        <w:gridCol w:w="4515"/>
        <w:gridCol w:w="135"/>
        <w:gridCol w:w="4435"/>
        <w:gridCol w:w="216"/>
      </w:tblGrid>
      <w:tr w:rsidR="00233ED1" w:rsidRPr="007C3919" w14:paraId="7718E33D" w14:textId="77777777" w:rsidTr="00233ED1">
        <w:trPr>
          <w:gridAfter w:val="1"/>
          <w:wAfter w:w="216" w:type="dxa"/>
        </w:trPr>
        <w:tc>
          <w:tcPr>
            <w:tcW w:w="9085" w:type="dxa"/>
            <w:gridSpan w:val="3"/>
            <w:shd w:val="clear" w:color="auto" w:fill="auto"/>
          </w:tcPr>
          <w:p w14:paraId="397FCE44" w14:textId="77777777" w:rsidR="00233ED1" w:rsidRPr="007C3919" w:rsidRDefault="00233ED1" w:rsidP="00912AEE">
            <w:pPr>
              <w:pStyle w:val="BodyText"/>
              <w:jc w:val="center"/>
              <w:rPr>
                <w:b/>
              </w:rPr>
            </w:pPr>
            <w:r w:rsidRPr="007C3919">
              <w:rPr>
                <w:b/>
              </w:rPr>
              <w:lastRenderedPageBreak/>
              <w:t>REGISTERED OFFICE OF THE ISSUER</w:t>
            </w:r>
          </w:p>
        </w:tc>
      </w:tr>
      <w:tr w:rsidR="00233ED1" w:rsidRPr="007C3919" w14:paraId="28A26DE7" w14:textId="77777777" w:rsidTr="00233ED1">
        <w:trPr>
          <w:gridAfter w:val="1"/>
          <w:wAfter w:w="216" w:type="dxa"/>
          <w:trHeight w:val="927"/>
        </w:trPr>
        <w:tc>
          <w:tcPr>
            <w:tcW w:w="9085" w:type="dxa"/>
            <w:gridSpan w:val="3"/>
            <w:shd w:val="clear" w:color="auto" w:fill="auto"/>
          </w:tcPr>
          <w:p w14:paraId="10D28184" w14:textId="77777777" w:rsidR="00233ED1" w:rsidRPr="007C3919" w:rsidRDefault="00233ED1" w:rsidP="00912AEE">
            <w:pPr>
              <w:jc w:val="center"/>
            </w:pPr>
            <w:r w:rsidRPr="007C3919">
              <w:rPr>
                <w:b/>
              </w:rPr>
              <w:t>IA Capital Structures (Ireland) Plc</w:t>
            </w:r>
            <w:r w:rsidRPr="007C3919">
              <w:t xml:space="preserve"> </w:t>
            </w:r>
          </w:p>
          <w:p w14:paraId="76BF5D39" w14:textId="77777777" w:rsidR="00233ED1" w:rsidRPr="007C3919" w:rsidRDefault="00233ED1" w:rsidP="00912AEE">
            <w:pPr>
              <w:jc w:val="center"/>
            </w:pPr>
            <w:r w:rsidRPr="007C3919">
              <w:t>22 Clanwilliam Square</w:t>
            </w:r>
          </w:p>
          <w:p w14:paraId="26683D5C" w14:textId="77777777" w:rsidR="00233ED1" w:rsidRPr="007C3919" w:rsidRDefault="00233ED1" w:rsidP="00912AEE">
            <w:pPr>
              <w:jc w:val="center"/>
            </w:pPr>
            <w:r w:rsidRPr="007C3919">
              <w:t>Grand Canal Quay</w:t>
            </w:r>
          </w:p>
          <w:p w14:paraId="0806AA66" w14:textId="77777777" w:rsidR="00233ED1" w:rsidRPr="007C3919" w:rsidRDefault="00233ED1" w:rsidP="00912AEE">
            <w:pPr>
              <w:pStyle w:val="BodyText"/>
              <w:jc w:val="center"/>
            </w:pPr>
            <w:r w:rsidRPr="007C3919">
              <w:t>Dublin 2, Ireland</w:t>
            </w:r>
          </w:p>
          <w:p w14:paraId="02C3B279" w14:textId="77777777" w:rsidR="00233ED1" w:rsidRPr="007C3919" w:rsidRDefault="00233ED1" w:rsidP="00912AEE">
            <w:pPr>
              <w:pStyle w:val="BodyText"/>
              <w:spacing w:after="0"/>
              <w:jc w:val="center"/>
            </w:pPr>
          </w:p>
        </w:tc>
      </w:tr>
      <w:tr w:rsidR="00233ED1" w:rsidRPr="007C3919" w14:paraId="511699C4" w14:textId="77777777" w:rsidTr="00233ED1">
        <w:trPr>
          <w:gridAfter w:val="1"/>
          <w:wAfter w:w="216" w:type="dxa"/>
          <w:trHeight w:val="326"/>
        </w:trPr>
        <w:tc>
          <w:tcPr>
            <w:tcW w:w="4515" w:type="dxa"/>
            <w:shd w:val="clear" w:color="auto" w:fill="auto"/>
          </w:tcPr>
          <w:p w14:paraId="7A5EF542" w14:textId="77777777" w:rsidR="00233ED1" w:rsidRPr="00F6419A" w:rsidRDefault="00233ED1" w:rsidP="00912AEE">
            <w:pPr>
              <w:pStyle w:val="Bezriadkovania"/>
              <w:ind w:left="162" w:right="87"/>
              <w:jc w:val="center"/>
              <w:rPr>
                <w:b/>
              </w:rPr>
            </w:pPr>
            <w:r w:rsidRPr="007C3919">
              <w:rPr>
                <w:b/>
              </w:rPr>
              <w:t xml:space="preserve"> PLACING AGENT AND SALE AGENT</w:t>
            </w:r>
          </w:p>
        </w:tc>
        <w:tc>
          <w:tcPr>
            <w:tcW w:w="4570" w:type="dxa"/>
            <w:gridSpan w:val="2"/>
            <w:shd w:val="clear" w:color="auto" w:fill="auto"/>
          </w:tcPr>
          <w:p w14:paraId="27F3DA9E" w14:textId="77777777" w:rsidR="00233ED1" w:rsidRPr="007C3919" w:rsidRDefault="00233ED1" w:rsidP="00912AEE">
            <w:pPr>
              <w:pStyle w:val="BodyText"/>
              <w:ind w:left="597" w:right="427" w:firstLine="90"/>
              <w:jc w:val="center"/>
              <w:rPr>
                <w:b/>
              </w:rPr>
            </w:pPr>
            <w:r w:rsidRPr="007C3919">
              <w:rPr>
                <w:b/>
              </w:rPr>
              <w:t>ISSUE AGENT AND PRINCIPAL PAYING AGENT</w:t>
            </w:r>
          </w:p>
        </w:tc>
      </w:tr>
      <w:tr w:rsidR="00233ED1" w:rsidRPr="007C3919" w14:paraId="5459B8C0" w14:textId="77777777" w:rsidTr="00233ED1">
        <w:trPr>
          <w:gridAfter w:val="1"/>
          <w:wAfter w:w="216" w:type="dxa"/>
          <w:trHeight w:val="326"/>
        </w:trPr>
        <w:tc>
          <w:tcPr>
            <w:tcW w:w="4515" w:type="dxa"/>
            <w:shd w:val="clear" w:color="auto" w:fill="auto"/>
          </w:tcPr>
          <w:p w14:paraId="6B15E126" w14:textId="77777777" w:rsidR="00233ED1" w:rsidRPr="007C3919" w:rsidRDefault="00233ED1" w:rsidP="00912AEE">
            <w:pPr>
              <w:pStyle w:val="Bezriadkovania"/>
              <w:jc w:val="center"/>
              <w:rPr>
                <w:b/>
              </w:rPr>
            </w:pPr>
            <w:r w:rsidRPr="007C3919">
              <w:rPr>
                <w:b/>
              </w:rPr>
              <w:t>GWM Group, Inc.</w:t>
            </w:r>
          </w:p>
          <w:p w14:paraId="416B4CB1" w14:textId="77777777" w:rsidR="00233ED1" w:rsidRPr="007C3919" w:rsidRDefault="00233ED1" w:rsidP="00912AEE">
            <w:pPr>
              <w:pStyle w:val="BodyText"/>
              <w:spacing w:after="0"/>
              <w:jc w:val="center"/>
            </w:pPr>
            <w:r w:rsidRPr="007C3919">
              <w:t>177 Broad Street, 7</w:t>
            </w:r>
            <w:r w:rsidRPr="007C3919">
              <w:rPr>
                <w:vertAlign w:val="superscript"/>
              </w:rPr>
              <w:t>th</w:t>
            </w:r>
            <w:r w:rsidRPr="007C3919">
              <w:t xml:space="preserve"> Floor, Suite 708</w:t>
            </w:r>
          </w:p>
          <w:p w14:paraId="4C69ECB4" w14:textId="77777777" w:rsidR="00233ED1" w:rsidRPr="007C3919" w:rsidRDefault="00233ED1" w:rsidP="00912AEE">
            <w:pPr>
              <w:pStyle w:val="BodyText"/>
              <w:spacing w:after="0"/>
              <w:jc w:val="center"/>
            </w:pPr>
            <w:r w:rsidRPr="007C3919">
              <w:t>Stamford, CT 06</w:t>
            </w:r>
            <w:bookmarkStart w:id="18" w:name="_GoBack"/>
            <w:r w:rsidRPr="007C3919">
              <w:t>90</w:t>
            </w:r>
            <w:bookmarkEnd w:id="18"/>
            <w:r w:rsidRPr="007C3919">
              <w:t>1</w:t>
            </w:r>
          </w:p>
          <w:p w14:paraId="16AA9D65" w14:textId="77777777" w:rsidR="00233ED1" w:rsidRDefault="00233ED1" w:rsidP="00912AEE">
            <w:pPr>
              <w:pStyle w:val="BodyText"/>
              <w:spacing w:after="0"/>
              <w:jc w:val="center"/>
            </w:pPr>
            <w:r>
              <w:t>USA</w:t>
            </w:r>
          </w:p>
          <w:p w14:paraId="2A64E3AA" w14:textId="77777777" w:rsidR="00233ED1" w:rsidRDefault="00233ED1" w:rsidP="00912AEE">
            <w:pPr>
              <w:pStyle w:val="BodyText"/>
              <w:spacing w:after="0"/>
              <w:jc w:val="center"/>
            </w:pPr>
          </w:p>
          <w:p w14:paraId="7B7EBE88" w14:textId="77777777" w:rsidR="00233ED1" w:rsidRPr="00F6419A" w:rsidRDefault="00233ED1" w:rsidP="00912AEE">
            <w:pPr>
              <w:pStyle w:val="Bezriadkovania"/>
              <w:jc w:val="center"/>
              <w:rPr>
                <w:b/>
              </w:rPr>
            </w:pPr>
            <w:r w:rsidRPr="00F6419A">
              <w:rPr>
                <w:b/>
              </w:rPr>
              <w:t>GWM LTD</w:t>
            </w:r>
          </w:p>
          <w:p w14:paraId="48605613" w14:textId="77777777" w:rsidR="00233ED1" w:rsidRPr="00E3194E" w:rsidRDefault="00233ED1" w:rsidP="00912AEE">
            <w:pPr>
              <w:pStyle w:val="BodyText"/>
              <w:spacing w:after="0"/>
              <w:jc w:val="center"/>
            </w:pPr>
            <w:r w:rsidRPr="00E3194E">
              <w:t>Cumberland House, 7</w:t>
            </w:r>
            <w:r w:rsidRPr="00E3194E">
              <w:rPr>
                <w:vertAlign w:val="superscript"/>
              </w:rPr>
              <w:t>th</w:t>
            </w:r>
            <w:r w:rsidRPr="00E3194E">
              <w:t xml:space="preserve"> Floor</w:t>
            </w:r>
          </w:p>
          <w:p w14:paraId="32D2FBAF" w14:textId="77777777" w:rsidR="00233ED1" w:rsidRPr="00E3194E" w:rsidRDefault="00233ED1" w:rsidP="00912AEE">
            <w:pPr>
              <w:pStyle w:val="BodyText"/>
              <w:spacing w:after="0"/>
              <w:jc w:val="center"/>
            </w:pPr>
            <w:r w:rsidRPr="00E3194E">
              <w:t>1 Victoria Street</w:t>
            </w:r>
          </w:p>
          <w:p w14:paraId="630E27D0" w14:textId="77777777" w:rsidR="00233ED1" w:rsidRPr="00E3194E" w:rsidRDefault="00233ED1" w:rsidP="00912AEE">
            <w:pPr>
              <w:pStyle w:val="BodyText"/>
              <w:spacing w:after="0"/>
              <w:jc w:val="center"/>
            </w:pPr>
            <w:r w:rsidRPr="00E3194E">
              <w:t>Hamilton HM 11</w:t>
            </w:r>
          </w:p>
          <w:p w14:paraId="311A3C17" w14:textId="77777777" w:rsidR="00233ED1" w:rsidRDefault="00233ED1" w:rsidP="00912AEE">
            <w:pPr>
              <w:pStyle w:val="BodyText"/>
              <w:spacing w:after="0"/>
              <w:jc w:val="center"/>
            </w:pPr>
            <w:r w:rsidRPr="00E3194E">
              <w:t>Bermuda</w:t>
            </w:r>
          </w:p>
          <w:p w14:paraId="56801CEA" w14:textId="77777777" w:rsidR="00233ED1" w:rsidRPr="007C3919" w:rsidRDefault="00233ED1" w:rsidP="00912AEE">
            <w:pPr>
              <w:pStyle w:val="BodyText"/>
              <w:spacing w:after="0"/>
              <w:jc w:val="center"/>
            </w:pPr>
          </w:p>
        </w:tc>
        <w:tc>
          <w:tcPr>
            <w:tcW w:w="4570" w:type="dxa"/>
            <w:gridSpan w:val="2"/>
            <w:shd w:val="clear" w:color="auto" w:fill="auto"/>
          </w:tcPr>
          <w:p w14:paraId="0BE21FB1" w14:textId="77777777" w:rsidR="00233ED1" w:rsidRPr="007C3919" w:rsidRDefault="00233ED1" w:rsidP="00912AEE">
            <w:pPr>
              <w:pStyle w:val="BodyText"/>
              <w:spacing w:after="0"/>
              <w:jc w:val="center"/>
              <w:rPr>
                <w:b/>
              </w:rPr>
            </w:pPr>
            <w:r w:rsidRPr="007C3919">
              <w:rPr>
                <w:b/>
              </w:rPr>
              <w:t>Citibank N.A., London Branch</w:t>
            </w:r>
          </w:p>
          <w:p w14:paraId="7CE6853D" w14:textId="77777777" w:rsidR="00233ED1" w:rsidRPr="007C3919" w:rsidRDefault="00233ED1" w:rsidP="00912AEE">
            <w:pPr>
              <w:pStyle w:val="BodyText"/>
              <w:spacing w:after="0"/>
              <w:jc w:val="center"/>
            </w:pPr>
            <w:r w:rsidRPr="007C3919">
              <w:t>Citi Centre, Canada Square Canary Wharf, London E14 5LB,</w:t>
            </w:r>
          </w:p>
          <w:p w14:paraId="3292815A" w14:textId="77777777" w:rsidR="00233ED1" w:rsidRPr="007C3919" w:rsidRDefault="00233ED1" w:rsidP="00912AEE">
            <w:pPr>
              <w:pStyle w:val="BodyText"/>
              <w:spacing w:after="0"/>
              <w:jc w:val="center"/>
            </w:pPr>
            <w:r w:rsidRPr="007C3919">
              <w:t xml:space="preserve">United Kingdom </w:t>
            </w:r>
          </w:p>
          <w:p w14:paraId="39792DD7" w14:textId="77777777" w:rsidR="00233ED1" w:rsidRPr="007C3919" w:rsidRDefault="00233ED1" w:rsidP="00912AEE">
            <w:pPr>
              <w:pStyle w:val="BodyText"/>
              <w:spacing w:after="0"/>
              <w:jc w:val="center"/>
            </w:pPr>
          </w:p>
          <w:p w14:paraId="78E06A44" w14:textId="77777777" w:rsidR="00233ED1" w:rsidRPr="007C3919" w:rsidRDefault="00233ED1" w:rsidP="00912AEE">
            <w:pPr>
              <w:pStyle w:val="BodyText"/>
              <w:spacing w:after="0"/>
              <w:jc w:val="center"/>
            </w:pPr>
          </w:p>
        </w:tc>
      </w:tr>
      <w:tr w:rsidR="00233ED1" w:rsidRPr="007C3919" w14:paraId="2DD8A517" w14:textId="77777777" w:rsidTr="00233ED1">
        <w:trPr>
          <w:gridAfter w:val="1"/>
          <w:wAfter w:w="216" w:type="dxa"/>
          <w:trHeight w:val="326"/>
        </w:trPr>
        <w:tc>
          <w:tcPr>
            <w:tcW w:w="4515" w:type="dxa"/>
            <w:shd w:val="clear" w:color="auto" w:fill="auto"/>
          </w:tcPr>
          <w:p w14:paraId="111175F2" w14:textId="77777777" w:rsidR="00233ED1" w:rsidRPr="007C3919" w:rsidRDefault="00233ED1" w:rsidP="00912AEE">
            <w:pPr>
              <w:pStyle w:val="BodyText"/>
              <w:spacing w:after="0"/>
              <w:jc w:val="center"/>
              <w:rPr>
                <w:b/>
              </w:rPr>
            </w:pPr>
            <w:r w:rsidRPr="007C3919">
              <w:rPr>
                <w:b/>
              </w:rPr>
              <w:t>TRUSTEE</w:t>
            </w:r>
          </w:p>
          <w:p w14:paraId="65E6705F" w14:textId="77777777" w:rsidR="00233ED1" w:rsidRPr="007C3919" w:rsidRDefault="00233ED1" w:rsidP="00912AEE">
            <w:pPr>
              <w:pStyle w:val="BodyText"/>
              <w:spacing w:after="0"/>
              <w:jc w:val="center"/>
              <w:rPr>
                <w:b/>
              </w:rPr>
            </w:pPr>
          </w:p>
        </w:tc>
        <w:tc>
          <w:tcPr>
            <w:tcW w:w="4570" w:type="dxa"/>
            <w:gridSpan w:val="2"/>
            <w:shd w:val="clear" w:color="auto" w:fill="auto"/>
          </w:tcPr>
          <w:p w14:paraId="5471D3D6" w14:textId="77777777" w:rsidR="00233ED1" w:rsidRPr="007C3919" w:rsidRDefault="00233ED1" w:rsidP="00912AEE">
            <w:pPr>
              <w:pStyle w:val="BodyText"/>
              <w:spacing w:after="0"/>
              <w:jc w:val="center"/>
              <w:rPr>
                <w:b/>
              </w:rPr>
            </w:pPr>
            <w:r w:rsidRPr="007C3919">
              <w:rPr>
                <w:b/>
              </w:rPr>
              <w:t>AUDITORS OF THE ISSUER</w:t>
            </w:r>
          </w:p>
        </w:tc>
      </w:tr>
      <w:tr w:rsidR="00233ED1" w:rsidRPr="007C3919" w14:paraId="2F337341" w14:textId="77777777" w:rsidTr="00233ED1">
        <w:trPr>
          <w:gridAfter w:val="1"/>
          <w:wAfter w:w="216" w:type="dxa"/>
          <w:trHeight w:val="326"/>
        </w:trPr>
        <w:tc>
          <w:tcPr>
            <w:tcW w:w="4515" w:type="dxa"/>
            <w:shd w:val="clear" w:color="auto" w:fill="auto"/>
          </w:tcPr>
          <w:p w14:paraId="6B422FDB" w14:textId="77777777" w:rsidR="00233ED1" w:rsidRPr="007C3919" w:rsidRDefault="00233ED1" w:rsidP="00912AEE">
            <w:pPr>
              <w:pStyle w:val="BodyText"/>
              <w:spacing w:after="0"/>
              <w:jc w:val="center"/>
            </w:pPr>
            <w:r w:rsidRPr="007C3919">
              <w:rPr>
                <w:b/>
              </w:rPr>
              <w:t>Sanne Fiduciary Services Limited</w:t>
            </w:r>
          </w:p>
          <w:p w14:paraId="6532CFDB" w14:textId="77777777" w:rsidR="00233ED1" w:rsidRPr="007C3919" w:rsidRDefault="00233ED1" w:rsidP="00912AEE">
            <w:pPr>
              <w:pStyle w:val="BodyText"/>
              <w:spacing w:after="0"/>
              <w:jc w:val="center"/>
            </w:pPr>
            <w:r w:rsidRPr="007C3919">
              <w:t>13 Castle Street, St Helier,</w:t>
            </w:r>
          </w:p>
          <w:p w14:paraId="695CE297" w14:textId="77777777" w:rsidR="00233ED1" w:rsidRPr="007C3919" w:rsidRDefault="00233ED1" w:rsidP="00912AEE">
            <w:pPr>
              <w:pStyle w:val="BodyText"/>
              <w:spacing w:after="0"/>
              <w:jc w:val="center"/>
              <w:rPr>
                <w:b/>
              </w:rPr>
            </w:pPr>
            <w:r w:rsidRPr="007C3919">
              <w:t>Jersey JE4 5UT</w:t>
            </w:r>
          </w:p>
          <w:p w14:paraId="2B6DB97C" w14:textId="77777777" w:rsidR="00233ED1" w:rsidRPr="007C3919" w:rsidRDefault="00233ED1" w:rsidP="00912AEE">
            <w:pPr>
              <w:pStyle w:val="BodyText"/>
              <w:spacing w:after="0"/>
            </w:pPr>
          </w:p>
          <w:p w14:paraId="2B71A2D7" w14:textId="77777777" w:rsidR="00233ED1" w:rsidRPr="007C3919" w:rsidRDefault="00233ED1" w:rsidP="00912AEE">
            <w:pPr>
              <w:pStyle w:val="BodyText"/>
              <w:spacing w:after="0"/>
            </w:pPr>
          </w:p>
          <w:p w14:paraId="4180CEF3" w14:textId="77777777" w:rsidR="00233ED1" w:rsidRPr="007C3919" w:rsidRDefault="00233ED1" w:rsidP="00912AEE">
            <w:pPr>
              <w:pStyle w:val="BodyText"/>
              <w:spacing w:after="0"/>
            </w:pPr>
          </w:p>
          <w:p w14:paraId="059006A4" w14:textId="77777777" w:rsidR="00233ED1" w:rsidRPr="007C3919" w:rsidRDefault="00233ED1" w:rsidP="00912AEE">
            <w:pPr>
              <w:pStyle w:val="BodyText"/>
              <w:spacing w:after="0"/>
            </w:pPr>
          </w:p>
        </w:tc>
        <w:tc>
          <w:tcPr>
            <w:tcW w:w="4570" w:type="dxa"/>
            <w:gridSpan w:val="2"/>
            <w:shd w:val="clear" w:color="auto" w:fill="auto"/>
          </w:tcPr>
          <w:p w14:paraId="015B6433" w14:textId="77777777" w:rsidR="00233ED1" w:rsidRPr="007C3919" w:rsidRDefault="00233ED1" w:rsidP="00912AEE">
            <w:pPr>
              <w:pStyle w:val="BodyText"/>
              <w:spacing w:after="0"/>
              <w:jc w:val="center"/>
              <w:rPr>
                <w:b/>
              </w:rPr>
            </w:pPr>
            <w:r w:rsidRPr="007C3919">
              <w:rPr>
                <w:b/>
              </w:rPr>
              <w:t>PricewaterhouseCoopers</w:t>
            </w:r>
          </w:p>
          <w:p w14:paraId="2A1FA8DC" w14:textId="77777777" w:rsidR="00233ED1" w:rsidRPr="007C3919" w:rsidRDefault="00233ED1" w:rsidP="00912AEE">
            <w:pPr>
              <w:pStyle w:val="BodyText"/>
              <w:spacing w:after="0"/>
              <w:jc w:val="center"/>
            </w:pPr>
            <w:r w:rsidRPr="007C3919">
              <w:t>One Spencer Dock,</w:t>
            </w:r>
          </w:p>
          <w:p w14:paraId="1B9DB978" w14:textId="77777777" w:rsidR="00233ED1" w:rsidRPr="007C3919" w:rsidRDefault="00233ED1" w:rsidP="00912AEE">
            <w:pPr>
              <w:pStyle w:val="BodyText"/>
              <w:spacing w:after="0"/>
              <w:jc w:val="center"/>
            </w:pPr>
            <w:r w:rsidRPr="007C3919">
              <w:t xml:space="preserve">North Wall Quay, </w:t>
            </w:r>
          </w:p>
          <w:p w14:paraId="1DD68C30" w14:textId="77777777" w:rsidR="00233ED1" w:rsidRDefault="00233ED1" w:rsidP="00912AEE">
            <w:pPr>
              <w:pStyle w:val="BodyText"/>
              <w:spacing w:after="0"/>
              <w:ind w:firstLine="709"/>
              <w:jc w:val="left"/>
            </w:pPr>
            <w:r w:rsidRPr="007C3919">
              <w:t xml:space="preserve">             Dublin 1, Ireland</w:t>
            </w:r>
          </w:p>
          <w:p w14:paraId="0CE102C2" w14:textId="77777777" w:rsidR="00233ED1" w:rsidRPr="007C3919" w:rsidRDefault="00233ED1" w:rsidP="00912AEE">
            <w:pPr>
              <w:pStyle w:val="BodyText"/>
              <w:spacing w:after="0"/>
              <w:ind w:firstLine="709"/>
              <w:jc w:val="left"/>
            </w:pPr>
          </w:p>
        </w:tc>
      </w:tr>
      <w:tr w:rsidR="00233ED1" w14:paraId="6C29926E" w14:textId="77777777" w:rsidTr="00233ED1">
        <w:trPr>
          <w:trHeight w:val="326"/>
        </w:trPr>
        <w:tc>
          <w:tcPr>
            <w:tcW w:w="4650" w:type="dxa"/>
            <w:gridSpan w:val="2"/>
            <w:hideMark/>
          </w:tcPr>
          <w:p w14:paraId="435C17BB" w14:textId="77777777" w:rsidR="00233ED1" w:rsidRPr="007C3919" w:rsidRDefault="00233ED1" w:rsidP="00233ED1">
            <w:pPr>
              <w:spacing w:line="288" w:lineRule="auto"/>
              <w:jc w:val="center"/>
              <w:rPr>
                <w:b/>
              </w:rPr>
            </w:pPr>
            <w:r>
              <w:rPr>
                <w:b/>
              </w:rPr>
              <w:t>ARRANGER AND CALCULATION AGENT</w:t>
            </w:r>
          </w:p>
          <w:p w14:paraId="2697C0BF" w14:textId="77777777" w:rsidR="00233ED1" w:rsidRPr="007C3919" w:rsidRDefault="00233ED1" w:rsidP="00233ED1">
            <w:pPr>
              <w:pStyle w:val="BodyText"/>
              <w:spacing w:after="0"/>
              <w:jc w:val="center"/>
            </w:pPr>
            <w:r w:rsidRPr="007C3919">
              <w:rPr>
                <w:b/>
              </w:rPr>
              <w:t xml:space="preserve">FlexFunds </w:t>
            </w:r>
            <w:r>
              <w:rPr>
                <w:b/>
              </w:rPr>
              <w:t>LTD</w:t>
            </w:r>
          </w:p>
          <w:p w14:paraId="26CA32A3" w14:textId="77777777" w:rsidR="00233ED1" w:rsidRPr="007C3919" w:rsidRDefault="00233ED1" w:rsidP="00233ED1">
            <w:pPr>
              <w:pStyle w:val="BodyText"/>
              <w:spacing w:after="0"/>
              <w:jc w:val="center"/>
            </w:pPr>
            <w:r>
              <w:t>94 Solaris Avenue</w:t>
            </w:r>
          </w:p>
          <w:p w14:paraId="36054EA0" w14:textId="77777777" w:rsidR="00233ED1" w:rsidRPr="007C3919" w:rsidRDefault="00233ED1" w:rsidP="00233ED1">
            <w:pPr>
              <w:pStyle w:val="BodyText"/>
              <w:spacing w:after="0"/>
              <w:jc w:val="center"/>
            </w:pPr>
            <w:r>
              <w:t>Camana Bay</w:t>
            </w:r>
          </w:p>
          <w:p w14:paraId="04A62330" w14:textId="77777777" w:rsidR="00233ED1" w:rsidRDefault="00233ED1" w:rsidP="00233ED1">
            <w:pPr>
              <w:pStyle w:val="BodyText"/>
              <w:spacing w:after="0"/>
              <w:jc w:val="center"/>
            </w:pPr>
            <w:r>
              <w:t>PO Box 1348</w:t>
            </w:r>
          </w:p>
          <w:p w14:paraId="74A09624" w14:textId="77777777" w:rsidR="00233ED1" w:rsidRDefault="00233ED1" w:rsidP="00233ED1">
            <w:pPr>
              <w:pStyle w:val="BodyText"/>
              <w:spacing w:after="0"/>
              <w:jc w:val="center"/>
            </w:pPr>
            <w:r>
              <w:t>Grand Cayman KY1-1108</w:t>
            </w:r>
          </w:p>
          <w:p w14:paraId="4FACDBA3" w14:textId="77777777" w:rsidR="00233ED1" w:rsidRPr="007C3919" w:rsidRDefault="00233ED1" w:rsidP="00233ED1">
            <w:pPr>
              <w:pStyle w:val="BodyText"/>
              <w:spacing w:after="0"/>
              <w:jc w:val="center"/>
            </w:pPr>
            <w:r>
              <w:t>Cayman Islands</w:t>
            </w:r>
          </w:p>
          <w:p w14:paraId="1EE96D6E" w14:textId="77777777" w:rsidR="00233ED1" w:rsidRDefault="00233ED1" w:rsidP="00233ED1">
            <w:pPr>
              <w:pStyle w:val="BodyText"/>
              <w:spacing w:after="0"/>
              <w:jc w:val="center"/>
            </w:pPr>
          </w:p>
          <w:p w14:paraId="7C17E44F" w14:textId="77777777" w:rsidR="00233ED1" w:rsidRDefault="00233ED1" w:rsidP="00233ED1">
            <w:pPr>
              <w:pStyle w:val="BodyText"/>
              <w:spacing w:after="0"/>
              <w:jc w:val="center"/>
            </w:pPr>
          </w:p>
          <w:p w14:paraId="5EE6E841" w14:textId="682A9569" w:rsidR="00233ED1" w:rsidRDefault="00233ED1" w:rsidP="00233ED1">
            <w:pPr>
              <w:pStyle w:val="BodyText"/>
              <w:spacing w:after="0"/>
              <w:jc w:val="center"/>
            </w:pPr>
          </w:p>
        </w:tc>
        <w:tc>
          <w:tcPr>
            <w:tcW w:w="4651" w:type="dxa"/>
            <w:gridSpan w:val="2"/>
          </w:tcPr>
          <w:p w14:paraId="2F5484DE" w14:textId="77777777" w:rsidR="00233ED1" w:rsidRDefault="00233ED1" w:rsidP="00233ED1">
            <w:pPr>
              <w:spacing w:line="288" w:lineRule="auto"/>
              <w:jc w:val="center"/>
            </w:pPr>
            <w:r>
              <w:rPr>
                <w:b/>
              </w:rPr>
              <w:t>PORTFOLIO MANAGER</w:t>
            </w:r>
          </w:p>
          <w:p w14:paraId="587A02D4" w14:textId="77777777" w:rsidR="00233ED1" w:rsidRPr="00773C70" w:rsidRDefault="00233ED1" w:rsidP="00233ED1">
            <w:pPr>
              <w:pStyle w:val="BodyText"/>
              <w:spacing w:after="0"/>
              <w:jc w:val="center"/>
              <w:rPr>
                <w:b/>
                <w:highlight w:val="green"/>
              </w:rPr>
            </w:pPr>
            <w:r>
              <w:rPr>
                <w:b/>
                <w:highlight w:val="green"/>
              </w:rPr>
              <w:t>[B21]</w:t>
            </w:r>
          </w:p>
          <w:p w14:paraId="5BCB521C" w14:textId="77777777" w:rsidR="00233ED1" w:rsidRPr="00773C70" w:rsidRDefault="00233ED1" w:rsidP="00233ED1">
            <w:pPr>
              <w:pStyle w:val="BodyText"/>
              <w:spacing w:after="0"/>
              <w:jc w:val="center"/>
              <w:rPr>
                <w:highlight w:val="green"/>
              </w:rPr>
            </w:pPr>
            <w:r>
              <w:rPr>
                <w:highlight w:val="green"/>
              </w:rPr>
              <w:t>[B22]</w:t>
            </w:r>
          </w:p>
          <w:p w14:paraId="2219E6DF" w14:textId="77777777" w:rsidR="00233ED1" w:rsidRDefault="00233ED1" w:rsidP="00233ED1">
            <w:pPr>
              <w:pStyle w:val="BodyText"/>
              <w:spacing w:after="0"/>
              <w:jc w:val="center"/>
            </w:pPr>
            <w:r>
              <w:rPr>
                <w:highlight w:val="green"/>
              </w:rPr>
              <w:t>[B23</w:t>
            </w:r>
            <w:r w:rsidRPr="00B02AB4">
              <w:rPr>
                <w:highlight w:val="green"/>
              </w:rPr>
              <w:t>]</w:t>
            </w:r>
          </w:p>
          <w:p w14:paraId="54DF5200" w14:textId="77777777" w:rsidR="00233ED1" w:rsidRDefault="00233ED1" w:rsidP="00233ED1">
            <w:pPr>
              <w:pStyle w:val="BodyText"/>
              <w:spacing w:after="0"/>
            </w:pPr>
          </w:p>
          <w:p w14:paraId="1659A318" w14:textId="77777777" w:rsidR="00233ED1" w:rsidRDefault="00233ED1" w:rsidP="00233ED1">
            <w:pPr>
              <w:pStyle w:val="BodyText"/>
              <w:spacing w:after="0"/>
            </w:pPr>
          </w:p>
          <w:p w14:paraId="07D28213" w14:textId="77777777" w:rsidR="00233ED1" w:rsidRDefault="00233ED1" w:rsidP="00233ED1">
            <w:pPr>
              <w:pStyle w:val="BodyText"/>
              <w:spacing w:after="0"/>
            </w:pPr>
          </w:p>
          <w:p w14:paraId="01CDE9FD" w14:textId="77777777" w:rsidR="00233ED1" w:rsidRDefault="00233ED1" w:rsidP="00233ED1">
            <w:pPr>
              <w:pStyle w:val="BodyText"/>
              <w:spacing w:after="0"/>
            </w:pPr>
          </w:p>
          <w:p w14:paraId="539636B2" w14:textId="77777777" w:rsidR="00233ED1" w:rsidRDefault="00233ED1" w:rsidP="00233ED1">
            <w:pPr>
              <w:pStyle w:val="BodyText"/>
              <w:spacing w:after="0"/>
            </w:pPr>
          </w:p>
          <w:p w14:paraId="0B700C67" w14:textId="5F57566D" w:rsidR="00233ED1" w:rsidRPr="007C3919" w:rsidRDefault="00233ED1" w:rsidP="00233ED1">
            <w:pPr>
              <w:pStyle w:val="BodyText"/>
              <w:spacing w:after="0"/>
              <w:rPr>
                <w:b/>
              </w:rPr>
            </w:pPr>
          </w:p>
          <w:p w14:paraId="17AD3DD3" w14:textId="6ECF7355" w:rsidR="00233ED1" w:rsidRDefault="00233ED1" w:rsidP="00233ED1">
            <w:pPr>
              <w:spacing w:line="288" w:lineRule="auto"/>
              <w:jc w:val="center"/>
            </w:pPr>
          </w:p>
        </w:tc>
      </w:tr>
      <w:tr w:rsidR="00233ED1" w14:paraId="6519BA2C" w14:textId="77777777" w:rsidTr="00233ED1">
        <w:trPr>
          <w:trHeight w:val="314"/>
        </w:trPr>
        <w:tc>
          <w:tcPr>
            <w:tcW w:w="9301" w:type="dxa"/>
            <w:gridSpan w:val="4"/>
          </w:tcPr>
          <w:p w14:paraId="5C773ADB" w14:textId="77777777" w:rsidR="00233ED1" w:rsidRDefault="00233ED1" w:rsidP="00233ED1">
            <w:pPr>
              <w:pStyle w:val="BodyText"/>
              <w:spacing w:after="0"/>
              <w:jc w:val="center"/>
            </w:pPr>
          </w:p>
        </w:tc>
      </w:tr>
    </w:tbl>
    <w:p w14:paraId="071C89A6" w14:textId="77777777" w:rsidR="00F15482" w:rsidRDefault="00F15482" w:rsidP="00F15482"/>
    <w:p w14:paraId="6CD954E2" w14:textId="77777777" w:rsidR="00F15482" w:rsidRPr="00BA1A85" w:rsidRDefault="00F15482" w:rsidP="00F15482"/>
    <w:tbl>
      <w:tblPr>
        <w:tblW w:w="9301" w:type="dxa"/>
        <w:tblInd w:w="-108" w:type="dxa"/>
        <w:tblLook w:val="01E0" w:firstRow="1" w:lastRow="1" w:firstColumn="1" w:lastColumn="1" w:noHBand="0" w:noVBand="0"/>
      </w:tblPr>
      <w:tblGrid>
        <w:gridCol w:w="4650"/>
        <w:gridCol w:w="4651"/>
      </w:tblGrid>
      <w:tr w:rsidR="00233ED1" w:rsidRPr="007C3919" w14:paraId="5904C227" w14:textId="77777777" w:rsidTr="00912AEE">
        <w:trPr>
          <w:trHeight w:val="314"/>
        </w:trPr>
        <w:tc>
          <w:tcPr>
            <w:tcW w:w="9301" w:type="dxa"/>
            <w:gridSpan w:val="2"/>
          </w:tcPr>
          <w:p w14:paraId="349B89FC" w14:textId="77777777" w:rsidR="00233ED1" w:rsidRPr="007C3919" w:rsidRDefault="00233ED1" w:rsidP="00912AEE">
            <w:pPr>
              <w:pStyle w:val="BodyText"/>
              <w:spacing w:after="0"/>
              <w:jc w:val="center"/>
              <w:rPr>
                <w:b/>
              </w:rPr>
            </w:pPr>
            <w:r w:rsidRPr="007C3919">
              <w:rPr>
                <w:b/>
              </w:rPr>
              <w:t>LEGAL ADVISERS</w:t>
            </w:r>
          </w:p>
          <w:p w14:paraId="3E73DB20" w14:textId="77777777" w:rsidR="00233ED1" w:rsidRDefault="00233ED1" w:rsidP="00912AEE">
            <w:pPr>
              <w:pStyle w:val="BodyText"/>
              <w:spacing w:after="0"/>
              <w:jc w:val="center"/>
            </w:pPr>
          </w:p>
          <w:p w14:paraId="4E096216" w14:textId="77777777" w:rsidR="00D22F00" w:rsidRPr="007C3919" w:rsidRDefault="00D22F00" w:rsidP="00912AEE">
            <w:pPr>
              <w:pStyle w:val="BodyText"/>
              <w:spacing w:after="0"/>
              <w:jc w:val="center"/>
            </w:pPr>
          </w:p>
        </w:tc>
      </w:tr>
      <w:tr w:rsidR="00233ED1" w:rsidRPr="007C3919" w14:paraId="47F0190C" w14:textId="77777777" w:rsidTr="00912AEE">
        <w:trPr>
          <w:trHeight w:val="314"/>
        </w:trPr>
        <w:tc>
          <w:tcPr>
            <w:tcW w:w="4650" w:type="dxa"/>
            <w:hideMark/>
          </w:tcPr>
          <w:p w14:paraId="26993C0B" w14:textId="77777777" w:rsidR="00233ED1" w:rsidRPr="007C3919" w:rsidRDefault="00233ED1" w:rsidP="00912AEE">
            <w:pPr>
              <w:pStyle w:val="BodyText"/>
              <w:spacing w:after="0"/>
              <w:jc w:val="center"/>
              <w:rPr>
                <w:i/>
              </w:rPr>
            </w:pPr>
            <w:r w:rsidRPr="007C3919">
              <w:rPr>
                <w:i/>
              </w:rPr>
              <w:t>To the Trustee as to Irish Law:</w:t>
            </w:r>
          </w:p>
        </w:tc>
        <w:tc>
          <w:tcPr>
            <w:tcW w:w="4651" w:type="dxa"/>
          </w:tcPr>
          <w:p w14:paraId="5FA13EB9" w14:textId="77777777" w:rsidR="00233ED1" w:rsidRPr="007C3919" w:rsidRDefault="00233ED1" w:rsidP="00912AEE">
            <w:pPr>
              <w:pStyle w:val="BodyText"/>
              <w:spacing w:after="0"/>
              <w:jc w:val="center"/>
              <w:rPr>
                <w:i/>
              </w:rPr>
            </w:pPr>
            <w:r w:rsidRPr="007C3919">
              <w:rPr>
                <w:i/>
              </w:rPr>
              <w:t>To the Issuer as to Irish Law:</w:t>
            </w:r>
          </w:p>
        </w:tc>
      </w:tr>
      <w:tr w:rsidR="00233ED1" w:rsidRPr="007C3919" w14:paraId="67D19615" w14:textId="77777777" w:rsidTr="00912AEE">
        <w:trPr>
          <w:trHeight w:val="1738"/>
        </w:trPr>
        <w:tc>
          <w:tcPr>
            <w:tcW w:w="4650" w:type="dxa"/>
            <w:hideMark/>
          </w:tcPr>
          <w:p w14:paraId="60FDB308" w14:textId="77777777" w:rsidR="00233ED1" w:rsidRPr="007C3919" w:rsidRDefault="00233ED1" w:rsidP="00912AEE">
            <w:pPr>
              <w:pStyle w:val="BodyText"/>
              <w:spacing w:after="0"/>
              <w:jc w:val="center"/>
            </w:pPr>
            <w:r w:rsidRPr="007C3919">
              <w:rPr>
                <w:b/>
              </w:rPr>
              <w:t>A&amp;L Goodbody</w:t>
            </w:r>
          </w:p>
          <w:p w14:paraId="7FCA134B" w14:textId="77777777" w:rsidR="00233ED1" w:rsidRPr="007C3919" w:rsidRDefault="00233ED1" w:rsidP="00912AEE">
            <w:pPr>
              <w:pStyle w:val="BodyText"/>
              <w:spacing w:after="0"/>
              <w:jc w:val="center"/>
            </w:pPr>
            <w:r w:rsidRPr="007C3919">
              <w:t>IFSC</w:t>
            </w:r>
          </w:p>
          <w:p w14:paraId="065318D7" w14:textId="77777777" w:rsidR="00233ED1" w:rsidRPr="007C3919" w:rsidRDefault="00233ED1" w:rsidP="00912AEE">
            <w:pPr>
              <w:pStyle w:val="BodyText"/>
              <w:spacing w:after="0"/>
              <w:jc w:val="center"/>
            </w:pPr>
            <w:r w:rsidRPr="007C3919">
              <w:t>North Wall Quay</w:t>
            </w:r>
          </w:p>
          <w:p w14:paraId="3CEC957F" w14:textId="77777777" w:rsidR="00233ED1" w:rsidRPr="007C3919" w:rsidRDefault="00233ED1" w:rsidP="00912AEE">
            <w:pPr>
              <w:pStyle w:val="BodyText"/>
              <w:spacing w:after="0"/>
              <w:jc w:val="center"/>
            </w:pPr>
            <w:r w:rsidRPr="007C3919">
              <w:t>Dublin 1</w:t>
            </w:r>
          </w:p>
          <w:p w14:paraId="5B2FF51D" w14:textId="77777777" w:rsidR="00233ED1" w:rsidRPr="007C3919" w:rsidRDefault="00233ED1" w:rsidP="00912AEE">
            <w:pPr>
              <w:pStyle w:val="BodyText"/>
              <w:spacing w:after="0"/>
              <w:jc w:val="center"/>
            </w:pPr>
            <w:r w:rsidRPr="007C3919">
              <w:t>Ireland</w:t>
            </w:r>
          </w:p>
        </w:tc>
        <w:tc>
          <w:tcPr>
            <w:tcW w:w="4651" w:type="dxa"/>
          </w:tcPr>
          <w:p w14:paraId="59DB3A6B" w14:textId="77777777" w:rsidR="00233ED1" w:rsidRPr="007C3919" w:rsidRDefault="00233ED1" w:rsidP="00912AEE">
            <w:pPr>
              <w:pStyle w:val="BodyText"/>
              <w:spacing w:after="0"/>
              <w:jc w:val="center"/>
              <w:rPr>
                <w:b/>
              </w:rPr>
            </w:pPr>
            <w:r w:rsidRPr="007C3919">
              <w:rPr>
                <w:b/>
              </w:rPr>
              <w:t>Mason Hayes &amp; Curran</w:t>
            </w:r>
          </w:p>
          <w:p w14:paraId="4A5CEF64" w14:textId="77777777" w:rsidR="00233ED1" w:rsidRPr="007C3919" w:rsidRDefault="00233ED1" w:rsidP="00912AEE">
            <w:pPr>
              <w:pStyle w:val="BodyText"/>
              <w:spacing w:after="0"/>
              <w:jc w:val="center"/>
            </w:pPr>
            <w:r w:rsidRPr="007C3919">
              <w:t>South Bank House,</w:t>
            </w:r>
          </w:p>
          <w:p w14:paraId="6A58A4F8" w14:textId="77777777" w:rsidR="00233ED1" w:rsidRPr="007C3919" w:rsidRDefault="00233ED1" w:rsidP="00912AEE">
            <w:pPr>
              <w:pStyle w:val="BodyText"/>
              <w:spacing w:after="0"/>
              <w:jc w:val="center"/>
            </w:pPr>
            <w:r w:rsidRPr="007C3919">
              <w:t>Barrow Street</w:t>
            </w:r>
          </w:p>
          <w:p w14:paraId="65BDAF89" w14:textId="77777777" w:rsidR="00233ED1" w:rsidRPr="007C3919" w:rsidRDefault="00233ED1" w:rsidP="00912AEE">
            <w:pPr>
              <w:pStyle w:val="BodyText"/>
              <w:spacing w:after="0"/>
              <w:jc w:val="center"/>
            </w:pPr>
            <w:r w:rsidRPr="007C3919">
              <w:t>Dublin 4</w:t>
            </w:r>
          </w:p>
          <w:p w14:paraId="3903F4C2" w14:textId="77777777" w:rsidR="00233ED1" w:rsidRPr="007C3919" w:rsidRDefault="00233ED1" w:rsidP="00912AEE">
            <w:pPr>
              <w:pStyle w:val="BodyText"/>
              <w:spacing w:after="0"/>
              <w:jc w:val="center"/>
            </w:pPr>
            <w:r w:rsidRPr="007C3919">
              <w:t>Ireland</w:t>
            </w:r>
          </w:p>
        </w:tc>
      </w:tr>
    </w:tbl>
    <w:p w14:paraId="6E779B23" w14:textId="77777777" w:rsidR="00233ED1" w:rsidRPr="007C3919" w:rsidRDefault="00233ED1" w:rsidP="00233ED1"/>
    <w:p w14:paraId="1FDA3A3B" w14:textId="77777777" w:rsidR="001C3C2E" w:rsidRPr="00F15482" w:rsidRDefault="001C3C2E" w:rsidP="00F15482"/>
    <w:sectPr w:rsidR="001C3C2E" w:rsidRPr="00F15482" w:rsidSect="001C3C2E">
      <w:footerReference w:type="even" r:id="rId14"/>
      <w:footerReference w:type="default" r:id="rId15"/>
      <w:footerReference w:type="first" r:id="rId16"/>
      <w:pgSz w:w="11907" w:h="16840" w:code="9"/>
      <w:pgMar w:top="1411" w:right="1411" w:bottom="1411" w:left="1411"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4BEA17" w14:textId="77777777" w:rsidR="008034A1" w:rsidRDefault="008034A1" w:rsidP="001C3C2E">
      <w:r>
        <w:separator/>
      </w:r>
    </w:p>
  </w:endnote>
  <w:endnote w:type="continuationSeparator" w:id="0">
    <w:p w14:paraId="18B30531" w14:textId="77777777" w:rsidR="008034A1" w:rsidRDefault="008034A1" w:rsidP="001C3C2E">
      <w:r>
        <w:continuationSeparator/>
      </w:r>
    </w:p>
  </w:endnote>
  <w:endnote w:type="continuationNotice" w:id="1">
    <w:p w14:paraId="37D96397" w14:textId="77777777" w:rsidR="008034A1" w:rsidRDefault="008034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08608" w14:textId="77777777" w:rsidR="00062189" w:rsidRDefault="00062189">
    <w:pPr>
      <w:pStyle w:val="Footer"/>
    </w:pPr>
  </w:p>
  <w:p w14:paraId="6852A40A" w14:textId="77777777" w:rsidR="00062189" w:rsidRPr="00517D54" w:rsidRDefault="008034A1" w:rsidP="00517D54">
    <w:pPr>
      <w:pStyle w:val="Footer"/>
      <w:jc w:val="right"/>
    </w:pPr>
    <w:r>
      <w:fldChar w:fldCharType="begin"/>
    </w:r>
    <w:r>
      <w:instrText xml:space="preserve"> DOCPROPERTY "IWFooter"  \* MERGEFORMAT </w:instrText>
    </w:r>
    <w:r>
      <w:fldChar w:fldCharType="separate"/>
    </w:r>
    <w:r w:rsidR="00062189">
      <w:t>MHC-9494841-2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A3705" w14:textId="74D672D0" w:rsidR="00062189" w:rsidRDefault="00062189">
    <w:pPr>
      <w:pStyle w:val="Footer"/>
    </w:pPr>
  </w:p>
  <w:p w14:paraId="61FF837B" w14:textId="23BE79F5" w:rsidR="00062189" w:rsidRPr="001158A6" w:rsidRDefault="008034A1" w:rsidP="001158A6">
    <w:pPr>
      <w:pStyle w:val="Footer"/>
      <w:jc w:val="right"/>
    </w:pPr>
    <w:r>
      <w:fldChar w:fldCharType="begin"/>
    </w:r>
    <w:r>
      <w:instrText xml:space="preserve"> DOCPROPERTY "IWFooter"  \* MERGEFORMAT </w:instrText>
    </w:r>
    <w:r>
      <w:fldChar w:fldCharType="separate"/>
    </w:r>
    <w:r w:rsidR="00062189">
      <w:t>MHC-9494841-2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CC460" w14:textId="77777777" w:rsidR="00062189" w:rsidRDefault="00062189">
    <w:pPr>
      <w:pStyle w:val="Footer"/>
    </w:pPr>
  </w:p>
  <w:p w14:paraId="0F1661CE" w14:textId="77777777" w:rsidR="00062189" w:rsidRPr="00517D54" w:rsidRDefault="008034A1" w:rsidP="00517D54">
    <w:pPr>
      <w:pStyle w:val="Footer"/>
      <w:jc w:val="right"/>
    </w:pPr>
    <w:r>
      <w:fldChar w:fldCharType="begin"/>
    </w:r>
    <w:r>
      <w:instrText xml:space="preserve"> DOCPROPERTY "IWFooter"  \* MERGEFORMAT </w:instrText>
    </w:r>
    <w:r>
      <w:fldChar w:fldCharType="separate"/>
    </w:r>
    <w:r w:rsidR="00062189">
      <w:t>MHC-9494841-2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CD770" w14:textId="77777777" w:rsidR="00062189" w:rsidRDefault="00062189" w:rsidP="001C3C2E">
    <w:pPr>
      <w:pStyle w:val="Foote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B81CF48" w14:textId="77777777" w:rsidR="00062189" w:rsidRDefault="0006218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80EF6" w14:textId="6243B7B3" w:rsidR="00062189" w:rsidRDefault="00062189" w:rsidP="001C3C2E">
    <w:pPr>
      <w:pStyle w:val="Footer"/>
      <w:jc w:val="center"/>
    </w:pPr>
    <w:r>
      <w:rPr>
        <w:rStyle w:val="PageNumber"/>
      </w:rPr>
      <w:fldChar w:fldCharType="begin"/>
    </w:r>
    <w:r>
      <w:rPr>
        <w:rStyle w:val="PageNumber"/>
      </w:rPr>
      <w:instrText xml:space="preserve">PAGE  </w:instrText>
    </w:r>
    <w:r>
      <w:rPr>
        <w:rStyle w:val="PageNumber"/>
      </w:rPr>
      <w:fldChar w:fldCharType="separate"/>
    </w:r>
    <w:r w:rsidR="008E77DC">
      <w:rPr>
        <w:rStyle w:val="PageNumber"/>
        <w:noProof/>
      </w:rPr>
      <w:t>53</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8BD5D" w14:textId="77777777" w:rsidR="00062189" w:rsidRDefault="00062189" w:rsidP="001C3C2E">
    <w:pPr>
      <w:pStyle w:val="Footer"/>
    </w:pPr>
  </w:p>
  <w:p w14:paraId="7B157FCF" w14:textId="77777777" w:rsidR="00062189" w:rsidRDefault="00062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2B2E7" w14:textId="77777777" w:rsidR="008034A1" w:rsidRDefault="008034A1" w:rsidP="001C3C2E">
      <w:r>
        <w:separator/>
      </w:r>
    </w:p>
  </w:footnote>
  <w:footnote w:type="continuationSeparator" w:id="0">
    <w:p w14:paraId="4F8A2DC4" w14:textId="77777777" w:rsidR="008034A1" w:rsidRDefault="008034A1" w:rsidP="001C3C2E">
      <w:r>
        <w:continuationSeparator/>
      </w:r>
    </w:p>
  </w:footnote>
  <w:footnote w:type="continuationNotice" w:id="1">
    <w:p w14:paraId="47DC3E4E" w14:textId="77777777" w:rsidR="008034A1" w:rsidRDefault="008034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4E0B2" w14:textId="5E7D5AB2" w:rsidR="00062189" w:rsidRDefault="00062189" w:rsidP="00EC3EDB">
    <w:pPr>
      <w:pStyle w:val="Header"/>
      <w:jc w:val="right"/>
      <w:rPr>
        <w:b/>
        <w:lang w:val="en-IE"/>
      </w:rPr>
    </w:pPr>
    <w:r>
      <w:rPr>
        <w:b/>
        <w:lang w:val="en-IE"/>
      </w:rPr>
      <w:t>DRAFT</w:t>
    </w:r>
  </w:p>
  <w:p w14:paraId="7FFE6BE0" w14:textId="77777777" w:rsidR="00062189" w:rsidRPr="003F4F79" w:rsidRDefault="00062189" w:rsidP="00EC3EDB">
    <w:pPr>
      <w:pStyle w:val="Header"/>
      <w:jc w:val="right"/>
      <w:rPr>
        <w:b/>
        <w:lang w:val="en-IE"/>
      </w:rPr>
    </w:pPr>
  </w:p>
  <w:p w14:paraId="251FECF7" w14:textId="48A704ED" w:rsidR="00062189" w:rsidRPr="00EC3EDB" w:rsidRDefault="00062189" w:rsidP="00EC3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6CB2"/>
    <w:multiLevelType w:val="multilevel"/>
    <w:tmpl w:val="9C9C8694"/>
    <w:lvl w:ilvl="0">
      <w:start w:val="1"/>
      <w:numFmt w:val="decimal"/>
      <w:pStyle w:val="Head1"/>
      <w:lvlText w:val="%1."/>
      <w:lvlJc w:val="left"/>
      <w:pPr>
        <w:tabs>
          <w:tab w:val="num" w:pos="0"/>
        </w:tabs>
        <w:ind w:left="720" w:hanging="720"/>
      </w:pPr>
      <w:rPr>
        <w:rFonts w:cs="Times New Roman"/>
        <w:b/>
        <w:i w:val="0"/>
        <w:sz w:val="20"/>
        <w:szCs w:val="20"/>
      </w:rPr>
    </w:lvl>
    <w:lvl w:ilvl="1">
      <w:start w:val="1"/>
      <w:numFmt w:val="decimal"/>
      <w:pStyle w:val="Head2"/>
      <w:isLgl/>
      <w:lvlText w:val="%1.%2"/>
      <w:lvlJc w:val="left"/>
      <w:pPr>
        <w:tabs>
          <w:tab w:val="num" w:pos="0"/>
        </w:tabs>
        <w:ind w:left="720" w:hanging="720"/>
      </w:pPr>
      <w:rPr>
        <w:rFonts w:cs="Times New Roman"/>
        <w:b w:val="0"/>
        <w:i w:val="0"/>
        <w:sz w:val="20"/>
        <w:szCs w:val="20"/>
      </w:rPr>
    </w:lvl>
    <w:lvl w:ilvl="2">
      <w:start w:val="1"/>
      <w:numFmt w:val="lowerLetter"/>
      <w:pStyle w:val="Head3"/>
      <w:lvlText w:val="(%3)"/>
      <w:lvlJc w:val="left"/>
      <w:pPr>
        <w:tabs>
          <w:tab w:val="num" w:pos="0"/>
        </w:tabs>
        <w:ind w:left="1440" w:hanging="720"/>
      </w:pPr>
      <w:rPr>
        <w:rFonts w:cs="Times New Roman"/>
        <w:b w:val="0"/>
        <w:i w:val="0"/>
        <w:sz w:val="20"/>
        <w:szCs w:val="20"/>
      </w:rPr>
    </w:lvl>
    <w:lvl w:ilvl="3">
      <w:start w:val="1"/>
      <w:numFmt w:val="lowerRoman"/>
      <w:pStyle w:val="Head4"/>
      <w:lvlText w:val="(%4)"/>
      <w:lvlJc w:val="left"/>
      <w:pPr>
        <w:tabs>
          <w:tab w:val="num" w:pos="0"/>
        </w:tabs>
        <w:ind w:left="2160" w:hanging="720"/>
      </w:pPr>
      <w:rPr>
        <w:rFonts w:cs="Times New Roman"/>
        <w:b w:val="0"/>
        <w:i w:val="0"/>
        <w:sz w:val="20"/>
        <w:szCs w:val="20"/>
      </w:rPr>
    </w:lvl>
    <w:lvl w:ilvl="4">
      <w:start w:val="1"/>
      <w:numFmt w:val="upperLetter"/>
      <w:pStyle w:val="Head5"/>
      <w:lvlText w:val="(%5)"/>
      <w:lvlJc w:val="left"/>
      <w:pPr>
        <w:tabs>
          <w:tab w:val="num" w:pos="0"/>
        </w:tabs>
        <w:ind w:left="2880" w:hanging="720"/>
      </w:pPr>
      <w:rPr>
        <w:rFonts w:cs="Times New Roman"/>
        <w:b w:val="0"/>
        <w:i w:val="0"/>
        <w:sz w:val="20"/>
        <w:szCs w:val="20"/>
      </w:rPr>
    </w:lvl>
    <w:lvl w:ilvl="5">
      <w:start w:val="1"/>
      <w:numFmt w:val="decimal"/>
      <w:pStyle w:val="Head6"/>
      <w:lvlText w:val="(%6)"/>
      <w:lvlJc w:val="left"/>
      <w:pPr>
        <w:tabs>
          <w:tab w:val="num" w:pos="0"/>
        </w:tabs>
        <w:ind w:left="3600" w:hanging="720"/>
      </w:pPr>
      <w:rPr>
        <w:rFonts w:cs="Times New Roman"/>
        <w:b w:val="0"/>
        <w:i w:val="0"/>
        <w:sz w:val="20"/>
        <w:szCs w:val="20"/>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3725C7E"/>
    <w:multiLevelType w:val="multilevel"/>
    <w:tmpl w:val="09960E46"/>
    <w:lvl w:ilvl="0">
      <w:start w:val="1"/>
      <w:numFmt w:val="decimal"/>
      <w:pStyle w:val="ScheduleBasic1"/>
      <w:lvlText w:val="%1."/>
      <w:lvlJc w:val="left"/>
      <w:pPr>
        <w:tabs>
          <w:tab w:val="num" w:pos="0"/>
        </w:tabs>
        <w:ind w:left="720" w:hanging="720"/>
      </w:pPr>
      <w:rPr>
        <w:rFonts w:cs="Times New Roman"/>
        <w:b w:val="0"/>
        <w:i w:val="0"/>
        <w:sz w:val="20"/>
        <w:szCs w:val="20"/>
      </w:rPr>
    </w:lvl>
    <w:lvl w:ilvl="1">
      <w:start w:val="1"/>
      <w:numFmt w:val="lowerLetter"/>
      <w:pStyle w:val="ScheduleBasic2"/>
      <w:lvlText w:val="(%2)"/>
      <w:lvlJc w:val="left"/>
      <w:pPr>
        <w:tabs>
          <w:tab w:val="num" w:pos="0"/>
        </w:tabs>
        <w:ind w:left="1440" w:hanging="720"/>
      </w:pPr>
      <w:rPr>
        <w:rFonts w:cs="Times New Roman"/>
        <w:b w:val="0"/>
        <w:i w:val="0"/>
        <w:sz w:val="20"/>
        <w:szCs w:val="20"/>
      </w:rPr>
    </w:lvl>
    <w:lvl w:ilvl="2">
      <w:start w:val="1"/>
      <w:numFmt w:val="lowerRoman"/>
      <w:pStyle w:val="ScheduleBasic3"/>
      <w:lvlText w:val="(%3)"/>
      <w:lvlJc w:val="left"/>
      <w:pPr>
        <w:tabs>
          <w:tab w:val="num" w:pos="0"/>
        </w:tabs>
        <w:ind w:left="2160" w:hanging="720"/>
      </w:pPr>
      <w:rPr>
        <w:rFonts w:cs="Times New Roman"/>
        <w:b w:val="0"/>
        <w:i w:val="0"/>
        <w:sz w:val="20"/>
        <w:szCs w:val="20"/>
      </w:rPr>
    </w:lvl>
    <w:lvl w:ilvl="3">
      <w:start w:val="1"/>
      <w:numFmt w:val="upperLetter"/>
      <w:pStyle w:val="ScheduleBasic4"/>
      <w:lvlText w:val="(%4)"/>
      <w:lvlJc w:val="left"/>
      <w:pPr>
        <w:tabs>
          <w:tab w:val="num" w:pos="0"/>
        </w:tabs>
        <w:ind w:left="2880" w:hanging="720"/>
      </w:pPr>
      <w:rPr>
        <w:rFonts w:cs="Times New Roman"/>
        <w:b w:val="0"/>
        <w:i w:val="0"/>
        <w:sz w:val="20"/>
        <w:szCs w:val="20"/>
      </w:rPr>
    </w:lvl>
    <w:lvl w:ilvl="4">
      <w:start w:val="1"/>
      <w:numFmt w:val="decimal"/>
      <w:pStyle w:val="ScheduleBasic5"/>
      <w:lvlText w:val="(%5)"/>
      <w:lvlJc w:val="left"/>
      <w:pPr>
        <w:tabs>
          <w:tab w:val="num" w:pos="0"/>
        </w:tabs>
        <w:ind w:left="3600" w:hanging="720"/>
      </w:pPr>
      <w:rPr>
        <w:rFonts w:cs="Times New Roman"/>
        <w:b w:val="0"/>
        <w:i w:val="0"/>
        <w:sz w:val="20"/>
        <w:szCs w:val="20"/>
      </w:rPr>
    </w:lvl>
    <w:lvl w:ilvl="5">
      <w:start w:val="1"/>
      <w:numFmt w:val="none"/>
      <w:suff w:val="nothing"/>
      <w:lvlText w:val=""/>
      <w:lvlJc w:val="left"/>
      <w:pPr>
        <w:tabs>
          <w:tab w:val="num" w:pos="0"/>
        </w:tabs>
        <w:ind w:left="720"/>
      </w:pPr>
      <w:rPr>
        <w:rFonts w:cs="Times New Roman"/>
      </w:rPr>
    </w:lvl>
    <w:lvl w:ilvl="6">
      <w:start w:val="1"/>
      <w:numFmt w:val="none"/>
      <w:suff w:val="nothing"/>
      <w:lvlText w:val=""/>
      <w:lvlJc w:val="left"/>
      <w:pPr>
        <w:tabs>
          <w:tab w:val="num" w:pos="0"/>
        </w:tabs>
        <w:ind w:left="720"/>
      </w:pPr>
      <w:rPr>
        <w:rFonts w:cs="Times New Roman"/>
      </w:rPr>
    </w:lvl>
    <w:lvl w:ilvl="7">
      <w:start w:val="1"/>
      <w:numFmt w:val="none"/>
      <w:suff w:val="nothing"/>
      <w:lvlText w:val=""/>
      <w:lvlJc w:val="left"/>
      <w:pPr>
        <w:tabs>
          <w:tab w:val="num" w:pos="0"/>
        </w:tabs>
        <w:ind w:left="720"/>
      </w:pPr>
      <w:rPr>
        <w:rFonts w:cs="Times New Roman"/>
      </w:rPr>
    </w:lvl>
    <w:lvl w:ilvl="8">
      <w:start w:val="1"/>
      <w:numFmt w:val="none"/>
      <w:suff w:val="nothing"/>
      <w:lvlText w:val=""/>
      <w:lvlJc w:val="left"/>
      <w:pPr>
        <w:tabs>
          <w:tab w:val="num" w:pos="0"/>
        </w:tabs>
        <w:ind w:left="720"/>
      </w:pPr>
      <w:rPr>
        <w:rFonts w:cs="Times New Roman"/>
      </w:rPr>
    </w:lvl>
  </w:abstractNum>
  <w:abstractNum w:abstractNumId="2" w15:restartNumberingAfterBreak="0">
    <w:nsid w:val="04363459"/>
    <w:multiLevelType w:val="multilevel"/>
    <w:tmpl w:val="34C0F682"/>
    <w:lvl w:ilvl="0">
      <w:start w:val="1"/>
      <w:numFmt w:val="decimal"/>
      <w:pStyle w:val="1-NUMBERING"/>
      <w:lvlText w:val="(%1)"/>
      <w:lvlJc w:val="left"/>
      <w:pPr>
        <w:tabs>
          <w:tab w:val="num" w:pos="709"/>
        </w:tabs>
        <w:ind w:left="709" w:hanging="709"/>
      </w:pPr>
      <w:rPr>
        <w:b w:val="0"/>
        <w:i w:val="0"/>
        <w:caps w:val="0"/>
      </w:rPr>
    </w:lvl>
    <w:lvl w:ilvl="1">
      <w:start w:val="1"/>
      <w:numFmt w:val="upperLetter"/>
      <w:lvlText w:val="%2."/>
      <w:lvlJc w:val="left"/>
      <w:pPr>
        <w:tabs>
          <w:tab w:val="num" w:pos="709"/>
        </w:tabs>
        <w:ind w:left="709" w:hanging="709"/>
      </w:pPr>
      <w:rPr>
        <w:b w:val="0"/>
      </w:rPr>
    </w:lvl>
    <w:lvl w:ilvl="2">
      <w:start w:val="1"/>
      <w:numFmt w:val="lowerRoman"/>
      <w:lvlText w:val="%3)"/>
      <w:lvlJc w:val="left"/>
      <w:pPr>
        <w:tabs>
          <w:tab w:val="num" w:pos="1077"/>
        </w:tabs>
        <w:ind w:left="1077" w:hanging="357"/>
      </w:pPr>
      <w:rPr>
        <w:b w:val="0"/>
      </w:rPr>
    </w:lvl>
    <w:lvl w:ilvl="3">
      <w:start w:val="1"/>
      <w:numFmt w:val="decimal"/>
      <w:lvlText w:val="(%4)"/>
      <w:lvlJc w:val="left"/>
      <w:pPr>
        <w:tabs>
          <w:tab w:val="num" w:pos="1440"/>
        </w:tabs>
        <w:ind w:left="1440" w:hanging="363"/>
      </w:pPr>
      <w:rPr>
        <w:b w:val="0"/>
      </w:rPr>
    </w:lvl>
    <w:lvl w:ilvl="4">
      <w:start w:val="1"/>
      <w:numFmt w:val="lowerLetter"/>
      <w:lvlText w:val="(%5)"/>
      <w:lvlJc w:val="left"/>
      <w:pPr>
        <w:tabs>
          <w:tab w:val="num" w:pos="1797"/>
        </w:tabs>
        <w:ind w:left="1797" w:hanging="357"/>
      </w:pPr>
      <w:rPr>
        <w:b w:val="0"/>
      </w:rPr>
    </w:lvl>
    <w:lvl w:ilvl="5">
      <w:start w:val="1"/>
      <w:numFmt w:val="lowerRoman"/>
      <w:lvlText w:val="(%6)"/>
      <w:lvlJc w:val="left"/>
      <w:pPr>
        <w:tabs>
          <w:tab w:val="num" w:pos="2160"/>
        </w:tabs>
        <w:ind w:left="2160" w:hanging="363"/>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3" w15:restartNumberingAfterBreak="0">
    <w:nsid w:val="0455545F"/>
    <w:multiLevelType w:val="multilevel"/>
    <w:tmpl w:val="C79C47F8"/>
    <w:name w:val="PartiesLT"/>
    <w:lvl w:ilvl="0">
      <w:start w:val="1"/>
      <w:numFmt w:val="decimal"/>
      <w:pStyle w:val="MA-MemoLevel1"/>
      <w:lvlText w:val="%1."/>
      <w:lvlJc w:val="left"/>
      <w:pPr>
        <w:tabs>
          <w:tab w:val="num" w:pos="709"/>
        </w:tabs>
        <w:ind w:left="709" w:hanging="709"/>
      </w:pPr>
      <w:rPr>
        <w:b w:val="0"/>
        <w:i w:val="0"/>
        <w:caps w:val="0"/>
      </w:rPr>
    </w:lvl>
    <w:lvl w:ilvl="1">
      <w:start w:val="1"/>
      <w:numFmt w:val="decimal"/>
      <w:pStyle w:val="MA-MemoLevel2"/>
      <w:lvlText w:val="%1.%2"/>
      <w:lvlJc w:val="left"/>
      <w:pPr>
        <w:tabs>
          <w:tab w:val="num" w:pos="1417"/>
        </w:tabs>
        <w:ind w:left="1417" w:hanging="708"/>
      </w:pPr>
      <w:rPr>
        <w:b w:val="0"/>
        <w:i w:val="0"/>
        <w:caps w:val="0"/>
      </w:rPr>
    </w:lvl>
    <w:lvl w:ilvl="2">
      <w:start w:val="1"/>
      <w:numFmt w:val="lowerLetter"/>
      <w:pStyle w:val="MA-MemoLevel3"/>
      <w:lvlText w:val="(%3)"/>
      <w:lvlJc w:val="left"/>
      <w:pPr>
        <w:tabs>
          <w:tab w:val="num" w:pos="1417"/>
        </w:tabs>
        <w:ind w:left="1417" w:hanging="708"/>
      </w:pPr>
      <w:rPr>
        <w:b w:val="0"/>
        <w:i w:val="0"/>
        <w:caps w:val="0"/>
      </w:rPr>
    </w:lvl>
    <w:lvl w:ilvl="3">
      <w:start w:val="1"/>
      <w:numFmt w:val="lowerRoman"/>
      <w:pStyle w:val="MA-MemoLevel4"/>
      <w:lvlText w:val="(%4)"/>
      <w:lvlJc w:val="left"/>
      <w:pPr>
        <w:tabs>
          <w:tab w:val="num" w:pos="2126"/>
        </w:tabs>
        <w:ind w:left="2126" w:hanging="709"/>
      </w:pPr>
      <w:rPr>
        <w:b w:val="0"/>
        <w:i w:val="0"/>
        <w:caps w:val="0"/>
      </w:rPr>
    </w:lvl>
    <w:lvl w:ilvl="4">
      <w:start w:val="1"/>
      <w:numFmt w:val="decimal"/>
      <w:pStyle w:val="MA-MemoLevel5"/>
      <w:lvlText w:val="(%5)"/>
      <w:lvlJc w:val="left"/>
      <w:pPr>
        <w:tabs>
          <w:tab w:val="num" w:pos="2835"/>
        </w:tabs>
        <w:ind w:left="2835" w:hanging="709"/>
      </w:pPr>
      <w:rPr>
        <w:b w:val="0"/>
        <w:i w:val="0"/>
        <w:caps w:val="0"/>
      </w:rPr>
    </w:lvl>
    <w:lvl w:ilvl="5">
      <w:start w:val="1"/>
      <w:numFmt w:val="upperLetter"/>
      <w:pStyle w:val="MA-MemoLevel6"/>
      <w:lvlText w:val="(%6)"/>
      <w:lvlJc w:val="left"/>
      <w:pPr>
        <w:tabs>
          <w:tab w:val="num" w:pos="3543"/>
        </w:tabs>
        <w:ind w:left="3543" w:hanging="708"/>
      </w:pPr>
      <w:rPr>
        <w:b w:val="0"/>
        <w:i w:val="0"/>
        <w:caps w:val="0"/>
      </w:rPr>
    </w:lvl>
    <w:lvl w:ilvl="6">
      <w:start w:val="1"/>
      <w:numFmt w:val="none"/>
      <w:lvlText w:val=""/>
      <w:lvlJc w:val="left"/>
      <w:pPr>
        <w:tabs>
          <w:tab w:val="num" w:pos="3192"/>
        </w:tabs>
        <w:ind w:left="2835" w:firstLine="0"/>
      </w:pPr>
      <w:rPr>
        <w:b w:val="0"/>
      </w:rPr>
    </w:lvl>
    <w:lvl w:ilvl="7">
      <w:start w:val="1"/>
      <w:numFmt w:val="none"/>
      <w:lvlText w:val=""/>
      <w:lvlJc w:val="left"/>
      <w:pPr>
        <w:tabs>
          <w:tab w:val="num" w:pos="3192"/>
        </w:tabs>
        <w:ind w:left="2835" w:firstLine="0"/>
      </w:pPr>
      <w:rPr>
        <w:b w:val="0"/>
      </w:rPr>
    </w:lvl>
    <w:lvl w:ilvl="8">
      <w:start w:val="1"/>
      <w:numFmt w:val="none"/>
      <w:lvlText w:val=""/>
      <w:lvlJc w:val="left"/>
      <w:pPr>
        <w:tabs>
          <w:tab w:val="num" w:pos="3192"/>
        </w:tabs>
        <w:ind w:left="2835" w:firstLine="0"/>
      </w:pPr>
      <w:rPr>
        <w:b w:val="0"/>
      </w:rPr>
    </w:lvl>
  </w:abstractNum>
  <w:abstractNum w:abstractNumId="4" w15:restartNumberingAfterBreak="0">
    <w:nsid w:val="061F12C0"/>
    <w:multiLevelType w:val="multilevel"/>
    <w:tmpl w:val="3B00DDC8"/>
    <w:name w:val="MAMemlstListTemplate"/>
    <w:lvl w:ilvl="0">
      <w:start w:val="1"/>
      <w:numFmt w:val="upperLetter"/>
      <w:pStyle w:val="A-NUMBERING"/>
      <w:lvlText w:val="%1."/>
      <w:lvlJc w:val="left"/>
      <w:pPr>
        <w:tabs>
          <w:tab w:val="num" w:pos="709"/>
        </w:tabs>
        <w:ind w:left="709" w:hanging="709"/>
      </w:pPr>
      <w:rPr>
        <w:b w:val="0"/>
        <w:i w:val="0"/>
        <w:caps w:val="0"/>
      </w:rPr>
    </w:lvl>
    <w:lvl w:ilvl="1">
      <w:start w:val="1"/>
      <w:numFmt w:val="upperLetter"/>
      <w:lvlText w:val="%2."/>
      <w:lvlJc w:val="left"/>
      <w:pPr>
        <w:tabs>
          <w:tab w:val="num" w:pos="709"/>
        </w:tabs>
        <w:ind w:left="709" w:hanging="709"/>
      </w:pPr>
      <w:rPr>
        <w:b w:val="0"/>
      </w:rPr>
    </w:lvl>
    <w:lvl w:ilvl="2">
      <w:start w:val="1"/>
      <w:numFmt w:val="lowerRoman"/>
      <w:lvlText w:val="%3)"/>
      <w:lvlJc w:val="left"/>
      <w:pPr>
        <w:tabs>
          <w:tab w:val="num" w:pos="1077"/>
        </w:tabs>
        <w:ind w:left="1077" w:hanging="357"/>
      </w:pPr>
      <w:rPr>
        <w:b w:val="0"/>
      </w:rPr>
    </w:lvl>
    <w:lvl w:ilvl="3">
      <w:start w:val="1"/>
      <w:numFmt w:val="decimal"/>
      <w:lvlText w:val="(%4)"/>
      <w:lvlJc w:val="left"/>
      <w:pPr>
        <w:tabs>
          <w:tab w:val="num" w:pos="1440"/>
        </w:tabs>
        <w:ind w:left="1440" w:hanging="363"/>
      </w:pPr>
      <w:rPr>
        <w:b w:val="0"/>
      </w:rPr>
    </w:lvl>
    <w:lvl w:ilvl="4">
      <w:start w:val="1"/>
      <w:numFmt w:val="lowerLetter"/>
      <w:lvlText w:val="(%5)"/>
      <w:lvlJc w:val="left"/>
      <w:pPr>
        <w:tabs>
          <w:tab w:val="num" w:pos="1797"/>
        </w:tabs>
        <w:ind w:left="1797" w:hanging="357"/>
      </w:pPr>
      <w:rPr>
        <w:b w:val="0"/>
      </w:rPr>
    </w:lvl>
    <w:lvl w:ilvl="5">
      <w:start w:val="1"/>
      <w:numFmt w:val="lowerRoman"/>
      <w:lvlText w:val="(%6)"/>
      <w:lvlJc w:val="left"/>
      <w:pPr>
        <w:tabs>
          <w:tab w:val="num" w:pos="2160"/>
        </w:tabs>
        <w:ind w:left="2160" w:hanging="363"/>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5" w15:restartNumberingAfterBreak="0">
    <w:nsid w:val="0DA9482A"/>
    <w:multiLevelType w:val="singleLevel"/>
    <w:tmpl w:val="0CD831A0"/>
    <w:name w:val="RecitalsLT"/>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103E5A4C"/>
    <w:multiLevelType w:val="multilevel"/>
    <w:tmpl w:val="A150011E"/>
    <w:lvl w:ilvl="0">
      <w:start w:val="1"/>
      <w:numFmt w:val="decimal"/>
      <w:pStyle w:val="Schedule"/>
      <w:suff w:val="nothing"/>
      <w:lvlText w:val="Schedule %1"/>
      <w:lvlJc w:val="left"/>
      <w:pPr>
        <w:tabs>
          <w:tab w:val="num" w:pos="0"/>
        </w:tabs>
      </w:pPr>
      <w:rPr>
        <w:rFonts w:cs="Times New Roman"/>
        <w:i w:val="0"/>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7" w15:restartNumberingAfterBreak="0">
    <w:nsid w:val="134C7D21"/>
    <w:multiLevelType w:val="multilevel"/>
    <w:tmpl w:val="04090023"/>
    <w:name w:val="SCHLT2"/>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1CF87DEA"/>
    <w:multiLevelType w:val="multilevel"/>
    <w:tmpl w:val="8E6C661E"/>
    <w:lvl w:ilvl="0">
      <w:start w:val="1"/>
      <w:numFmt w:val="upperLetter"/>
      <w:pStyle w:val="Recitals1"/>
      <w:lvlText w:val="(%1)"/>
      <w:lvlJc w:val="left"/>
      <w:pPr>
        <w:tabs>
          <w:tab w:val="num" w:pos="0"/>
        </w:tabs>
        <w:ind w:left="720" w:hanging="720"/>
      </w:pPr>
      <w:rPr>
        <w:rFonts w:ascii="Arial" w:hAnsi="Arial" w:cs="Times New Roman" w:hint="default"/>
        <w:b w:val="0"/>
        <w:i w:val="0"/>
        <w:sz w:val="20"/>
        <w:szCs w:val="20"/>
      </w:rPr>
    </w:lvl>
    <w:lvl w:ilvl="1">
      <w:start w:val="1"/>
      <w:numFmt w:val="lowerLetter"/>
      <w:pStyle w:val="Recitals2"/>
      <w:lvlText w:val="(%2)"/>
      <w:lvlJc w:val="left"/>
      <w:pPr>
        <w:tabs>
          <w:tab w:val="num" w:pos="0"/>
        </w:tabs>
        <w:ind w:left="1440" w:hanging="720"/>
      </w:pPr>
      <w:rPr>
        <w:rFonts w:ascii="Arial" w:hAnsi="Arial" w:cs="Times New Roman" w:hint="default"/>
        <w:b w:val="0"/>
        <w:i w:val="0"/>
        <w:sz w:val="20"/>
        <w:szCs w:val="20"/>
      </w:rPr>
    </w:lvl>
    <w:lvl w:ilvl="2">
      <w:start w:val="1"/>
      <w:numFmt w:val="lowerRoman"/>
      <w:pStyle w:val="Recitals3"/>
      <w:lvlText w:val="(%3)"/>
      <w:lvlJc w:val="left"/>
      <w:pPr>
        <w:tabs>
          <w:tab w:val="num" w:pos="0"/>
        </w:tabs>
        <w:ind w:left="2160" w:hanging="720"/>
      </w:pPr>
      <w:rPr>
        <w:rFonts w:ascii="Arial" w:hAnsi="Arial" w:cs="Times New Roman" w:hint="default"/>
        <w:b w:val="0"/>
        <w:i w:val="0"/>
        <w:sz w:val="20"/>
        <w:szCs w:val="20"/>
      </w:rPr>
    </w:lvl>
    <w:lvl w:ilvl="3">
      <w:start w:val="1"/>
      <w:numFmt w:val="decimal"/>
      <w:pStyle w:val="Recitals4"/>
      <w:lvlText w:val="(%4)"/>
      <w:lvlJc w:val="left"/>
      <w:pPr>
        <w:tabs>
          <w:tab w:val="num" w:pos="0"/>
        </w:tabs>
        <w:ind w:left="2880" w:hanging="720"/>
      </w:pPr>
      <w:rPr>
        <w:rFonts w:ascii="Arial" w:hAnsi="Arial" w:cs="Times New Roman" w:hint="default"/>
        <w:b w:val="0"/>
        <w:i w:val="0"/>
        <w:sz w:val="20"/>
        <w:szCs w:val="20"/>
      </w:rPr>
    </w:lvl>
    <w:lvl w:ilvl="4">
      <w:start w:val="1"/>
      <w:numFmt w:val="none"/>
      <w:pStyle w:val="Recitals5"/>
      <w:suff w:val="nothing"/>
      <w:lvlText w:val=""/>
      <w:lvlJc w:val="left"/>
      <w:pPr>
        <w:tabs>
          <w:tab w:val="num" w:pos="0"/>
        </w:tabs>
        <w:ind w:left="720"/>
      </w:pPr>
      <w:rPr>
        <w:rFonts w:ascii="Arial" w:hAnsi="Arial" w:cs="Times New Roman" w:hint="default"/>
        <w:b w:val="0"/>
        <w:i w:val="0"/>
        <w:sz w:val="20"/>
        <w:szCs w:val="20"/>
      </w:rPr>
    </w:lvl>
    <w:lvl w:ilvl="5">
      <w:start w:val="1"/>
      <w:numFmt w:val="none"/>
      <w:pStyle w:val="Recitals6"/>
      <w:suff w:val="nothing"/>
      <w:lvlText w:val=""/>
      <w:lvlJc w:val="left"/>
      <w:pPr>
        <w:tabs>
          <w:tab w:val="num" w:pos="0"/>
        </w:tabs>
        <w:ind w:left="720"/>
      </w:pPr>
      <w:rPr>
        <w:rFonts w:ascii="Arial" w:hAnsi="Arial" w:cs="Times New Roman" w:hint="default"/>
        <w:b w:val="0"/>
        <w:i w:val="0"/>
        <w:sz w:val="20"/>
        <w:szCs w:val="20"/>
      </w:rPr>
    </w:lvl>
    <w:lvl w:ilvl="6">
      <w:start w:val="1"/>
      <w:numFmt w:val="none"/>
      <w:pStyle w:val="Recitals7"/>
      <w:suff w:val="nothing"/>
      <w:lvlText w:val=""/>
      <w:lvlJc w:val="left"/>
      <w:pPr>
        <w:tabs>
          <w:tab w:val="num" w:pos="0"/>
        </w:tabs>
        <w:ind w:left="720"/>
      </w:pPr>
      <w:rPr>
        <w:rFonts w:ascii="Times New Roman" w:hAnsi="Times New Roman" w:cs="Times New Roman" w:hint="default"/>
        <w:b w:val="0"/>
        <w:i w:val="0"/>
        <w:sz w:val="24"/>
        <w:szCs w:val="24"/>
      </w:rPr>
    </w:lvl>
    <w:lvl w:ilvl="7">
      <w:start w:val="1"/>
      <w:numFmt w:val="none"/>
      <w:pStyle w:val="Recitals8"/>
      <w:suff w:val="nothing"/>
      <w:lvlText w:val=""/>
      <w:lvlJc w:val="left"/>
      <w:pPr>
        <w:tabs>
          <w:tab w:val="num" w:pos="0"/>
        </w:tabs>
        <w:ind w:left="720"/>
      </w:pPr>
      <w:rPr>
        <w:rFonts w:ascii="Times New Roman" w:hAnsi="Times New Roman" w:cs="Times New Roman" w:hint="default"/>
        <w:b w:val="0"/>
        <w:i w:val="0"/>
        <w:sz w:val="24"/>
        <w:szCs w:val="24"/>
      </w:rPr>
    </w:lvl>
    <w:lvl w:ilvl="8">
      <w:start w:val="1"/>
      <w:numFmt w:val="none"/>
      <w:pStyle w:val="Recitals9"/>
      <w:suff w:val="nothing"/>
      <w:lvlText w:val=""/>
      <w:lvlJc w:val="left"/>
      <w:pPr>
        <w:tabs>
          <w:tab w:val="num" w:pos="0"/>
        </w:tabs>
        <w:ind w:left="720"/>
      </w:pPr>
      <w:rPr>
        <w:rFonts w:ascii="Times New Roman" w:hAnsi="Times New Roman" w:cs="Times New Roman" w:hint="default"/>
        <w:b w:val="0"/>
        <w:i w:val="0"/>
        <w:sz w:val="24"/>
        <w:szCs w:val="24"/>
      </w:rPr>
    </w:lvl>
  </w:abstractNum>
  <w:abstractNum w:abstractNumId="9" w15:restartNumberingAfterBreak="0">
    <w:nsid w:val="20907207"/>
    <w:multiLevelType w:val="multilevel"/>
    <w:tmpl w:val="E10E718A"/>
    <w:name w:val="LT41"/>
    <w:lvl w:ilvl="0">
      <w:start w:val="1"/>
      <w:numFmt w:val="decimal"/>
      <w:pStyle w:val="MA-ArtsLevel1"/>
      <w:lvlText w:val="%1."/>
      <w:lvlJc w:val="left"/>
      <w:pPr>
        <w:tabs>
          <w:tab w:val="num" w:pos="709"/>
        </w:tabs>
        <w:ind w:left="709" w:hanging="709"/>
      </w:pPr>
      <w:rPr>
        <w:b w:val="0"/>
        <w:i w:val="0"/>
        <w:caps w:val="0"/>
      </w:rPr>
    </w:lvl>
    <w:lvl w:ilvl="1">
      <w:start w:val="1"/>
      <w:numFmt w:val="decimal"/>
      <w:pStyle w:val="MA-ArtsLevel2"/>
      <w:lvlText w:val="%1.%2"/>
      <w:lvlJc w:val="left"/>
      <w:pPr>
        <w:tabs>
          <w:tab w:val="num" w:pos="1417"/>
        </w:tabs>
        <w:ind w:left="1417" w:hanging="708"/>
      </w:pPr>
      <w:rPr>
        <w:b w:val="0"/>
        <w:i w:val="0"/>
        <w:caps w:val="0"/>
      </w:rPr>
    </w:lvl>
    <w:lvl w:ilvl="2">
      <w:start w:val="1"/>
      <w:numFmt w:val="lowerLetter"/>
      <w:pStyle w:val="MA-ArtsLevel3"/>
      <w:lvlText w:val="(%3)"/>
      <w:lvlJc w:val="left"/>
      <w:pPr>
        <w:tabs>
          <w:tab w:val="num" w:pos="1417"/>
        </w:tabs>
        <w:ind w:left="1417" w:hanging="708"/>
      </w:pPr>
      <w:rPr>
        <w:b w:val="0"/>
        <w:i w:val="0"/>
        <w:caps w:val="0"/>
      </w:rPr>
    </w:lvl>
    <w:lvl w:ilvl="3">
      <w:start w:val="1"/>
      <w:numFmt w:val="lowerRoman"/>
      <w:pStyle w:val="MA-ArtsLevel4"/>
      <w:lvlText w:val="(%4)"/>
      <w:lvlJc w:val="left"/>
      <w:pPr>
        <w:tabs>
          <w:tab w:val="num" w:pos="2126"/>
        </w:tabs>
        <w:ind w:left="2126" w:hanging="709"/>
      </w:pPr>
      <w:rPr>
        <w:b w:val="0"/>
        <w:i w:val="0"/>
        <w:caps w:val="0"/>
      </w:rPr>
    </w:lvl>
    <w:lvl w:ilvl="4">
      <w:start w:val="1"/>
      <w:numFmt w:val="decimal"/>
      <w:pStyle w:val="MA-ArtsLevel5"/>
      <w:lvlText w:val="(%5)"/>
      <w:lvlJc w:val="left"/>
      <w:pPr>
        <w:tabs>
          <w:tab w:val="num" w:pos="2835"/>
        </w:tabs>
        <w:ind w:left="2835" w:hanging="709"/>
      </w:pPr>
      <w:rPr>
        <w:b w:val="0"/>
        <w:i w:val="0"/>
        <w:caps w:val="0"/>
      </w:rPr>
    </w:lvl>
    <w:lvl w:ilvl="5">
      <w:start w:val="1"/>
      <w:numFmt w:val="upperLetter"/>
      <w:pStyle w:val="MA-ArtsLevel6"/>
      <w:lvlText w:val="(%6)"/>
      <w:lvlJc w:val="left"/>
      <w:pPr>
        <w:tabs>
          <w:tab w:val="num" w:pos="3543"/>
        </w:tabs>
        <w:ind w:left="3543" w:hanging="708"/>
      </w:pPr>
      <w:rPr>
        <w:b w:val="0"/>
        <w:i w:val="0"/>
        <w:caps w:val="0"/>
      </w:rPr>
    </w:lvl>
    <w:lvl w:ilvl="6">
      <w:start w:val="1"/>
      <w:numFmt w:val="upperLetter"/>
      <w:lvlText w:val="%7."/>
      <w:lvlJc w:val="left"/>
      <w:pPr>
        <w:tabs>
          <w:tab w:val="num" w:pos="2880"/>
        </w:tabs>
        <w:ind w:left="2880" w:hanging="720"/>
      </w:pPr>
      <w:rPr>
        <w:b w:val="0"/>
      </w:rPr>
    </w:lvl>
    <w:lvl w:ilvl="7">
      <w:start w:val="1"/>
      <w:numFmt w:val="decimal"/>
      <w:lvlText w:val="(%8)"/>
      <w:lvlJc w:val="left"/>
      <w:pPr>
        <w:tabs>
          <w:tab w:val="num" w:pos="3600"/>
        </w:tabs>
        <w:ind w:left="3600" w:hanging="720"/>
      </w:pPr>
      <w:rPr>
        <w:b w:val="0"/>
      </w:rPr>
    </w:lvl>
    <w:lvl w:ilvl="8">
      <w:start w:val="1"/>
      <w:numFmt w:val="decimal"/>
      <w:lvlText w:val="Schedule %9"/>
      <w:lvlJc w:val="left"/>
      <w:pPr>
        <w:tabs>
          <w:tab w:val="num" w:pos="1077"/>
        </w:tabs>
        <w:ind w:left="0" w:firstLine="0"/>
      </w:pPr>
      <w:rPr>
        <w:b w:val="0"/>
      </w:rPr>
    </w:lvl>
  </w:abstractNum>
  <w:abstractNum w:abstractNumId="10" w15:restartNumberingAfterBreak="0">
    <w:nsid w:val="25A1448C"/>
    <w:multiLevelType w:val="hybridMultilevel"/>
    <w:tmpl w:val="A3B858C8"/>
    <w:lvl w:ilvl="0" w:tplc="9872CABA">
      <w:start w:val="1"/>
      <w:numFmt w:val="upperLetter"/>
      <w:pStyle w:val="Recital"/>
      <w:lvlText w:val="(%1)"/>
      <w:lvlJc w:val="left"/>
      <w:pPr>
        <w:tabs>
          <w:tab w:val="num" w:pos="720"/>
        </w:tabs>
        <w:ind w:left="720" w:hanging="720"/>
      </w:pPr>
      <w:rPr>
        <w:rFonts w:cs="Times New Roman"/>
        <w:i w:val="0"/>
      </w:rPr>
    </w:lvl>
    <w:lvl w:ilvl="1" w:tplc="C6568F32">
      <w:start w:val="1"/>
      <w:numFmt w:val="lowerLetter"/>
      <w:lvlText w:val="%2."/>
      <w:lvlJc w:val="left"/>
      <w:pPr>
        <w:tabs>
          <w:tab w:val="num" w:pos="1440"/>
        </w:tabs>
        <w:ind w:left="1440" w:hanging="360"/>
      </w:pPr>
      <w:rPr>
        <w:rFonts w:cs="Times New Roman"/>
      </w:rPr>
    </w:lvl>
    <w:lvl w:ilvl="2" w:tplc="F4BC85F0">
      <w:start w:val="1"/>
      <w:numFmt w:val="lowerRoman"/>
      <w:lvlText w:val="%3."/>
      <w:lvlJc w:val="right"/>
      <w:pPr>
        <w:tabs>
          <w:tab w:val="num" w:pos="2160"/>
        </w:tabs>
        <w:ind w:left="2160" w:hanging="180"/>
      </w:pPr>
      <w:rPr>
        <w:rFonts w:cs="Times New Roman"/>
      </w:rPr>
    </w:lvl>
    <w:lvl w:ilvl="3" w:tplc="CCDC8AFC">
      <w:start w:val="1"/>
      <w:numFmt w:val="decimal"/>
      <w:lvlText w:val="%4."/>
      <w:lvlJc w:val="left"/>
      <w:pPr>
        <w:tabs>
          <w:tab w:val="num" w:pos="2880"/>
        </w:tabs>
        <w:ind w:left="2880" w:hanging="360"/>
      </w:pPr>
      <w:rPr>
        <w:rFonts w:cs="Times New Roman"/>
      </w:rPr>
    </w:lvl>
    <w:lvl w:ilvl="4" w:tplc="5A4A5952">
      <w:start w:val="1"/>
      <w:numFmt w:val="lowerLetter"/>
      <w:lvlText w:val="%5."/>
      <w:lvlJc w:val="left"/>
      <w:pPr>
        <w:tabs>
          <w:tab w:val="num" w:pos="3600"/>
        </w:tabs>
        <w:ind w:left="3600" w:hanging="360"/>
      </w:pPr>
      <w:rPr>
        <w:rFonts w:cs="Times New Roman"/>
      </w:rPr>
    </w:lvl>
    <w:lvl w:ilvl="5" w:tplc="38A2264A">
      <w:start w:val="1"/>
      <w:numFmt w:val="lowerRoman"/>
      <w:lvlText w:val="%6."/>
      <w:lvlJc w:val="right"/>
      <w:pPr>
        <w:tabs>
          <w:tab w:val="num" w:pos="4320"/>
        </w:tabs>
        <w:ind w:left="4320" w:hanging="180"/>
      </w:pPr>
      <w:rPr>
        <w:rFonts w:cs="Times New Roman"/>
      </w:rPr>
    </w:lvl>
    <w:lvl w:ilvl="6" w:tplc="416ADEBA">
      <w:start w:val="1"/>
      <w:numFmt w:val="decimal"/>
      <w:lvlText w:val="%7."/>
      <w:lvlJc w:val="left"/>
      <w:pPr>
        <w:tabs>
          <w:tab w:val="num" w:pos="5040"/>
        </w:tabs>
        <w:ind w:left="5040" w:hanging="360"/>
      </w:pPr>
      <w:rPr>
        <w:rFonts w:cs="Times New Roman"/>
      </w:rPr>
    </w:lvl>
    <w:lvl w:ilvl="7" w:tplc="433819BE">
      <w:start w:val="1"/>
      <w:numFmt w:val="lowerLetter"/>
      <w:lvlText w:val="%8."/>
      <w:lvlJc w:val="left"/>
      <w:pPr>
        <w:tabs>
          <w:tab w:val="num" w:pos="5760"/>
        </w:tabs>
        <w:ind w:left="5760" w:hanging="360"/>
      </w:pPr>
      <w:rPr>
        <w:rFonts w:cs="Times New Roman"/>
      </w:rPr>
    </w:lvl>
    <w:lvl w:ilvl="8" w:tplc="F8E4D834">
      <w:start w:val="1"/>
      <w:numFmt w:val="lowerRoman"/>
      <w:lvlText w:val="%9."/>
      <w:lvlJc w:val="right"/>
      <w:pPr>
        <w:tabs>
          <w:tab w:val="num" w:pos="6480"/>
        </w:tabs>
        <w:ind w:left="6480" w:hanging="180"/>
      </w:pPr>
      <w:rPr>
        <w:rFonts w:cs="Times New Roman"/>
      </w:rPr>
    </w:lvl>
  </w:abstractNum>
  <w:abstractNum w:abstractNumId="11" w15:restartNumberingAfterBreak="0">
    <w:nsid w:val="288D6E5F"/>
    <w:multiLevelType w:val="singleLevel"/>
    <w:tmpl w:val="DE6A2266"/>
    <w:name w:val="MAArtsLT"/>
    <w:lvl w:ilvl="0">
      <w:start w:val="1"/>
      <w:numFmt w:val="decimal"/>
      <w:lvlText w:val="%1."/>
      <w:lvlJc w:val="left"/>
      <w:pPr>
        <w:tabs>
          <w:tab w:val="num" w:pos="926"/>
        </w:tabs>
        <w:ind w:left="926" w:hanging="360"/>
      </w:pPr>
    </w:lvl>
  </w:abstractNum>
  <w:abstractNum w:abstractNumId="12" w15:restartNumberingAfterBreak="0">
    <w:nsid w:val="2A7B7413"/>
    <w:multiLevelType w:val="hybridMultilevel"/>
    <w:tmpl w:val="923C8E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045FB0"/>
    <w:multiLevelType w:val="hybridMultilevel"/>
    <w:tmpl w:val="7DB4F07C"/>
    <w:name w:val="LT51"/>
    <w:lvl w:ilvl="0" w:tplc="320E9564">
      <w:start w:val="1"/>
      <w:numFmt w:val="lowerRoman"/>
      <w:lvlText w:val="(%1)"/>
      <w:lvlJc w:val="left"/>
      <w:pPr>
        <w:tabs>
          <w:tab w:val="num" w:pos="1080"/>
        </w:tabs>
        <w:ind w:left="1080" w:hanging="720"/>
      </w:pPr>
      <w:rPr>
        <w:rFonts w:hint="default"/>
      </w:rPr>
    </w:lvl>
    <w:lvl w:ilvl="1" w:tplc="C6460620" w:tentative="1">
      <w:start w:val="1"/>
      <w:numFmt w:val="lowerLetter"/>
      <w:lvlText w:val="%2."/>
      <w:lvlJc w:val="left"/>
      <w:pPr>
        <w:tabs>
          <w:tab w:val="num" w:pos="1516"/>
        </w:tabs>
        <w:ind w:left="1516" w:hanging="360"/>
      </w:pPr>
    </w:lvl>
    <w:lvl w:ilvl="2" w:tplc="53B0F794" w:tentative="1">
      <w:start w:val="1"/>
      <w:numFmt w:val="lowerRoman"/>
      <w:lvlText w:val="%3."/>
      <w:lvlJc w:val="right"/>
      <w:pPr>
        <w:tabs>
          <w:tab w:val="num" w:pos="2236"/>
        </w:tabs>
        <w:ind w:left="2236" w:hanging="180"/>
      </w:pPr>
    </w:lvl>
    <w:lvl w:ilvl="3" w:tplc="94F860A6" w:tentative="1">
      <w:start w:val="1"/>
      <w:numFmt w:val="decimal"/>
      <w:lvlText w:val="%4."/>
      <w:lvlJc w:val="left"/>
      <w:pPr>
        <w:tabs>
          <w:tab w:val="num" w:pos="2956"/>
        </w:tabs>
        <w:ind w:left="2956" w:hanging="360"/>
      </w:pPr>
    </w:lvl>
    <w:lvl w:ilvl="4" w:tplc="30745932" w:tentative="1">
      <w:start w:val="1"/>
      <w:numFmt w:val="lowerLetter"/>
      <w:lvlText w:val="%5."/>
      <w:lvlJc w:val="left"/>
      <w:pPr>
        <w:tabs>
          <w:tab w:val="num" w:pos="3676"/>
        </w:tabs>
        <w:ind w:left="3676" w:hanging="360"/>
      </w:pPr>
    </w:lvl>
    <w:lvl w:ilvl="5" w:tplc="44748726" w:tentative="1">
      <w:start w:val="1"/>
      <w:numFmt w:val="lowerRoman"/>
      <w:lvlText w:val="%6."/>
      <w:lvlJc w:val="right"/>
      <w:pPr>
        <w:tabs>
          <w:tab w:val="num" w:pos="4396"/>
        </w:tabs>
        <w:ind w:left="4396" w:hanging="180"/>
      </w:pPr>
    </w:lvl>
    <w:lvl w:ilvl="6" w:tplc="41525DA6" w:tentative="1">
      <w:start w:val="1"/>
      <w:numFmt w:val="decimal"/>
      <w:lvlText w:val="%7."/>
      <w:lvlJc w:val="left"/>
      <w:pPr>
        <w:tabs>
          <w:tab w:val="num" w:pos="5116"/>
        </w:tabs>
        <w:ind w:left="5116" w:hanging="360"/>
      </w:pPr>
    </w:lvl>
    <w:lvl w:ilvl="7" w:tplc="298429AC" w:tentative="1">
      <w:start w:val="1"/>
      <w:numFmt w:val="lowerLetter"/>
      <w:lvlText w:val="%8."/>
      <w:lvlJc w:val="left"/>
      <w:pPr>
        <w:tabs>
          <w:tab w:val="num" w:pos="5836"/>
        </w:tabs>
        <w:ind w:left="5836" w:hanging="360"/>
      </w:pPr>
    </w:lvl>
    <w:lvl w:ilvl="8" w:tplc="10340DCA" w:tentative="1">
      <w:start w:val="1"/>
      <w:numFmt w:val="lowerRoman"/>
      <w:lvlText w:val="%9."/>
      <w:lvlJc w:val="right"/>
      <w:pPr>
        <w:tabs>
          <w:tab w:val="num" w:pos="6556"/>
        </w:tabs>
        <w:ind w:left="6556" w:hanging="180"/>
      </w:pPr>
    </w:lvl>
  </w:abstractNum>
  <w:abstractNum w:abstractNumId="14" w15:restartNumberingAfterBreak="0">
    <w:nsid w:val="2D747E5C"/>
    <w:multiLevelType w:val="hybridMultilevel"/>
    <w:tmpl w:val="C71C3A46"/>
    <w:lvl w:ilvl="0" w:tplc="3B3A7342">
      <w:start w:val="1"/>
      <w:numFmt w:val="decimal"/>
      <w:pStyle w:val="MemLevel1"/>
      <w:lvlText w:val="%1."/>
      <w:lvlJc w:val="left"/>
      <w:pPr>
        <w:tabs>
          <w:tab w:val="num" w:pos="720"/>
        </w:tabs>
        <w:ind w:left="720" w:hanging="720"/>
      </w:pPr>
      <w:rPr>
        <w:rFonts w:ascii="Arial" w:hAnsi="Arial" w:cs="Times New Roman" w:hint="default"/>
        <w:b w:val="0"/>
        <w:i w:val="0"/>
        <w:sz w:val="20"/>
        <w:szCs w:val="20"/>
      </w:rPr>
    </w:lvl>
    <w:lvl w:ilvl="1" w:tplc="0A6E7E68">
      <w:start w:val="1"/>
      <w:numFmt w:val="lowerLetter"/>
      <w:lvlText w:val="%2."/>
      <w:lvlJc w:val="left"/>
      <w:pPr>
        <w:tabs>
          <w:tab w:val="num" w:pos="1440"/>
        </w:tabs>
        <w:ind w:left="1440" w:hanging="360"/>
      </w:pPr>
      <w:rPr>
        <w:rFonts w:cs="Times New Roman"/>
      </w:rPr>
    </w:lvl>
    <w:lvl w:ilvl="2" w:tplc="F8D4A50E">
      <w:start w:val="1"/>
      <w:numFmt w:val="lowerRoman"/>
      <w:lvlText w:val="%3."/>
      <w:lvlJc w:val="right"/>
      <w:pPr>
        <w:tabs>
          <w:tab w:val="num" w:pos="2160"/>
        </w:tabs>
        <w:ind w:left="2160" w:hanging="180"/>
      </w:pPr>
      <w:rPr>
        <w:rFonts w:cs="Times New Roman"/>
      </w:rPr>
    </w:lvl>
    <w:lvl w:ilvl="3" w:tplc="8E04DA24">
      <w:start w:val="1"/>
      <w:numFmt w:val="decimal"/>
      <w:lvlText w:val="%4."/>
      <w:lvlJc w:val="left"/>
      <w:pPr>
        <w:tabs>
          <w:tab w:val="num" w:pos="2880"/>
        </w:tabs>
        <w:ind w:left="2880" w:hanging="360"/>
      </w:pPr>
      <w:rPr>
        <w:rFonts w:cs="Times New Roman"/>
      </w:rPr>
    </w:lvl>
    <w:lvl w:ilvl="4" w:tplc="36A6E172">
      <w:start w:val="1"/>
      <w:numFmt w:val="lowerLetter"/>
      <w:lvlText w:val="%5."/>
      <w:lvlJc w:val="left"/>
      <w:pPr>
        <w:tabs>
          <w:tab w:val="num" w:pos="3600"/>
        </w:tabs>
        <w:ind w:left="3600" w:hanging="360"/>
      </w:pPr>
      <w:rPr>
        <w:rFonts w:cs="Times New Roman"/>
      </w:rPr>
    </w:lvl>
    <w:lvl w:ilvl="5" w:tplc="61BE4B74">
      <w:start w:val="1"/>
      <w:numFmt w:val="lowerRoman"/>
      <w:lvlText w:val="%6."/>
      <w:lvlJc w:val="right"/>
      <w:pPr>
        <w:tabs>
          <w:tab w:val="num" w:pos="4320"/>
        </w:tabs>
        <w:ind w:left="4320" w:hanging="180"/>
      </w:pPr>
      <w:rPr>
        <w:rFonts w:cs="Times New Roman"/>
      </w:rPr>
    </w:lvl>
    <w:lvl w:ilvl="6" w:tplc="FDA8DE2E">
      <w:start w:val="1"/>
      <w:numFmt w:val="decimal"/>
      <w:lvlText w:val="%7."/>
      <w:lvlJc w:val="left"/>
      <w:pPr>
        <w:tabs>
          <w:tab w:val="num" w:pos="5040"/>
        </w:tabs>
        <w:ind w:left="5040" w:hanging="360"/>
      </w:pPr>
      <w:rPr>
        <w:rFonts w:cs="Times New Roman"/>
      </w:rPr>
    </w:lvl>
    <w:lvl w:ilvl="7" w:tplc="0C42A8AA">
      <w:start w:val="1"/>
      <w:numFmt w:val="lowerLetter"/>
      <w:lvlText w:val="%8."/>
      <w:lvlJc w:val="left"/>
      <w:pPr>
        <w:tabs>
          <w:tab w:val="num" w:pos="5760"/>
        </w:tabs>
        <w:ind w:left="5760" w:hanging="360"/>
      </w:pPr>
      <w:rPr>
        <w:rFonts w:cs="Times New Roman"/>
      </w:rPr>
    </w:lvl>
    <w:lvl w:ilvl="8" w:tplc="2DE05172">
      <w:start w:val="1"/>
      <w:numFmt w:val="lowerRoman"/>
      <w:lvlText w:val="%9."/>
      <w:lvlJc w:val="right"/>
      <w:pPr>
        <w:tabs>
          <w:tab w:val="num" w:pos="6480"/>
        </w:tabs>
        <w:ind w:left="6480" w:hanging="180"/>
      </w:pPr>
      <w:rPr>
        <w:rFonts w:cs="Times New Roman"/>
      </w:rPr>
    </w:lvl>
  </w:abstractNum>
  <w:abstractNum w:abstractNumId="15" w15:restartNumberingAfterBreak="0">
    <w:nsid w:val="3660483F"/>
    <w:multiLevelType w:val="hybridMultilevel"/>
    <w:tmpl w:val="CA62CE40"/>
    <w:name w:val="SCHLT22"/>
    <w:lvl w:ilvl="0" w:tplc="B9F2F060">
      <w:start w:val="1"/>
      <w:numFmt w:val="bullet"/>
      <w:lvlText w:val=""/>
      <w:lvlJc w:val="left"/>
      <w:pPr>
        <w:tabs>
          <w:tab w:val="num" w:pos="720"/>
        </w:tabs>
        <w:ind w:left="720" w:hanging="360"/>
      </w:pPr>
      <w:rPr>
        <w:rFonts w:ascii="Symbol" w:hAnsi="Symbol" w:hint="default"/>
      </w:rPr>
    </w:lvl>
    <w:lvl w:ilvl="1" w:tplc="5B1A65EA" w:tentative="1">
      <w:start w:val="1"/>
      <w:numFmt w:val="bullet"/>
      <w:lvlText w:val="o"/>
      <w:lvlJc w:val="left"/>
      <w:pPr>
        <w:tabs>
          <w:tab w:val="num" w:pos="1440"/>
        </w:tabs>
        <w:ind w:left="1440" w:hanging="360"/>
      </w:pPr>
      <w:rPr>
        <w:rFonts w:ascii="Courier New" w:hAnsi="Courier New" w:cs="Courier New" w:hint="default"/>
      </w:rPr>
    </w:lvl>
    <w:lvl w:ilvl="2" w:tplc="1F5440E2" w:tentative="1">
      <w:start w:val="1"/>
      <w:numFmt w:val="bullet"/>
      <w:lvlText w:val=""/>
      <w:lvlJc w:val="left"/>
      <w:pPr>
        <w:tabs>
          <w:tab w:val="num" w:pos="2160"/>
        </w:tabs>
        <w:ind w:left="2160" w:hanging="360"/>
      </w:pPr>
      <w:rPr>
        <w:rFonts w:ascii="Wingdings" w:hAnsi="Wingdings" w:hint="default"/>
      </w:rPr>
    </w:lvl>
    <w:lvl w:ilvl="3" w:tplc="71962344" w:tentative="1">
      <w:start w:val="1"/>
      <w:numFmt w:val="bullet"/>
      <w:lvlText w:val=""/>
      <w:lvlJc w:val="left"/>
      <w:pPr>
        <w:tabs>
          <w:tab w:val="num" w:pos="2880"/>
        </w:tabs>
        <w:ind w:left="2880" w:hanging="360"/>
      </w:pPr>
      <w:rPr>
        <w:rFonts w:ascii="Symbol" w:hAnsi="Symbol" w:hint="default"/>
      </w:rPr>
    </w:lvl>
    <w:lvl w:ilvl="4" w:tplc="6928AB4E" w:tentative="1">
      <w:start w:val="1"/>
      <w:numFmt w:val="bullet"/>
      <w:lvlText w:val="o"/>
      <w:lvlJc w:val="left"/>
      <w:pPr>
        <w:tabs>
          <w:tab w:val="num" w:pos="3600"/>
        </w:tabs>
        <w:ind w:left="3600" w:hanging="360"/>
      </w:pPr>
      <w:rPr>
        <w:rFonts w:ascii="Courier New" w:hAnsi="Courier New" w:cs="Courier New" w:hint="default"/>
      </w:rPr>
    </w:lvl>
    <w:lvl w:ilvl="5" w:tplc="72D0F97C" w:tentative="1">
      <w:start w:val="1"/>
      <w:numFmt w:val="bullet"/>
      <w:lvlText w:val=""/>
      <w:lvlJc w:val="left"/>
      <w:pPr>
        <w:tabs>
          <w:tab w:val="num" w:pos="4320"/>
        </w:tabs>
        <w:ind w:left="4320" w:hanging="360"/>
      </w:pPr>
      <w:rPr>
        <w:rFonts w:ascii="Wingdings" w:hAnsi="Wingdings" w:hint="default"/>
      </w:rPr>
    </w:lvl>
    <w:lvl w:ilvl="6" w:tplc="A1C6BB68" w:tentative="1">
      <w:start w:val="1"/>
      <w:numFmt w:val="bullet"/>
      <w:lvlText w:val=""/>
      <w:lvlJc w:val="left"/>
      <w:pPr>
        <w:tabs>
          <w:tab w:val="num" w:pos="5040"/>
        </w:tabs>
        <w:ind w:left="5040" w:hanging="360"/>
      </w:pPr>
      <w:rPr>
        <w:rFonts w:ascii="Symbol" w:hAnsi="Symbol" w:hint="default"/>
      </w:rPr>
    </w:lvl>
    <w:lvl w:ilvl="7" w:tplc="FDCC1F98" w:tentative="1">
      <w:start w:val="1"/>
      <w:numFmt w:val="bullet"/>
      <w:lvlText w:val="o"/>
      <w:lvlJc w:val="left"/>
      <w:pPr>
        <w:tabs>
          <w:tab w:val="num" w:pos="5760"/>
        </w:tabs>
        <w:ind w:left="5760" w:hanging="360"/>
      </w:pPr>
      <w:rPr>
        <w:rFonts w:ascii="Courier New" w:hAnsi="Courier New" w:cs="Courier New" w:hint="default"/>
      </w:rPr>
    </w:lvl>
    <w:lvl w:ilvl="8" w:tplc="951272A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CB59F6"/>
    <w:multiLevelType w:val="singleLevel"/>
    <w:tmpl w:val="CA12B222"/>
    <w:name w:val="LT212"/>
    <w:lvl w:ilvl="0">
      <w:start w:val="1"/>
      <w:numFmt w:val="bullet"/>
      <w:lvlText w:val=""/>
      <w:lvlJc w:val="left"/>
      <w:pPr>
        <w:tabs>
          <w:tab w:val="num" w:pos="643"/>
        </w:tabs>
        <w:ind w:left="643" w:hanging="360"/>
      </w:pPr>
      <w:rPr>
        <w:rFonts w:ascii="Symbol" w:hAnsi="Symbol" w:hint="default"/>
      </w:rPr>
    </w:lvl>
  </w:abstractNum>
  <w:abstractNum w:abstractNumId="17" w15:restartNumberingAfterBreak="0">
    <w:nsid w:val="399306AE"/>
    <w:multiLevelType w:val="multilevel"/>
    <w:tmpl w:val="E7D203C6"/>
    <w:lvl w:ilvl="0">
      <w:start w:val="1"/>
      <w:numFmt w:val="decimal"/>
      <w:pStyle w:val="NA-LEVEL1"/>
      <w:lvlText w:val="%1."/>
      <w:lvlJc w:val="left"/>
      <w:pPr>
        <w:tabs>
          <w:tab w:val="num" w:pos="709"/>
        </w:tabs>
        <w:ind w:left="709" w:hanging="709"/>
      </w:pPr>
      <w:rPr>
        <w:rFonts w:hint="default"/>
        <w:b w:val="0"/>
        <w:i w:val="0"/>
        <w:caps w:val="0"/>
        <w:sz w:val="20"/>
        <w:szCs w:val="20"/>
      </w:rPr>
    </w:lvl>
    <w:lvl w:ilvl="1">
      <w:start w:val="1"/>
      <w:numFmt w:val="upperRoman"/>
      <w:pStyle w:val="NA-LEVEL2"/>
      <w:lvlText w:val="(%2)"/>
      <w:lvlJc w:val="left"/>
      <w:pPr>
        <w:tabs>
          <w:tab w:val="num" w:pos="422"/>
        </w:tabs>
        <w:ind w:left="422" w:hanging="706"/>
      </w:pPr>
      <w:rPr>
        <w:rFonts w:hint="default"/>
        <w:b w:val="0"/>
        <w:i w:val="0"/>
        <w:caps w:val="0"/>
      </w:rPr>
    </w:lvl>
    <w:lvl w:ilvl="2">
      <w:start w:val="1"/>
      <w:numFmt w:val="lowerRoman"/>
      <w:pStyle w:val="NA-LEVEL3"/>
      <w:lvlText w:val="(%3)"/>
      <w:lvlJc w:val="left"/>
      <w:pPr>
        <w:tabs>
          <w:tab w:val="num" w:pos="1127"/>
        </w:tabs>
        <w:ind w:left="1127" w:hanging="705"/>
      </w:pPr>
      <w:rPr>
        <w:rFonts w:hint="default"/>
        <w:b w:val="0"/>
        <w:i w:val="0"/>
        <w:caps w:val="0"/>
      </w:rPr>
    </w:lvl>
    <w:lvl w:ilvl="3">
      <w:start w:val="1"/>
      <w:numFmt w:val="decimal"/>
      <w:pStyle w:val="NA-LEVEL4"/>
      <w:lvlText w:val="(%4)"/>
      <w:lvlJc w:val="left"/>
      <w:pPr>
        <w:tabs>
          <w:tab w:val="num" w:pos="2551"/>
        </w:tabs>
        <w:ind w:left="2551" w:hanging="709"/>
      </w:pPr>
      <w:rPr>
        <w:rFonts w:hint="default"/>
        <w:b w:val="0"/>
        <w:i w:val="0"/>
        <w:caps w:val="0"/>
      </w:rPr>
    </w:lvl>
    <w:lvl w:ilvl="4">
      <w:start w:val="1"/>
      <w:numFmt w:val="upperLetter"/>
      <w:pStyle w:val="NA-LEVEL5"/>
      <w:lvlText w:val="(%5)"/>
      <w:lvlJc w:val="left"/>
      <w:pPr>
        <w:tabs>
          <w:tab w:val="num" w:pos="3259"/>
        </w:tabs>
        <w:ind w:left="3259" w:hanging="708"/>
      </w:pPr>
      <w:rPr>
        <w:rFonts w:hint="default"/>
        <w:b w:val="0"/>
        <w:i w:val="0"/>
        <w:caps w:val="0"/>
      </w:rPr>
    </w:lvl>
    <w:lvl w:ilvl="5">
      <w:start w:val="1"/>
      <w:numFmt w:val="upperRoman"/>
      <w:pStyle w:val="NA-LEVEL6"/>
      <w:lvlText w:val="(%6)"/>
      <w:lvlJc w:val="left"/>
      <w:pPr>
        <w:tabs>
          <w:tab w:val="num" w:pos="3968"/>
        </w:tabs>
        <w:ind w:left="3685" w:hanging="426"/>
      </w:pPr>
      <w:rPr>
        <w:rFonts w:hint="default"/>
        <w:b w:val="0"/>
        <w:i w:val="0"/>
        <w:caps w:val="0"/>
      </w:rPr>
    </w:lvl>
    <w:lvl w:ilvl="6">
      <w:start w:val="1"/>
      <w:numFmt w:val="decimal"/>
      <w:lvlText w:val="%7."/>
      <w:lvlJc w:val="left"/>
      <w:pPr>
        <w:tabs>
          <w:tab w:val="num" w:pos="2233"/>
        </w:tabs>
        <w:ind w:left="2233" w:hanging="357"/>
      </w:pPr>
      <w:rPr>
        <w:rFonts w:hint="default"/>
        <w:b w:val="0"/>
      </w:rPr>
    </w:lvl>
    <w:lvl w:ilvl="7">
      <w:start w:val="1"/>
      <w:numFmt w:val="lowerLetter"/>
      <w:lvlText w:val="%8."/>
      <w:lvlJc w:val="left"/>
      <w:pPr>
        <w:tabs>
          <w:tab w:val="num" w:pos="2596"/>
        </w:tabs>
        <w:ind w:left="2596" w:hanging="363"/>
      </w:pPr>
      <w:rPr>
        <w:rFonts w:hint="default"/>
        <w:b w:val="0"/>
      </w:rPr>
    </w:lvl>
    <w:lvl w:ilvl="8">
      <w:start w:val="1"/>
      <w:numFmt w:val="lowerRoman"/>
      <w:lvlText w:val="%9."/>
      <w:lvlJc w:val="left"/>
      <w:pPr>
        <w:tabs>
          <w:tab w:val="num" w:pos="2953"/>
        </w:tabs>
        <w:ind w:left="2953" w:hanging="357"/>
      </w:pPr>
      <w:rPr>
        <w:rFonts w:hint="default"/>
        <w:b w:val="0"/>
      </w:rPr>
    </w:lvl>
  </w:abstractNum>
  <w:abstractNum w:abstractNumId="18" w15:restartNumberingAfterBreak="0">
    <w:nsid w:val="3AC54D69"/>
    <w:multiLevelType w:val="multilevel"/>
    <w:tmpl w:val="8ED02798"/>
    <w:name w:val="BodyTextNumbered"/>
    <w:lvl w:ilvl="0">
      <w:start w:val="1"/>
      <w:numFmt w:val="decimal"/>
      <w:pStyle w:val="OutlineNumber1"/>
      <w:lvlText w:val="%1"/>
      <w:lvlJc w:val="left"/>
      <w:pPr>
        <w:tabs>
          <w:tab w:val="num" w:pos="709"/>
        </w:tabs>
        <w:ind w:left="709" w:hanging="709"/>
      </w:pPr>
      <w:rPr>
        <w:rFonts w:ascii="Times New Roman" w:hAnsi="Times New Roman" w:cs="Times New Roman" w:hint="default"/>
        <w:b w:val="0"/>
        <w:i w:val="0"/>
        <w:sz w:val="24"/>
        <w:szCs w:val="24"/>
      </w:rPr>
    </w:lvl>
    <w:lvl w:ilvl="1">
      <w:start w:val="1"/>
      <w:numFmt w:val="decimal"/>
      <w:pStyle w:val="OutlineNumber2"/>
      <w:lvlText w:val="%1.%2"/>
      <w:lvlJc w:val="left"/>
      <w:pPr>
        <w:tabs>
          <w:tab w:val="num" w:pos="709"/>
        </w:tabs>
        <w:ind w:left="709" w:hanging="709"/>
      </w:pPr>
      <w:rPr>
        <w:rFonts w:ascii="Times New Roman" w:hAnsi="Times New Roman" w:cs="Times New Roman" w:hint="default"/>
        <w:b w:val="0"/>
        <w:i w:val="0"/>
        <w:sz w:val="24"/>
        <w:szCs w:val="24"/>
      </w:rPr>
    </w:lvl>
    <w:lvl w:ilvl="2">
      <w:start w:val="1"/>
      <w:numFmt w:val="lowerLetter"/>
      <w:pStyle w:val="OutlineNumber3"/>
      <w:lvlText w:val="(%3)"/>
      <w:lvlJc w:val="left"/>
      <w:pPr>
        <w:tabs>
          <w:tab w:val="num" w:pos="1418"/>
        </w:tabs>
        <w:ind w:left="1418" w:hanging="709"/>
      </w:pPr>
      <w:rPr>
        <w:rFonts w:ascii="Times New Roman" w:hAnsi="Times New Roman" w:cs="Times New Roman" w:hint="default"/>
        <w:b w:val="0"/>
        <w:i w:val="0"/>
        <w:sz w:val="24"/>
        <w:szCs w:val="24"/>
      </w:rPr>
    </w:lvl>
    <w:lvl w:ilvl="3">
      <w:start w:val="1"/>
      <w:numFmt w:val="lowerRoman"/>
      <w:pStyle w:val="OutlineNumber4"/>
      <w:lvlText w:val="(%4)"/>
      <w:lvlJc w:val="left"/>
      <w:pPr>
        <w:tabs>
          <w:tab w:val="num" w:pos="2126"/>
        </w:tabs>
        <w:ind w:left="2126" w:hanging="708"/>
      </w:pPr>
      <w:rPr>
        <w:rFonts w:ascii="Times New Roman" w:hAnsi="Times New Roman" w:cs="Times New Roman" w:hint="default"/>
        <w:b w:val="0"/>
        <w:i w:val="0"/>
        <w:sz w:val="24"/>
        <w:szCs w:val="24"/>
      </w:rPr>
    </w:lvl>
    <w:lvl w:ilvl="4">
      <w:start w:val="1"/>
      <w:numFmt w:val="upperLetter"/>
      <w:pStyle w:val="OutlineNumber5"/>
      <w:lvlText w:val="%5."/>
      <w:lvlJc w:val="left"/>
      <w:pPr>
        <w:tabs>
          <w:tab w:val="num" w:pos="2835"/>
        </w:tabs>
        <w:ind w:left="2835" w:hanging="709"/>
      </w:pPr>
      <w:rPr>
        <w:rFonts w:ascii="Times New Roman" w:hAnsi="Times New Roman" w:cs="Times New Roman" w:hint="default"/>
        <w:b w:val="0"/>
        <w:i w:val="0"/>
        <w:sz w:val="24"/>
        <w:szCs w:val="24"/>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9" w15:restartNumberingAfterBreak="0">
    <w:nsid w:val="3BF322ED"/>
    <w:multiLevelType w:val="multilevel"/>
    <w:tmpl w:val="B08C893A"/>
    <w:lvl w:ilvl="0">
      <w:start w:val="1"/>
      <w:numFmt w:val="decimal"/>
      <w:pStyle w:val="SCH-LEVEL1"/>
      <w:lvlText w:val="%1"/>
      <w:lvlJc w:val="left"/>
      <w:pPr>
        <w:tabs>
          <w:tab w:val="num" w:pos="709"/>
        </w:tabs>
        <w:ind w:left="709" w:hanging="709"/>
      </w:pPr>
      <w:rPr>
        <w:rFonts w:ascii="Arial" w:hAnsi="Arial" w:hint="default"/>
        <w:b w:val="0"/>
        <w:i w:val="0"/>
        <w:caps w:val="0"/>
        <w:vanish w:val="0"/>
        <w:sz w:val="20"/>
      </w:rPr>
    </w:lvl>
    <w:lvl w:ilvl="1">
      <w:start w:val="1"/>
      <w:numFmt w:val="decimal"/>
      <w:pStyle w:val="SCH-LEVEL2"/>
      <w:lvlText w:val="%1.%2"/>
      <w:lvlJc w:val="left"/>
      <w:pPr>
        <w:tabs>
          <w:tab w:val="num" w:pos="709"/>
        </w:tabs>
        <w:ind w:left="709" w:hanging="709"/>
      </w:pPr>
      <w:rPr>
        <w:rFonts w:hint="default"/>
        <w:b w:val="0"/>
        <w:i w:val="0"/>
        <w:caps w:val="0"/>
      </w:rPr>
    </w:lvl>
    <w:lvl w:ilvl="2">
      <w:start w:val="1"/>
      <w:numFmt w:val="decimal"/>
      <w:pStyle w:val="SCH-LEVEL3"/>
      <w:lvlText w:val="%1.%2.%3"/>
      <w:lvlJc w:val="left"/>
      <w:pPr>
        <w:tabs>
          <w:tab w:val="num" w:pos="1417"/>
        </w:tabs>
        <w:ind w:left="1417" w:hanging="708"/>
      </w:pPr>
      <w:rPr>
        <w:rFonts w:hint="default"/>
        <w:b w:val="0"/>
        <w:i w:val="0"/>
        <w:caps w:val="0"/>
      </w:rPr>
    </w:lvl>
    <w:lvl w:ilvl="3">
      <w:start w:val="1"/>
      <w:numFmt w:val="lowerLetter"/>
      <w:pStyle w:val="SCH-LEVEL4"/>
      <w:lvlText w:val="(%4)"/>
      <w:lvlJc w:val="left"/>
      <w:pPr>
        <w:tabs>
          <w:tab w:val="num" w:pos="1411"/>
        </w:tabs>
        <w:ind w:left="1411" w:hanging="705"/>
      </w:pPr>
      <w:rPr>
        <w:rFonts w:hint="default"/>
        <w:b w:val="0"/>
        <w:i w:val="0"/>
        <w:caps w:val="0"/>
      </w:rPr>
    </w:lvl>
    <w:lvl w:ilvl="4">
      <w:start w:val="1"/>
      <w:numFmt w:val="lowerRoman"/>
      <w:pStyle w:val="SCH-LEVEL5"/>
      <w:lvlText w:val="(%5)"/>
      <w:lvlJc w:val="left"/>
      <w:pPr>
        <w:tabs>
          <w:tab w:val="num" w:pos="2835"/>
        </w:tabs>
        <w:ind w:left="2835" w:hanging="709"/>
      </w:pPr>
      <w:rPr>
        <w:rFonts w:hint="default"/>
        <w:b w:val="0"/>
        <w:i w:val="0"/>
        <w:caps w:val="0"/>
      </w:rPr>
    </w:lvl>
    <w:lvl w:ilvl="5">
      <w:start w:val="1"/>
      <w:numFmt w:val="decimal"/>
      <w:pStyle w:val="SCH-LEVEL6"/>
      <w:lvlText w:val="(%6)"/>
      <w:lvlJc w:val="left"/>
      <w:pPr>
        <w:tabs>
          <w:tab w:val="num" w:pos="3543"/>
        </w:tabs>
        <w:ind w:left="3543" w:hanging="708"/>
      </w:pPr>
      <w:rPr>
        <w:rFonts w:hint="default"/>
        <w:b w:val="0"/>
        <w:i w:val="0"/>
        <w:caps w:val="0"/>
      </w:rPr>
    </w:lvl>
    <w:lvl w:ilvl="6">
      <w:start w:val="1"/>
      <w:numFmt w:val="decimal"/>
      <w:lvlText w:val="%7."/>
      <w:lvlJc w:val="left"/>
      <w:pPr>
        <w:tabs>
          <w:tab w:val="num" w:pos="2517"/>
        </w:tabs>
        <w:ind w:left="2517" w:hanging="357"/>
      </w:pPr>
      <w:rPr>
        <w:rFonts w:hint="default"/>
        <w:b w:val="0"/>
      </w:rPr>
    </w:lvl>
    <w:lvl w:ilvl="7">
      <w:start w:val="1"/>
      <w:numFmt w:val="lowerLetter"/>
      <w:lvlText w:val="%8."/>
      <w:lvlJc w:val="left"/>
      <w:pPr>
        <w:tabs>
          <w:tab w:val="num" w:pos="2880"/>
        </w:tabs>
        <w:ind w:left="2880" w:hanging="363"/>
      </w:pPr>
      <w:rPr>
        <w:rFonts w:hint="default"/>
        <w:b w:val="0"/>
      </w:rPr>
    </w:lvl>
    <w:lvl w:ilvl="8">
      <w:start w:val="1"/>
      <w:numFmt w:val="lowerRoman"/>
      <w:lvlText w:val="%9."/>
      <w:lvlJc w:val="left"/>
      <w:pPr>
        <w:tabs>
          <w:tab w:val="num" w:pos="3237"/>
        </w:tabs>
        <w:ind w:left="3237" w:hanging="357"/>
      </w:pPr>
      <w:rPr>
        <w:rFonts w:hint="default"/>
        <w:b w:val="0"/>
      </w:rPr>
    </w:lvl>
  </w:abstractNum>
  <w:abstractNum w:abstractNumId="20" w15:restartNumberingAfterBreak="0">
    <w:nsid w:val="437D4484"/>
    <w:multiLevelType w:val="multilevel"/>
    <w:tmpl w:val="0409001F"/>
    <w:name w:val="SCHLT"/>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445060D7"/>
    <w:multiLevelType w:val="multilevel"/>
    <w:tmpl w:val="C96A6E78"/>
    <w:lvl w:ilvl="0">
      <w:start w:val="1"/>
      <w:numFmt w:val="decimal"/>
      <w:lvlText w:val="%1"/>
      <w:lvlJc w:val="left"/>
      <w:pPr>
        <w:tabs>
          <w:tab w:val="num" w:pos="709"/>
        </w:tabs>
        <w:ind w:left="709" w:hanging="709"/>
      </w:pPr>
      <w:rPr>
        <w:b w:val="0"/>
        <w:i w:val="0"/>
        <w:caps w:val="0"/>
      </w:rPr>
    </w:lvl>
    <w:lvl w:ilvl="1">
      <w:start w:val="1"/>
      <w:numFmt w:val="decimal"/>
      <w:lvlText w:val="%1.%2"/>
      <w:lvlJc w:val="left"/>
      <w:pPr>
        <w:tabs>
          <w:tab w:val="num" w:pos="709"/>
        </w:tabs>
        <w:ind w:left="709" w:hanging="709"/>
      </w:pPr>
      <w:rPr>
        <w:b w:val="0"/>
        <w:i w:val="0"/>
        <w:caps w:val="0"/>
      </w:rPr>
    </w:lvl>
    <w:lvl w:ilvl="2">
      <w:start w:val="1"/>
      <w:numFmt w:val="decimal"/>
      <w:pStyle w:val="Level3"/>
      <w:lvlText w:val="%1.%2.%3"/>
      <w:lvlJc w:val="left"/>
      <w:pPr>
        <w:tabs>
          <w:tab w:val="num" w:pos="1417"/>
        </w:tabs>
        <w:ind w:left="1417" w:hanging="708"/>
      </w:pPr>
      <w:rPr>
        <w:b w:val="0"/>
        <w:i w:val="0"/>
        <w:caps w:val="0"/>
      </w:rPr>
    </w:lvl>
    <w:lvl w:ilvl="3">
      <w:start w:val="1"/>
      <w:numFmt w:val="lowerLetter"/>
      <w:pStyle w:val="Level4"/>
      <w:lvlText w:val="(%4)"/>
      <w:lvlJc w:val="left"/>
      <w:pPr>
        <w:tabs>
          <w:tab w:val="num" w:pos="2126"/>
        </w:tabs>
        <w:ind w:left="2126" w:hanging="709"/>
      </w:pPr>
      <w:rPr>
        <w:b w:val="0"/>
        <w:i w:val="0"/>
        <w:caps w:val="0"/>
      </w:rPr>
    </w:lvl>
    <w:lvl w:ilvl="4">
      <w:start w:val="1"/>
      <w:numFmt w:val="lowerRoman"/>
      <w:pStyle w:val="Level5"/>
      <w:lvlText w:val="(%5)"/>
      <w:lvlJc w:val="left"/>
      <w:pPr>
        <w:tabs>
          <w:tab w:val="num" w:pos="2835"/>
        </w:tabs>
        <w:ind w:left="2835" w:hanging="709"/>
      </w:pPr>
      <w:rPr>
        <w:b w:val="0"/>
        <w:i w:val="0"/>
        <w:caps w:val="0"/>
      </w:rPr>
    </w:lvl>
    <w:lvl w:ilvl="5">
      <w:start w:val="1"/>
      <w:numFmt w:val="upperLetter"/>
      <w:pStyle w:val="Level6"/>
      <w:lvlText w:val="(%6)"/>
      <w:lvlJc w:val="left"/>
      <w:pPr>
        <w:tabs>
          <w:tab w:val="num" w:pos="3543"/>
        </w:tabs>
        <w:ind w:left="3543" w:hanging="708"/>
      </w:pPr>
      <w:rPr>
        <w:b w:val="0"/>
        <w:i w:val="0"/>
        <w:caps w:val="0"/>
      </w:rPr>
    </w:lvl>
    <w:lvl w:ilvl="6">
      <w:start w:val="1"/>
      <w:numFmt w:val="decimal"/>
      <w:lvlText w:val="%7."/>
      <w:lvlJc w:val="left"/>
      <w:pPr>
        <w:tabs>
          <w:tab w:val="num" w:pos="3226"/>
        </w:tabs>
        <w:ind w:left="3226" w:hanging="357"/>
      </w:pPr>
      <w:rPr>
        <w:b w:val="0"/>
      </w:rPr>
    </w:lvl>
    <w:lvl w:ilvl="7">
      <w:start w:val="1"/>
      <w:numFmt w:val="lowerLetter"/>
      <w:lvlText w:val="%8."/>
      <w:lvlJc w:val="left"/>
      <w:pPr>
        <w:tabs>
          <w:tab w:val="num" w:pos="3589"/>
        </w:tabs>
        <w:ind w:left="3589" w:hanging="363"/>
      </w:pPr>
      <w:rPr>
        <w:b w:val="0"/>
      </w:rPr>
    </w:lvl>
    <w:lvl w:ilvl="8">
      <w:start w:val="1"/>
      <w:numFmt w:val="lowerRoman"/>
      <w:lvlText w:val="%9."/>
      <w:lvlJc w:val="left"/>
      <w:pPr>
        <w:tabs>
          <w:tab w:val="num" w:pos="3946"/>
        </w:tabs>
        <w:ind w:left="3946" w:hanging="357"/>
      </w:pPr>
      <w:rPr>
        <w:b w:val="0"/>
      </w:rPr>
    </w:lvl>
  </w:abstractNum>
  <w:abstractNum w:abstractNumId="22" w15:restartNumberingAfterBreak="0">
    <w:nsid w:val="44EC4959"/>
    <w:multiLevelType w:val="multilevel"/>
    <w:tmpl w:val="3EAE15B0"/>
    <w:lvl w:ilvl="0">
      <w:start w:val="1"/>
      <w:numFmt w:val="decimal"/>
      <w:lvlText w:val="%1."/>
      <w:lvlJc w:val="left"/>
      <w:pPr>
        <w:tabs>
          <w:tab w:val="num" w:pos="0"/>
        </w:tabs>
        <w:ind w:left="720" w:hanging="720"/>
      </w:pPr>
      <w:rPr>
        <w:rFonts w:cs="Times New Roman"/>
      </w:rPr>
    </w:lvl>
    <w:lvl w:ilvl="1">
      <w:start w:val="1"/>
      <w:numFmt w:val="lowerLetter"/>
      <w:pStyle w:val="DraftingNote2"/>
      <w:lvlText w:val="(%2)"/>
      <w:lvlJc w:val="left"/>
      <w:pPr>
        <w:tabs>
          <w:tab w:val="num" w:pos="0"/>
        </w:tabs>
        <w:ind w:left="1440" w:hanging="720"/>
      </w:pPr>
      <w:rPr>
        <w:rFonts w:ascii="Arial Bold" w:hAnsi="Arial Bold" w:cs="Times New Roman" w:hint="default"/>
        <w:b/>
        <w:i/>
        <w:color w:val="800080"/>
        <w:sz w:val="20"/>
        <w:szCs w:val="20"/>
      </w:rPr>
    </w:lvl>
    <w:lvl w:ilvl="2">
      <w:start w:val="1"/>
      <w:numFmt w:val="lowerRoman"/>
      <w:pStyle w:val="DraftingNote3"/>
      <w:lvlText w:val="(%3)"/>
      <w:lvlJc w:val="left"/>
      <w:pPr>
        <w:tabs>
          <w:tab w:val="num" w:pos="0"/>
        </w:tabs>
        <w:ind w:left="2160" w:hanging="720"/>
      </w:pPr>
      <w:rPr>
        <w:rFonts w:ascii="Arial Bold" w:hAnsi="Arial Bold" w:cs="Times New Roman" w:hint="default"/>
        <w:b/>
        <w:i/>
        <w:color w:val="800080"/>
        <w:sz w:val="20"/>
        <w:szCs w:val="20"/>
      </w:rPr>
    </w:lvl>
    <w:lvl w:ilvl="3">
      <w:start w:val="1"/>
      <w:numFmt w:val="lowerRoman"/>
      <w:lvlText w:val="(%4)"/>
      <w:lvlJc w:val="left"/>
      <w:pPr>
        <w:tabs>
          <w:tab w:val="num" w:pos="0"/>
        </w:tabs>
        <w:ind w:left="2160" w:hanging="720"/>
      </w:pPr>
      <w:rPr>
        <w:rFonts w:cs="Times New Roman"/>
      </w:rPr>
    </w:lvl>
    <w:lvl w:ilvl="4">
      <w:start w:val="1"/>
      <w:numFmt w:val="upperLetter"/>
      <w:lvlText w:val="(%5)"/>
      <w:lvlJc w:val="left"/>
      <w:pPr>
        <w:tabs>
          <w:tab w:val="num" w:pos="0"/>
        </w:tabs>
        <w:ind w:left="2880" w:hanging="720"/>
      </w:pPr>
      <w:rPr>
        <w:rFonts w:cs="Times New Roman"/>
      </w:rPr>
    </w:lvl>
    <w:lvl w:ilvl="5">
      <w:start w:val="1"/>
      <w:numFmt w:val="decimal"/>
      <w:lvlText w:val="(%6)"/>
      <w:lvlJc w:val="left"/>
      <w:pPr>
        <w:tabs>
          <w:tab w:val="num" w:pos="0"/>
        </w:tabs>
        <w:ind w:left="3600" w:hanging="720"/>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3" w15:restartNumberingAfterBreak="0">
    <w:nsid w:val="4A3D5A1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D1C6F1C"/>
    <w:multiLevelType w:val="hybridMultilevel"/>
    <w:tmpl w:val="89D8B7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BB4C2A"/>
    <w:multiLevelType w:val="multilevel"/>
    <w:tmpl w:val="AB8A7148"/>
    <w:name w:val="AgtLT"/>
    <w:lvl w:ilvl="0">
      <w:start w:val="1"/>
      <w:numFmt w:val="decimal"/>
      <w:lvlText w:val="%1."/>
      <w:lvlJc w:val="left"/>
      <w:pPr>
        <w:tabs>
          <w:tab w:val="num" w:pos="709"/>
        </w:tabs>
        <w:ind w:left="709" w:hanging="709"/>
      </w:pPr>
      <w:rPr>
        <w:rFonts w:hint="default"/>
        <w:b w:val="0"/>
        <w:i w:val="0"/>
        <w:caps w:val="0"/>
      </w:rPr>
    </w:lvl>
    <w:lvl w:ilvl="1">
      <w:start w:val="1"/>
      <w:numFmt w:val="upperRoman"/>
      <w:lvlText w:val="(%2)"/>
      <w:lvlJc w:val="left"/>
      <w:pPr>
        <w:tabs>
          <w:tab w:val="num" w:pos="706"/>
        </w:tabs>
        <w:ind w:left="706" w:hanging="706"/>
      </w:pPr>
      <w:rPr>
        <w:rFonts w:hint="default"/>
        <w:b w:val="0"/>
        <w:i w:val="0"/>
        <w:caps w:val="0"/>
      </w:rPr>
    </w:lvl>
    <w:lvl w:ilvl="2">
      <w:start w:val="1"/>
      <w:numFmt w:val="lowerRoman"/>
      <w:lvlText w:val="(%3)"/>
      <w:lvlJc w:val="left"/>
      <w:pPr>
        <w:tabs>
          <w:tab w:val="num" w:pos="1411"/>
        </w:tabs>
        <w:ind w:left="1411" w:hanging="705"/>
      </w:pPr>
      <w:rPr>
        <w:rFonts w:hint="default"/>
        <w:b w:val="0"/>
        <w:i w:val="0"/>
        <w:caps w:val="0"/>
      </w:rPr>
    </w:lvl>
    <w:lvl w:ilvl="3">
      <w:start w:val="1"/>
      <w:numFmt w:val="decimal"/>
      <w:lvlText w:val="(%4)"/>
      <w:lvlJc w:val="left"/>
      <w:pPr>
        <w:tabs>
          <w:tab w:val="num" w:pos="2835"/>
        </w:tabs>
        <w:ind w:left="2835" w:hanging="709"/>
      </w:pPr>
      <w:rPr>
        <w:rFonts w:hint="default"/>
        <w:b w:val="0"/>
        <w:i w:val="0"/>
        <w:caps w:val="0"/>
      </w:rPr>
    </w:lvl>
    <w:lvl w:ilvl="4">
      <w:start w:val="1"/>
      <w:numFmt w:val="upperLetter"/>
      <w:lvlText w:val="(%5)"/>
      <w:lvlJc w:val="left"/>
      <w:pPr>
        <w:tabs>
          <w:tab w:val="num" w:pos="3543"/>
        </w:tabs>
        <w:ind w:left="3543" w:hanging="708"/>
      </w:pPr>
      <w:rPr>
        <w:rFonts w:hint="default"/>
        <w:b w:val="0"/>
        <w:i w:val="0"/>
        <w:caps w:val="0"/>
      </w:rPr>
    </w:lvl>
    <w:lvl w:ilvl="5">
      <w:start w:val="1"/>
      <w:numFmt w:val="upperRoman"/>
      <w:lvlText w:val="(%6)"/>
      <w:lvlJc w:val="left"/>
      <w:pPr>
        <w:tabs>
          <w:tab w:val="num" w:pos="4252"/>
        </w:tabs>
        <w:ind w:left="3969" w:hanging="426"/>
      </w:pPr>
      <w:rPr>
        <w:rFonts w:hint="default"/>
        <w:b w:val="0"/>
        <w:i w:val="0"/>
        <w:caps w:val="0"/>
      </w:rPr>
    </w:lvl>
    <w:lvl w:ilvl="6">
      <w:start w:val="1"/>
      <w:numFmt w:val="decimal"/>
      <w:lvlText w:val="%7."/>
      <w:lvlJc w:val="left"/>
      <w:pPr>
        <w:tabs>
          <w:tab w:val="num" w:pos="2517"/>
        </w:tabs>
        <w:ind w:left="2517" w:hanging="357"/>
      </w:pPr>
      <w:rPr>
        <w:rFonts w:hint="default"/>
        <w:b w:val="0"/>
      </w:rPr>
    </w:lvl>
    <w:lvl w:ilvl="7">
      <w:start w:val="1"/>
      <w:numFmt w:val="lowerLetter"/>
      <w:lvlText w:val="%8."/>
      <w:lvlJc w:val="left"/>
      <w:pPr>
        <w:tabs>
          <w:tab w:val="num" w:pos="2880"/>
        </w:tabs>
        <w:ind w:left="2880" w:hanging="363"/>
      </w:pPr>
      <w:rPr>
        <w:rFonts w:hint="default"/>
        <w:b w:val="0"/>
      </w:rPr>
    </w:lvl>
    <w:lvl w:ilvl="8">
      <w:start w:val="1"/>
      <w:numFmt w:val="lowerRoman"/>
      <w:lvlText w:val="%9."/>
      <w:lvlJc w:val="left"/>
      <w:pPr>
        <w:tabs>
          <w:tab w:val="num" w:pos="3237"/>
        </w:tabs>
        <w:ind w:left="3237" w:hanging="357"/>
      </w:pPr>
      <w:rPr>
        <w:rFonts w:hint="default"/>
        <w:b w:val="0"/>
      </w:rPr>
    </w:lvl>
  </w:abstractNum>
  <w:abstractNum w:abstractNumId="26" w15:restartNumberingAfterBreak="0">
    <w:nsid w:val="50592791"/>
    <w:multiLevelType w:val="singleLevel"/>
    <w:tmpl w:val="48148F00"/>
    <w:name w:val="AODoc"/>
    <w:lvl w:ilvl="0">
      <w:start w:val="1"/>
      <w:numFmt w:val="decimal"/>
      <w:lvlText w:val="%1."/>
      <w:lvlJc w:val="left"/>
      <w:pPr>
        <w:tabs>
          <w:tab w:val="num" w:pos="1492"/>
        </w:tabs>
        <w:ind w:left="1492" w:hanging="360"/>
      </w:pPr>
    </w:lvl>
  </w:abstractNum>
  <w:abstractNum w:abstractNumId="27" w15:restartNumberingAfterBreak="0">
    <w:nsid w:val="526958C9"/>
    <w:multiLevelType w:val="multilevel"/>
    <w:tmpl w:val="D4DC984C"/>
    <w:lvl w:ilvl="0">
      <w:start w:val="1"/>
      <w:numFmt w:val="bullet"/>
      <w:pStyle w:val="Bullet1"/>
      <w:lvlText w:val=""/>
      <w:lvlJc w:val="left"/>
      <w:pPr>
        <w:tabs>
          <w:tab w:val="num" w:pos="709"/>
        </w:tabs>
        <w:ind w:left="709" w:hanging="709"/>
      </w:pPr>
      <w:rPr>
        <w:rFonts w:ascii="Wingdings" w:hAnsi="Wingdings" w:hint="default"/>
        <w:b w:val="0"/>
        <w:i w:val="0"/>
        <w:caps w:val="0"/>
      </w:rPr>
    </w:lvl>
    <w:lvl w:ilvl="1">
      <w:start w:val="1"/>
      <w:numFmt w:val="bullet"/>
      <w:pStyle w:val="Bullet2"/>
      <w:lvlText w:val=""/>
      <w:lvlJc w:val="left"/>
      <w:pPr>
        <w:tabs>
          <w:tab w:val="num" w:pos="1417"/>
        </w:tabs>
        <w:ind w:left="1417" w:hanging="708"/>
      </w:pPr>
      <w:rPr>
        <w:rFonts w:ascii="Wingdings" w:hAnsi="Wingdings" w:hint="default"/>
        <w:b w:val="0"/>
        <w:i w:val="0"/>
        <w:caps w:val="0"/>
        <w:u w:val="none"/>
      </w:rPr>
    </w:lvl>
    <w:lvl w:ilvl="2">
      <w:start w:val="1"/>
      <w:numFmt w:val="bullet"/>
      <w:pStyle w:val="Bullet3"/>
      <w:lvlText w:val=""/>
      <w:lvlJc w:val="left"/>
      <w:pPr>
        <w:tabs>
          <w:tab w:val="num" w:pos="2126"/>
        </w:tabs>
        <w:ind w:left="2126" w:hanging="709"/>
      </w:pPr>
      <w:rPr>
        <w:rFonts w:ascii="Wingdings" w:hAnsi="Wingdings" w:hint="default"/>
        <w:b w:val="0"/>
        <w:i w:val="0"/>
        <w:caps w:val="0"/>
        <w:u w:val="none"/>
      </w:rPr>
    </w:lvl>
    <w:lvl w:ilvl="3">
      <w:start w:val="1"/>
      <w:numFmt w:val="bullet"/>
      <w:pStyle w:val="Bullet4"/>
      <w:lvlText w:val=""/>
      <w:lvlJc w:val="left"/>
      <w:pPr>
        <w:tabs>
          <w:tab w:val="num" w:pos="2835"/>
        </w:tabs>
        <w:ind w:left="2835" w:hanging="709"/>
      </w:pPr>
      <w:rPr>
        <w:rFonts w:ascii="Wingdings" w:hAnsi="Wingdings" w:hint="default"/>
        <w:b w:val="0"/>
        <w:i w:val="0"/>
        <w:caps w:val="0"/>
        <w:u w:val="none"/>
      </w:rPr>
    </w:lvl>
    <w:lvl w:ilvl="4">
      <w:start w:val="1"/>
      <w:numFmt w:val="bullet"/>
      <w:pStyle w:val="Bullet5"/>
      <w:lvlText w:val=""/>
      <w:lvlJc w:val="left"/>
      <w:pPr>
        <w:tabs>
          <w:tab w:val="num" w:pos="3543"/>
        </w:tabs>
        <w:ind w:left="3543" w:hanging="708"/>
      </w:pPr>
      <w:rPr>
        <w:rFonts w:ascii="Wingdings" w:hAnsi="Wingdings" w:hint="default"/>
        <w:b w:val="0"/>
        <w:i w:val="0"/>
        <w:caps w:val="0"/>
        <w:u w:val="none"/>
      </w:rPr>
    </w:lvl>
    <w:lvl w:ilvl="5">
      <w:start w:val="1"/>
      <w:numFmt w:val="bullet"/>
      <w:pStyle w:val="Bullet6"/>
      <w:lvlText w:val=""/>
      <w:lvlJc w:val="left"/>
      <w:pPr>
        <w:tabs>
          <w:tab w:val="num" w:pos="4252"/>
        </w:tabs>
        <w:ind w:left="4252" w:hanging="709"/>
      </w:pPr>
      <w:rPr>
        <w:rFonts w:ascii="Wingdings" w:hAnsi="Wingdings" w:hint="default"/>
        <w:b w:val="0"/>
        <w:i w:val="0"/>
        <w:caps w:val="0"/>
      </w:rPr>
    </w:lvl>
    <w:lvl w:ilvl="6">
      <w:start w:val="1"/>
      <w:numFmt w:val="bullet"/>
      <w:pStyle w:val="Bullet7"/>
      <w:lvlText w:val=""/>
      <w:lvlJc w:val="left"/>
      <w:pPr>
        <w:tabs>
          <w:tab w:val="num" w:pos="4677"/>
        </w:tabs>
        <w:ind w:left="4677" w:hanging="425"/>
      </w:pPr>
      <w:rPr>
        <w:rFonts w:ascii="Wingdings" w:hAnsi="Wingdings" w:hint="default"/>
        <w:b w:val="0"/>
        <w:i w:val="0"/>
        <w:caps w:val="0"/>
      </w:rPr>
    </w:lvl>
    <w:lvl w:ilvl="7">
      <w:start w:val="1"/>
      <w:numFmt w:val="lowerLetter"/>
      <w:lvlText w:val=""/>
      <w:lvlJc w:val="left"/>
      <w:pPr>
        <w:tabs>
          <w:tab w:val="num" w:pos="2880"/>
        </w:tabs>
        <w:ind w:left="2880" w:hanging="363"/>
      </w:pPr>
      <w:rPr>
        <w:rFonts w:ascii="Wingdings" w:hAnsi="Wingdings" w:hint="default"/>
        <w:b w:val="0"/>
        <w:i w:val="0"/>
      </w:rPr>
    </w:lvl>
    <w:lvl w:ilvl="8">
      <w:start w:val="1"/>
      <w:numFmt w:val="lowerRoman"/>
      <w:lvlText w:val=""/>
      <w:lvlJc w:val="left"/>
      <w:pPr>
        <w:tabs>
          <w:tab w:val="num" w:pos="3237"/>
        </w:tabs>
        <w:ind w:left="3237" w:hanging="357"/>
      </w:pPr>
      <w:rPr>
        <w:rFonts w:ascii="Wingdings" w:hAnsi="Wingdings" w:hint="default"/>
        <w:b w:val="0"/>
        <w:i w:val="0"/>
      </w:rPr>
    </w:lvl>
  </w:abstractNum>
  <w:abstractNum w:abstractNumId="28" w15:restartNumberingAfterBreak="0">
    <w:nsid w:val="54BA2898"/>
    <w:multiLevelType w:val="singleLevel"/>
    <w:tmpl w:val="329ABF7A"/>
    <w:name w:val="LT6"/>
    <w:lvl w:ilvl="0">
      <w:start w:val="1"/>
      <w:numFmt w:val="decimal"/>
      <w:lvlText w:val="%1."/>
      <w:lvlJc w:val="left"/>
      <w:pPr>
        <w:tabs>
          <w:tab w:val="num" w:pos="643"/>
        </w:tabs>
        <w:ind w:left="643" w:hanging="360"/>
      </w:pPr>
    </w:lvl>
  </w:abstractNum>
  <w:abstractNum w:abstractNumId="29" w15:restartNumberingAfterBreak="0">
    <w:nsid w:val="56653B83"/>
    <w:multiLevelType w:val="singleLevel"/>
    <w:tmpl w:val="35C42EA4"/>
    <w:name w:val="LT101"/>
    <w:lvl w:ilvl="0">
      <w:start w:val="1"/>
      <w:numFmt w:val="decimal"/>
      <w:lvlText w:val="%1."/>
      <w:lvlJc w:val="left"/>
      <w:pPr>
        <w:tabs>
          <w:tab w:val="num" w:pos="1209"/>
        </w:tabs>
        <w:ind w:left="1209" w:hanging="360"/>
      </w:pPr>
    </w:lvl>
  </w:abstractNum>
  <w:abstractNum w:abstractNumId="30" w15:restartNumberingAfterBreak="0">
    <w:nsid w:val="658A2C51"/>
    <w:multiLevelType w:val="multilevel"/>
    <w:tmpl w:val="8CAC42D8"/>
    <w:lvl w:ilvl="0">
      <w:start w:val="1"/>
      <w:numFmt w:val="decimal"/>
      <w:lvlText w:val="%1."/>
      <w:lvlJc w:val="left"/>
      <w:pPr>
        <w:tabs>
          <w:tab w:val="num" w:pos="0"/>
        </w:tabs>
        <w:ind w:left="720" w:hanging="720"/>
      </w:pPr>
      <w:rPr>
        <w:rFonts w:cs="Times New Roman"/>
      </w:rPr>
    </w:lvl>
    <w:lvl w:ilvl="1">
      <w:start w:val="1"/>
      <w:numFmt w:val="lowerLetter"/>
      <w:lvlText w:val="(%2)"/>
      <w:lvlJc w:val="left"/>
      <w:pPr>
        <w:tabs>
          <w:tab w:val="num" w:pos="0"/>
        </w:tabs>
        <w:ind w:left="1440" w:hanging="720"/>
      </w:pPr>
      <w:rPr>
        <w:rFonts w:cs="Times New Roman"/>
      </w:rPr>
    </w:lvl>
    <w:lvl w:ilvl="2">
      <w:start w:val="1"/>
      <w:numFmt w:val="lowerRoman"/>
      <w:lvlText w:val="(%3)"/>
      <w:lvlJc w:val="left"/>
      <w:pPr>
        <w:tabs>
          <w:tab w:val="num" w:pos="0"/>
        </w:tabs>
        <w:ind w:left="2160" w:hanging="720"/>
      </w:pPr>
      <w:rPr>
        <w:rFonts w:cs="Times New Roman"/>
      </w:rPr>
    </w:lvl>
    <w:lvl w:ilvl="3">
      <w:start w:val="1"/>
      <w:numFmt w:val="upperLetter"/>
      <w:lvlText w:val="(%4)"/>
      <w:lvlJc w:val="left"/>
      <w:pPr>
        <w:tabs>
          <w:tab w:val="num" w:pos="0"/>
        </w:tabs>
        <w:ind w:left="2880" w:hanging="720"/>
      </w:pPr>
      <w:rPr>
        <w:rFonts w:cs="Times New Roman"/>
      </w:rPr>
    </w:lvl>
    <w:lvl w:ilvl="4">
      <w:start w:val="1"/>
      <w:numFmt w:val="decimal"/>
      <w:lvlText w:val="(%5)"/>
      <w:lvlJc w:val="left"/>
      <w:pPr>
        <w:tabs>
          <w:tab w:val="num" w:pos="0"/>
        </w:tabs>
        <w:ind w:left="3600" w:hanging="720"/>
      </w:pPr>
      <w:rPr>
        <w:rFonts w:cs="Times New Roman"/>
      </w:rPr>
    </w:lvl>
    <w:lvl w:ilvl="5">
      <w:start w:val="1"/>
      <w:numFmt w:val="none"/>
      <w:suff w:val="nothing"/>
      <w:lvlText w:val=""/>
      <w:lvlJc w:val="left"/>
      <w:pPr>
        <w:tabs>
          <w:tab w:val="num" w:pos="0"/>
        </w:tabs>
      </w:pPr>
      <w:rPr>
        <w:rFonts w:cs="Times New Roman"/>
      </w:rPr>
    </w:lvl>
    <w:lvl w:ilvl="6">
      <w:start w:val="1"/>
      <w:numFmt w:val="none"/>
      <w:pStyle w:val="Basic7"/>
      <w:suff w:val="nothing"/>
      <w:lvlText w:val=""/>
      <w:lvlJc w:val="left"/>
      <w:pPr>
        <w:tabs>
          <w:tab w:val="num" w:pos="0"/>
        </w:tabs>
      </w:pPr>
      <w:rPr>
        <w:rFonts w:cs="Times New Roman"/>
        <w:b w:val="0"/>
        <w:i w:val="0"/>
        <w:sz w:val="24"/>
        <w:szCs w:val="24"/>
      </w:rPr>
    </w:lvl>
    <w:lvl w:ilvl="7">
      <w:start w:val="1"/>
      <w:numFmt w:val="none"/>
      <w:pStyle w:val="Basic8"/>
      <w:suff w:val="nothing"/>
      <w:lvlText w:val=""/>
      <w:lvlJc w:val="left"/>
      <w:pPr>
        <w:tabs>
          <w:tab w:val="num" w:pos="0"/>
        </w:tabs>
      </w:pPr>
      <w:rPr>
        <w:rFonts w:cs="Times New Roman"/>
        <w:b w:val="0"/>
        <w:i w:val="0"/>
        <w:sz w:val="24"/>
        <w:szCs w:val="24"/>
      </w:rPr>
    </w:lvl>
    <w:lvl w:ilvl="8">
      <w:start w:val="1"/>
      <w:numFmt w:val="none"/>
      <w:pStyle w:val="Basic9"/>
      <w:suff w:val="nothing"/>
      <w:lvlText w:val=""/>
      <w:lvlJc w:val="left"/>
      <w:pPr>
        <w:tabs>
          <w:tab w:val="num" w:pos="0"/>
        </w:tabs>
      </w:pPr>
      <w:rPr>
        <w:rFonts w:cs="Times New Roman"/>
        <w:b w:val="0"/>
        <w:i w:val="0"/>
        <w:sz w:val="24"/>
        <w:szCs w:val="24"/>
      </w:rPr>
    </w:lvl>
  </w:abstractNum>
  <w:abstractNum w:abstractNumId="31" w15:restartNumberingAfterBreak="0">
    <w:nsid w:val="65A81BB5"/>
    <w:multiLevelType w:val="hybridMultilevel"/>
    <w:tmpl w:val="151C4304"/>
    <w:name w:val="BulletLT1"/>
    <w:lvl w:ilvl="0" w:tplc="EA2E77DE">
      <w:start w:val="1"/>
      <w:numFmt w:val="decimal"/>
      <w:lvlText w:val="%1)"/>
      <w:lvlJc w:val="left"/>
      <w:pPr>
        <w:ind w:left="720" w:hanging="360"/>
      </w:pPr>
      <w:rPr>
        <w:rFonts w:hint="default"/>
      </w:rPr>
    </w:lvl>
    <w:lvl w:ilvl="1" w:tplc="18084B52" w:tentative="1">
      <w:start w:val="1"/>
      <w:numFmt w:val="lowerLetter"/>
      <w:lvlText w:val="%2."/>
      <w:lvlJc w:val="left"/>
      <w:pPr>
        <w:ind w:left="1440" w:hanging="360"/>
      </w:pPr>
    </w:lvl>
    <w:lvl w:ilvl="2" w:tplc="DCCC19D0" w:tentative="1">
      <w:start w:val="1"/>
      <w:numFmt w:val="lowerRoman"/>
      <w:lvlText w:val="%3."/>
      <w:lvlJc w:val="right"/>
      <w:pPr>
        <w:ind w:left="2160" w:hanging="180"/>
      </w:pPr>
    </w:lvl>
    <w:lvl w:ilvl="3" w:tplc="ADAE69BE" w:tentative="1">
      <w:start w:val="1"/>
      <w:numFmt w:val="decimal"/>
      <w:lvlText w:val="%4."/>
      <w:lvlJc w:val="left"/>
      <w:pPr>
        <w:ind w:left="2880" w:hanging="360"/>
      </w:pPr>
    </w:lvl>
    <w:lvl w:ilvl="4" w:tplc="1144ADAC" w:tentative="1">
      <w:start w:val="1"/>
      <w:numFmt w:val="lowerLetter"/>
      <w:lvlText w:val="%5."/>
      <w:lvlJc w:val="left"/>
      <w:pPr>
        <w:ind w:left="3600" w:hanging="360"/>
      </w:pPr>
    </w:lvl>
    <w:lvl w:ilvl="5" w:tplc="4056AB1C" w:tentative="1">
      <w:start w:val="1"/>
      <w:numFmt w:val="lowerRoman"/>
      <w:lvlText w:val="%6."/>
      <w:lvlJc w:val="right"/>
      <w:pPr>
        <w:ind w:left="4320" w:hanging="180"/>
      </w:pPr>
    </w:lvl>
    <w:lvl w:ilvl="6" w:tplc="FC247AF0" w:tentative="1">
      <w:start w:val="1"/>
      <w:numFmt w:val="decimal"/>
      <w:lvlText w:val="%7."/>
      <w:lvlJc w:val="left"/>
      <w:pPr>
        <w:ind w:left="5040" w:hanging="360"/>
      </w:pPr>
    </w:lvl>
    <w:lvl w:ilvl="7" w:tplc="D0F616E8" w:tentative="1">
      <w:start w:val="1"/>
      <w:numFmt w:val="lowerLetter"/>
      <w:lvlText w:val="%8."/>
      <w:lvlJc w:val="left"/>
      <w:pPr>
        <w:ind w:left="5760" w:hanging="360"/>
      </w:pPr>
    </w:lvl>
    <w:lvl w:ilvl="8" w:tplc="2EEC9308" w:tentative="1">
      <w:start w:val="1"/>
      <w:numFmt w:val="lowerRoman"/>
      <w:lvlText w:val="%9."/>
      <w:lvlJc w:val="right"/>
      <w:pPr>
        <w:ind w:left="6480" w:hanging="180"/>
      </w:pPr>
    </w:lvl>
  </w:abstractNum>
  <w:abstractNum w:abstractNumId="32" w15:restartNumberingAfterBreak="0">
    <w:nsid w:val="679211CA"/>
    <w:multiLevelType w:val="multilevel"/>
    <w:tmpl w:val="20B402E0"/>
    <w:lvl w:ilvl="0">
      <w:start w:val="1"/>
      <w:numFmt w:val="decimal"/>
      <w:pStyle w:val="ScheduleHead1"/>
      <w:lvlText w:val="%1."/>
      <w:lvlJc w:val="left"/>
      <w:pPr>
        <w:tabs>
          <w:tab w:val="num" w:pos="0"/>
        </w:tabs>
        <w:ind w:left="720" w:hanging="720"/>
      </w:pPr>
      <w:rPr>
        <w:rFonts w:cs="Times New Roman"/>
        <w:b/>
        <w:i w:val="0"/>
        <w:sz w:val="20"/>
        <w:szCs w:val="20"/>
      </w:rPr>
    </w:lvl>
    <w:lvl w:ilvl="1">
      <w:start w:val="1"/>
      <w:numFmt w:val="decimal"/>
      <w:pStyle w:val="ScheduleHead2"/>
      <w:isLgl/>
      <w:lvlText w:val="%1.%2"/>
      <w:lvlJc w:val="left"/>
      <w:pPr>
        <w:tabs>
          <w:tab w:val="num" w:pos="0"/>
        </w:tabs>
        <w:ind w:left="720" w:hanging="720"/>
      </w:pPr>
      <w:rPr>
        <w:rFonts w:cs="Times New Roman"/>
        <w:b w:val="0"/>
        <w:i w:val="0"/>
        <w:sz w:val="20"/>
        <w:szCs w:val="20"/>
      </w:rPr>
    </w:lvl>
    <w:lvl w:ilvl="2">
      <w:start w:val="1"/>
      <w:numFmt w:val="lowerLetter"/>
      <w:pStyle w:val="ScheduleHead3"/>
      <w:lvlText w:val="(%3)"/>
      <w:lvlJc w:val="left"/>
      <w:pPr>
        <w:tabs>
          <w:tab w:val="num" w:pos="0"/>
        </w:tabs>
        <w:ind w:left="1440" w:hanging="720"/>
      </w:pPr>
      <w:rPr>
        <w:rFonts w:cs="Times New Roman"/>
        <w:b w:val="0"/>
        <w:i w:val="0"/>
        <w:sz w:val="20"/>
        <w:szCs w:val="20"/>
      </w:rPr>
    </w:lvl>
    <w:lvl w:ilvl="3">
      <w:start w:val="1"/>
      <w:numFmt w:val="lowerRoman"/>
      <w:pStyle w:val="ScheduleHead4"/>
      <w:lvlText w:val="(%4)"/>
      <w:lvlJc w:val="left"/>
      <w:pPr>
        <w:tabs>
          <w:tab w:val="num" w:pos="0"/>
        </w:tabs>
        <w:ind w:left="2160" w:hanging="720"/>
      </w:pPr>
      <w:rPr>
        <w:rFonts w:cs="Times New Roman"/>
        <w:b w:val="0"/>
        <w:i w:val="0"/>
        <w:sz w:val="20"/>
        <w:szCs w:val="20"/>
      </w:rPr>
    </w:lvl>
    <w:lvl w:ilvl="4">
      <w:start w:val="1"/>
      <w:numFmt w:val="upperLetter"/>
      <w:pStyle w:val="ScheduleHead5"/>
      <w:lvlText w:val="(%5)"/>
      <w:lvlJc w:val="left"/>
      <w:pPr>
        <w:tabs>
          <w:tab w:val="num" w:pos="0"/>
        </w:tabs>
        <w:ind w:left="2880" w:hanging="720"/>
      </w:pPr>
      <w:rPr>
        <w:rFonts w:cs="Times New Roman"/>
        <w:b w:val="0"/>
        <w:i w:val="0"/>
        <w:sz w:val="20"/>
        <w:szCs w:val="20"/>
      </w:rPr>
    </w:lvl>
    <w:lvl w:ilvl="5">
      <w:start w:val="1"/>
      <w:numFmt w:val="decimal"/>
      <w:pStyle w:val="ScheduleHead6"/>
      <w:lvlText w:val="(%6)"/>
      <w:lvlJc w:val="left"/>
      <w:pPr>
        <w:tabs>
          <w:tab w:val="num" w:pos="0"/>
        </w:tabs>
        <w:ind w:left="3600" w:hanging="720"/>
      </w:pPr>
      <w:rPr>
        <w:rFonts w:cs="Times New Roman"/>
        <w:b w:val="0"/>
        <w:i w:val="0"/>
        <w:sz w:val="20"/>
        <w:szCs w:val="20"/>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33" w15:restartNumberingAfterBreak="0">
    <w:nsid w:val="698F69F2"/>
    <w:multiLevelType w:val="multilevel"/>
    <w:tmpl w:val="F7AE922E"/>
    <w:lvl w:ilvl="0">
      <w:start w:val="1"/>
      <w:numFmt w:val="decimal"/>
      <w:suff w:val="nothing"/>
      <w:lvlText w:val="%1"/>
      <w:lvlJc w:val="left"/>
      <w:pPr>
        <w:tabs>
          <w:tab w:val="num" w:pos="1440"/>
        </w:tabs>
      </w:pPr>
      <w:rPr>
        <w:rFonts w:cs="Times New Roman"/>
      </w:rPr>
    </w:lvl>
    <w:lvl w:ilvl="1">
      <w:start w:val="1"/>
      <w:numFmt w:val="none"/>
      <w:pStyle w:val="Heading2"/>
      <w:suff w:val="nothing"/>
      <w:lvlText w:val=""/>
      <w:lvlJc w:val="left"/>
      <w:pPr>
        <w:tabs>
          <w:tab w:val="num" w:pos="1080"/>
        </w:tabs>
        <w:ind w:left="720"/>
      </w:pPr>
      <w:rPr>
        <w:rFonts w:cs="Times New Roman"/>
        <w:b w:val="0"/>
        <w:i w:val="0"/>
        <w:sz w:val="24"/>
        <w:szCs w:val="24"/>
      </w:rPr>
    </w:lvl>
    <w:lvl w:ilvl="2">
      <w:start w:val="1"/>
      <w:numFmt w:val="none"/>
      <w:pStyle w:val="Heading3"/>
      <w:suff w:val="nothing"/>
      <w:lvlText w:val=""/>
      <w:lvlJc w:val="left"/>
      <w:pPr>
        <w:tabs>
          <w:tab w:val="num" w:pos="720"/>
        </w:tabs>
        <w:ind w:left="1440"/>
      </w:pPr>
      <w:rPr>
        <w:rFonts w:cs="Times New Roman"/>
        <w:b w:val="0"/>
        <w:i w:val="0"/>
        <w:sz w:val="24"/>
        <w:szCs w:val="24"/>
      </w:rPr>
    </w:lvl>
    <w:lvl w:ilvl="3">
      <w:start w:val="1"/>
      <w:numFmt w:val="none"/>
      <w:pStyle w:val="Heading4"/>
      <w:suff w:val="nothing"/>
      <w:lvlText w:val=""/>
      <w:lvlJc w:val="right"/>
      <w:pPr>
        <w:tabs>
          <w:tab w:val="num" w:pos="864"/>
        </w:tabs>
        <w:ind w:left="2160"/>
      </w:pPr>
      <w:rPr>
        <w:rFonts w:cs="Times New Roman"/>
        <w:b w:val="0"/>
        <w:i w:val="0"/>
        <w:sz w:val="24"/>
        <w:szCs w:val="24"/>
      </w:rPr>
    </w:lvl>
    <w:lvl w:ilvl="4">
      <w:start w:val="1"/>
      <w:numFmt w:val="none"/>
      <w:suff w:val="nothing"/>
      <w:lvlText w:val=""/>
      <w:lvlJc w:val="left"/>
      <w:pPr>
        <w:tabs>
          <w:tab w:val="num" w:pos="1008"/>
        </w:tabs>
        <w:ind w:left="2880"/>
      </w:pPr>
      <w:rPr>
        <w:rFonts w:cs="Times New Roman"/>
      </w:rPr>
    </w:lvl>
    <w:lvl w:ilvl="5">
      <w:start w:val="1"/>
      <w:numFmt w:val="none"/>
      <w:pStyle w:val="Heading6"/>
      <w:suff w:val="nothing"/>
      <w:lvlText w:val=""/>
      <w:lvlJc w:val="left"/>
      <w:pPr>
        <w:tabs>
          <w:tab w:val="num" w:pos="1152"/>
        </w:tabs>
        <w:ind w:left="3600"/>
      </w:pPr>
      <w:rPr>
        <w:rFonts w:cs="Times New Roman"/>
        <w:b w:val="0"/>
        <w:i w:val="0"/>
        <w:sz w:val="24"/>
        <w:szCs w:val="24"/>
      </w:rPr>
    </w:lvl>
    <w:lvl w:ilvl="6">
      <w:start w:val="1"/>
      <w:numFmt w:val="none"/>
      <w:suff w:val="nothing"/>
      <w:lvlText w:val=""/>
      <w:lvlJc w:val="right"/>
      <w:pPr>
        <w:tabs>
          <w:tab w:val="num" w:pos="1296"/>
        </w:tabs>
        <w:ind w:left="4320"/>
      </w:pPr>
      <w:rPr>
        <w:rFonts w:cs="Times New Roman"/>
      </w:rPr>
    </w:lvl>
    <w:lvl w:ilvl="7">
      <w:start w:val="1"/>
      <w:numFmt w:val="none"/>
      <w:suff w:val="nothing"/>
      <w:lvlText w:val=""/>
      <w:lvlJc w:val="left"/>
      <w:pPr>
        <w:tabs>
          <w:tab w:val="num" w:pos="1440"/>
        </w:tabs>
        <w:ind w:left="5040"/>
      </w:pPr>
      <w:rPr>
        <w:rFonts w:cs="Times New Roman"/>
      </w:rPr>
    </w:lvl>
    <w:lvl w:ilvl="8">
      <w:start w:val="1"/>
      <w:numFmt w:val="none"/>
      <w:suff w:val="nothing"/>
      <w:lvlText w:val="%9"/>
      <w:lvlJc w:val="right"/>
      <w:pPr>
        <w:tabs>
          <w:tab w:val="num" w:pos="1584"/>
        </w:tabs>
        <w:ind w:left="5760"/>
      </w:pPr>
      <w:rPr>
        <w:rFonts w:cs="Times New Roman"/>
      </w:rPr>
    </w:lvl>
  </w:abstractNum>
  <w:abstractNum w:abstractNumId="34" w15:restartNumberingAfterBreak="0">
    <w:nsid w:val="6C8B4D05"/>
    <w:multiLevelType w:val="multilevel"/>
    <w:tmpl w:val="6174F972"/>
    <w:name w:val="LT71"/>
    <w:lvl w:ilvl="0">
      <w:start w:val="1"/>
      <w:numFmt w:val="decimal"/>
      <w:pStyle w:val="SCH2-LEVEL1"/>
      <w:lvlText w:val="%1"/>
      <w:lvlJc w:val="left"/>
      <w:pPr>
        <w:tabs>
          <w:tab w:val="num" w:pos="709"/>
        </w:tabs>
        <w:ind w:left="709" w:hanging="709"/>
      </w:pPr>
      <w:rPr>
        <w:b w:val="0"/>
        <w:i w:val="0"/>
        <w:caps w:val="0"/>
      </w:rPr>
    </w:lvl>
    <w:lvl w:ilvl="1">
      <w:start w:val="1"/>
      <w:numFmt w:val="decimal"/>
      <w:pStyle w:val="SCH2-LEVEL2"/>
      <w:lvlText w:val="%1.%2"/>
      <w:lvlJc w:val="left"/>
      <w:pPr>
        <w:tabs>
          <w:tab w:val="num" w:pos="709"/>
        </w:tabs>
        <w:ind w:left="709" w:hanging="709"/>
      </w:pPr>
      <w:rPr>
        <w:b w:val="0"/>
        <w:i w:val="0"/>
        <w:caps w:val="0"/>
      </w:rPr>
    </w:lvl>
    <w:lvl w:ilvl="2">
      <w:start w:val="1"/>
      <w:numFmt w:val="decimal"/>
      <w:pStyle w:val="SCH2-LEVEL3"/>
      <w:lvlText w:val="%1.%2.%3"/>
      <w:lvlJc w:val="left"/>
      <w:pPr>
        <w:tabs>
          <w:tab w:val="num" w:pos="1417"/>
        </w:tabs>
        <w:ind w:left="1417" w:hanging="708"/>
      </w:pPr>
      <w:rPr>
        <w:b w:val="0"/>
        <w:i w:val="0"/>
        <w:caps w:val="0"/>
      </w:rPr>
    </w:lvl>
    <w:lvl w:ilvl="3">
      <w:start w:val="1"/>
      <w:numFmt w:val="lowerLetter"/>
      <w:pStyle w:val="SCH2-LEVEL4"/>
      <w:lvlText w:val="(%4)"/>
      <w:lvlJc w:val="left"/>
      <w:pPr>
        <w:tabs>
          <w:tab w:val="num" w:pos="2126"/>
        </w:tabs>
        <w:ind w:left="2126" w:hanging="709"/>
      </w:pPr>
      <w:rPr>
        <w:b w:val="0"/>
        <w:i w:val="0"/>
        <w:caps w:val="0"/>
      </w:rPr>
    </w:lvl>
    <w:lvl w:ilvl="4">
      <w:start w:val="1"/>
      <w:numFmt w:val="lowerRoman"/>
      <w:pStyle w:val="SCH2-LEVEL5"/>
      <w:lvlText w:val="(%5)"/>
      <w:lvlJc w:val="left"/>
      <w:pPr>
        <w:tabs>
          <w:tab w:val="num" w:pos="2835"/>
        </w:tabs>
        <w:ind w:left="2835" w:hanging="709"/>
      </w:pPr>
      <w:rPr>
        <w:b w:val="0"/>
        <w:i w:val="0"/>
        <w:caps w:val="0"/>
      </w:rPr>
    </w:lvl>
    <w:lvl w:ilvl="5">
      <w:start w:val="1"/>
      <w:numFmt w:val="decimal"/>
      <w:pStyle w:val="SCH2-LEVEL6"/>
      <w:lvlText w:val="(%6)"/>
      <w:lvlJc w:val="left"/>
      <w:pPr>
        <w:tabs>
          <w:tab w:val="num" w:pos="3543"/>
        </w:tabs>
        <w:ind w:left="3543" w:hanging="708"/>
      </w:pPr>
      <w:rPr>
        <w:b w:val="0"/>
        <w:i w:val="0"/>
        <w:caps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35" w15:restartNumberingAfterBreak="0">
    <w:nsid w:val="6D6F0562"/>
    <w:multiLevelType w:val="multilevel"/>
    <w:tmpl w:val="22964BE6"/>
    <w:lvl w:ilvl="0">
      <w:start w:val="1"/>
      <w:numFmt w:val="upperLetter"/>
      <w:pStyle w:val="Annex"/>
      <w:suff w:val="nothing"/>
      <w:lvlText w:val="Annex %1"/>
      <w:lvlJc w:val="left"/>
      <w:pPr>
        <w:tabs>
          <w:tab w:val="num" w:pos="0"/>
        </w:tabs>
      </w:pPr>
      <w:rPr>
        <w:rFonts w:cs="Times New Roman"/>
        <w:i w:val="0"/>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36" w15:restartNumberingAfterBreak="0">
    <w:nsid w:val="71E36EAF"/>
    <w:multiLevelType w:val="multilevel"/>
    <w:tmpl w:val="EB1E6B98"/>
    <w:lvl w:ilvl="0">
      <w:start w:val="1"/>
      <w:numFmt w:val="decimal"/>
      <w:lvlText w:val="%1."/>
      <w:lvlJc w:val="left"/>
      <w:pPr>
        <w:tabs>
          <w:tab w:val="num" w:pos="0"/>
        </w:tabs>
        <w:ind w:left="720" w:hanging="720"/>
      </w:pPr>
      <w:rPr>
        <w:rFonts w:cs="Times New Roman"/>
      </w:rPr>
    </w:lvl>
    <w:lvl w:ilvl="1">
      <w:start w:val="1"/>
      <w:numFmt w:val="decimal"/>
      <w:isLgl/>
      <w:lvlText w:val="%1.%2"/>
      <w:lvlJc w:val="left"/>
      <w:pPr>
        <w:tabs>
          <w:tab w:val="num" w:pos="0"/>
        </w:tabs>
        <w:ind w:left="720" w:hanging="720"/>
      </w:pPr>
      <w:rPr>
        <w:rFonts w:cs="Times New Roman"/>
      </w:rPr>
    </w:lvl>
    <w:lvl w:ilvl="2">
      <w:start w:val="1"/>
      <w:numFmt w:val="lowerLetter"/>
      <w:lvlText w:val="(%3)"/>
      <w:lvlJc w:val="left"/>
      <w:pPr>
        <w:tabs>
          <w:tab w:val="num" w:pos="0"/>
        </w:tabs>
        <w:ind w:left="1440" w:hanging="720"/>
      </w:pPr>
      <w:rPr>
        <w:rFonts w:cs="Times New Roman"/>
      </w:rPr>
    </w:lvl>
    <w:lvl w:ilvl="3">
      <w:start w:val="1"/>
      <w:numFmt w:val="lowerRoman"/>
      <w:lvlText w:val="(%4)"/>
      <w:lvlJc w:val="left"/>
      <w:pPr>
        <w:tabs>
          <w:tab w:val="num" w:pos="0"/>
        </w:tabs>
        <w:ind w:left="2160" w:hanging="720"/>
      </w:pPr>
      <w:rPr>
        <w:rFonts w:cs="Times New Roman"/>
      </w:rPr>
    </w:lvl>
    <w:lvl w:ilvl="4">
      <w:start w:val="1"/>
      <w:numFmt w:val="upperLetter"/>
      <w:lvlText w:val="(%5)"/>
      <w:lvlJc w:val="left"/>
      <w:pPr>
        <w:tabs>
          <w:tab w:val="num" w:pos="0"/>
        </w:tabs>
        <w:ind w:left="2880" w:hanging="720"/>
      </w:pPr>
      <w:rPr>
        <w:rFonts w:cs="Times New Roman"/>
      </w:rPr>
    </w:lvl>
    <w:lvl w:ilvl="5">
      <w:start w:val="1"/>
      <w:numFmt w:val="decimal"/>
      <w:lvlText w:val="(%6)"/>
      <w:lvlJc w:val="left"/>
      <w:pPr>
        <w:tabs>
          <w:tab w:val="num" w:pos="0"/>
        </w:tabs>
        <w:ind w:left="3600" w:hanging="720"/>
      </w:pPr>
      <w:rPr>
        <w:rFonts w:cs="Times New Roman"/>
      </w:rPr>
    </w:lvl>
    <w:lvl w:ilvl="6">
      <w:start w:val="1"/>
      <w:numFmt w:val="none"/>
      <w:pStyle w:val="Head7"/>
      <w:suff w:val="nothing"/>
      <w:lvlText w:val=""/>
      <w:lvlJc w:val="left"/>
      <w:pPr>
        <w:tabs>
          <w:tab w:val="num" w:pos="0"/>
        </w:tabs>
      </w:pPr>
      <w:rPr>
        <w:rFonts w:cs="Times New Roman"/>
        <w:b w:val="0"/>
        <w:i w:val="0"/>
        <w:sz w:val="24"/>
        <w:szCs w:val="24"/>
      </w:rPr>
    </w:lvl>
    <w:lvl w:ilvl="7">
      <w:start w:val="1"/>
      <w:numFmt w:val="none"/>
      <w:pStyle w:val="Head8"/>
      <w:suff w:val="nothing"/>
      <w:lvlText w:val=""/>
      <w:lvlJc w:val="left"/>
      <w:pPr>
        <w:tabs>
          <w:tab w:val="num" w:pos="0"/>
        </w:tabs>
      </w:pPr>
      <w:rPr>
        <w:rFonts w:cs="Times New Roman"/>
        <w:b w:val="0"/>
        <w:i w:val="0"/>
        <w:sz w:val="24"/>
        <w:szCs w:val="24"/>
      </w:rPr>
    </w:lvl>
    <w:lvl w:ilvl="8">
      <w:start w:val="1"/>
      <w:numFmt w:val="none"/>
      <w:pStyle w:val="Head9"/>
      <w:suff w:val="nothing"/>
      <w:lvlText w:val=""/>
      <w:lvlJc w:val="left"/>
      <w:pPr>
        <w:tabs>
          <w:tab w:val="num" w:pos="0"/>
        </w:tabs>
      </w:pPr>
      <w:rPr>
        <w:rFonts w:cs="Times New Roman"/>
        <w:b w:val="0"/>
        <w:i w:val="0"/>
        <w:sz w:val="24"/>
        <w:szCs w:val="24"/>
      </w:rPr>
    </w:lvl>
  </w:abstractNum>
  <w:abstractNum w:abstractNumId="37" w15:restartNumberingAfterBreak="0">
    <w:nsid w:val="732E6FAE"/>
    <w:multiLevelType w:val="hybridMultilevel"/>
    <w:tmpl w:val="6E66CC42"/>
    <w:name w:val="LT91"/>
    <w:lvl w:ilvl="0" w:tplc="B6AA3964">
      <w:start w:val="1"/>
      <w:numFmt w:val="bullet"/>
      <w:lvlText w:val=""/>
      <w:lvlJc w:val="left"/>
      <w:pPr>
        <w:tabs>
          <w:tab w:val="num" w:pos="720"/>
        </w:tabs>
        <w:ind w:left="720" w:hanging="360"/>
      </w:pPr>
      <w:rPr>
        <w:rFonts w:ascii="Symbol" w:hAnsi="Symbol" w:hint="default"/>
      </w:rPr>
    </w:lvl>
    <w:lvl w:ilvl="1" w:tplc="0A5CB2FA" w:tentative="1">
      <w:start w:val="1"/>
      <w:numFmt w:val="bullet"/>
      <w:lvlText w:val="o"/>
      <w:lvlJc w:val="left"/>
      <w:pPr>
        <w:tabs>
          <w:tab w:val="num" w:pos="1440"/>
        </w:tabs>
        <w:ind w:left="1440" w:hanging="360"/>
      </w:pPr>
      <w:rPr>
        <w:rFonts w:ascii="Courier New" w:hAnsi="Courier New" w:cs="Courier New" w:hint="default"/>
      </w:rPr>
    </w:lvl>
    <w:lvl w:ilvl="2" w:tplc="9D82FF7A" w:tentative="1">
      <w:start w:val="1"/>
      <w:numFmt w:val="bullet"/>
      <w:lvlText w:val=""/>
      <w:lvlJc w:val="left"/>
      <w:pPr>
        <w:tabs>
          <w:tab w:val="num" w:pos="2160"/>
        </w:tabs>
        <w:ind w:left="2160" w:hanging="360"/>
      </w:pPr>
      <w:rPr>
        <w:rFonts w:ascii="Wingdings" w:hAnsi="Wingdings" w:hint="default"/>
      </w:rPr>
    </w:lvl>
    <w:lvl w:ilvl="3" w:tplc="7318BB7C" w:tentative="1">
      <w:start w:val="1"/>
      <w:numFmt w:val="bullet"/>
      <w:lvlText w:val=""/>
      <w:lvlJc w:val="left"/>
      <w:pPr>
        <w:tabs>
          <w:tab w:val="num" w:pos="2880"/>
        </w:tabs>
        <w:ind w:left="2880" w:hanging="360"/>
      </w:pPr>
      <w:rPr>
        <w:rFonts w:ascii="Symbol" w:hAnsi="Symbol" w:hint="default"/>
      </w:rPr>
    </w:lvl>
    <w:lvl w:ilvl="4" w:tplc="209A1310" w:tentative="1">
      <w:start w:val="1"/>
      <w:numFmt w:val="bullet"/>
      <w:lvlText w:val="o"/>
      <w:lvlJc w:val="left"/>
      <w:pPr>
        <w:tabs>
          <w:tab w:val="num" w:pos="3600"/>
        </w:tabs>
        <w:ind w:left="3600" w:hanging="360"/>
      </w:pPr>
      <w:rPr>
        <w:rFonts w:ascii="Courier New" w:hAnsi="Courier New" w:cs="Courier New" w:hint="default"/>
      </w:rPr>
    </w:lvl>
    <w:lvl w:ilvl="5" w:tplc="C51444DE" w:tentative="1">
      <w:start w:val="1"/>
      <w:numFmt w:val="bullet"/>
      <w:lvlText w:val=""/>
      <w:lvlJc w:val="left"/>
      <w:pPr>
        <w:tabs>
          <w:tab w:val="num" w:pos="4320"/>
        </w:tabs>
        <w:ind w:left="4320" w:hanging="360"/>
      </w:pPr>
      <w:rPr>
        <w:rFonts w:ascii="Wingdings" w:hAnsi="Wingdings" w:hint="default"/>
      </w:rPr>
    </w:lvl>
    <w:lvl w:ilvl="6" w:tplc="76B0E19C" w:tentative="1">
      <w:start w:val="1"/>
      <w:numFmt w:val="bullet"/>
      <w:lvlText w:val=""/>
      <w:lvlJc w:val="left"/>
      <w:pPr>
        <w:tabs>
          <w:tab w:val="num" w:pos="5040"/>
        </w:tabs>
        <w:ind w:left="5040" w:hanging="360"/>
      </w:pPr>
      <w:rPr>
        <w:rFonts w:ascii="Symbol" w:hAnsi="Symbol" w:hint="default"/>
      </w:rPr>
    </w:lvl>
    <w:lvl w:ilvl="7" w:tplc="CB4CBF7C" w:tentative="1">
      <w:start w:val="1"/>
      <w:numFmt w:val="bullet"/>
      <w:lvlText w:val="o"/>
      <w:lvlJc w:val="left"/>
      <w:pPr>
        <w:tabs>
          <w:tab w:val="num" w:pos="5760"/>
        </w:tabs>
        <w:ind w:left="5760" w:hanging="360"/>
      </w:pPr>
      <w:rPr>
        <w:rFonts w:ascii="Courier New" w:hAnsi="Courier New" w:cs="Courier New" w:hint="default"/>
      </w:rPr>
    </w:lvl>
    <w:lvl w:ilvl="8" w:tplc="9B5A49B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41A4A5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4AD5832"/>
    <w:multiLevelType w:val="multilevel"/>
    <w:tmpl w:val="04101B9C"/>
    <w:lvl w:ilvl="0">
      <w:start w:val="1"/>
      <w:numFmt w:val="decimal"/>
      <w:pStyle w:val="DraftingNote1"/>
      <w:lvlText w:val="%1."/>
      <w:lvlJc w:val="left"/>
      <w:pPr>
        <w:tabs>
          <w:tab w:val="num" w:pos="0"/>
        </w:tabs>
        <w:ind w:left="720" w:hanging="720"/>
      </w:pPr>
      <w:rPr>
        <w:rFonts w:ascii="Arial Bold" w:hAnsi="Arial Bold" w:cs="Times New Roman" w:hint="default"/>
        <w:b/>
        <w:i/>
        <w:color w:val="800080"/>
        <w:sz w:val="20"/>
        <w:szCs w:val="20"/>
      </w:rPr>
    </w:lvl>
    <w:lvl w:ilvl="1">
      <w:start w:val="1"/>
      <w:numFmt w:val="lowerLetter"/>
      <w:pStyle w:val="DrNote2"/>
      <w:lvlText w:val="(%2)"/>
      <w:lvlJc w:val="left"/>
      <w:pPr>
        <w:tabs>
          <w:tab w:val="num" w:pos="0"/>
        </w:tabs>
        <w:ind w:left="1440" w:hanging="720"/>
      </w:pPr>
      <w:rPr>
        <w:rFonts w:ascii="Arial Bold" w:hAnsi="Arial Bold" w:cs="Times New Roman" w:hint="default"/>
        <w:b/>
        <w:i/>
        <w:color w:val="800080"/>
        <w:sz w:val="20"/>
        <w:szCs w:val="20"/>
      </w:rPr>
    </w:lvl>
    <w:lvl w:ilvl="2">
      <w:start w:val="1"/>
      <w:numFmt w:val="lowerRoman"/>
      <w:pStyle w:val="DrNote3"/>
      <w:lvlText w:val="(%3)"/>
      <w:lvlJc w:val="left"/>
      <w:pPr>
        <w:tabs>
          <w:tab w:val="num" w:pos="0"/>
        </w:tabs>
        <w:ind w:left="2160" w:hanging="720"/>
      </w:pPr>
      <w:rPr>
        <w:rFonts w:ascii="Arial Bold" w:hAnsi="Arial Bold" w:cs="Times New Roman" w:hint="default"/>
        <w:b/>
        <w:i/>
        <w:color w:val="800080"/>
        <w:sz w:val="20"/>
        <w:szCs w:val="20"/>
      </w:rPr>
    </w:lvl>
    <w:lvl w:ilvl="3">
      <w:start w:val="1"/>
      <w:numFmt w:val="lowerRoman"/>
      <w:lvlText w:val="(%4)"/>
      <w:lvlJc w:val="left"/>
      <w:pPr>
        <w:tabs>
          <w:tab w:val="num" w:pos="0"/>
        </w:tabs>
        <w:ind w:left="2160" w:hanging="720"/>
      </w:pPr>
      <w:rPr>
        <w:rFonts w:cs="Times New Roman"/>
      </w:rPr>
    </w:lvl>
    <w:lvl w:ilvl="4">
      <w:start w:val="1"/>
      <w:numFmt w:val="upperLetter"/>
      <w:lvlText w:val="(%5)"/>
      <w:lvlJc w:val="left"/>
      <w:pPr>
        <w:tabs>
          <w:tab w:val="num" w:pos="0"/>
        </w:tabs>
        <w:ind w:left="2880" w:hanging="720"/>
      </w:pPr>
      <w:rPr>
        <w:rFonts w:cs="Times New Roman"/>
      </w:rPr>
    </w:lvl>
    <w:lvl w:ilvl="5">
      <w:start w:val="1"/>
      <w:numFmt w:val="decimal"/>
      <w:lvlText w:val="(%6)"/>
      <w:lvlJc w:val="left"/>
      <w:pPr>
        <w:tabs>
          <w:tab w:val="num" w:pos="0"/>
        </w:tabs>
        <w:ind w:left="3600" w:hanging="720"/>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40" w15:restartNumberingAfterBreak="0">
    <w:nsid w:val="77B7017D"/>
    <w:multiLevelType w:val="hybridMultilevel"/>
    <w:tmpl w:val="787E17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674712"/>
    <w:multiLevelType w:val="hybridMultilevel"/>
    <w:tmpl w:val="30C0BF98"/>
    <w:lvl w:ilvl="0" w:tplc="461400EC">
      <w:start w:val="1"/>
      <w:numFmt w:val="decimal"/>
      <w:pStyle w:val="Parties"/>
      <w:lvlText w:val="(%1)"/>
      <w:lvlJc w:val="left"/>
      <w:pPr>
        <w:tabs>
          <w:tab w:val="num" w:pos="720"/>
        </w:tabs>
        <w:ind w:left="720" w:hanging="720"/>
      </w:pPr>
      <w:rPr>
        <w:rFonts w:cs="Times New Roman"/>
        <w:i w:val="0"/>
      </w:rPr>
    </w:lvl>
    <w:lvl w:ilvl="1" w:tplc="C15C6CAC">
      <w:start w:val="1"/>
      <w:numFmt w:val="lowerLetter"/>
      <w:lvlText w:val="%2."/>
      <w:lvlJc w:val="left"/>
      <w:pPr>
        <w:tabs>
          <w:tab w:val="num" w:pos="1440"/>
        </w:tabs>
        <w:ind w:left="1440" w:hanging="360"/>
      </w:pPr>
      <w:rPr>
        <w:rFonts w:cs="Times New Roman"/>
      </w:rPr>
    </w:lvl>
    <w:lvl w:ilvl="2" w:tplc="9D16F752">
      <w:start w:val="1"/>
      <w:numFmt w:val="lowerRoman"/>
      <w:lvlText w:val="%3."/>
      <w:lvlJc w:val="right"/>
      <w:pPr>
        <w:tabs>
          <w:tab w:val="num" w:pos="2160"/>
        </w:tabs>
        <w:ind w:left="2160" w:hanging="180"/>
      </w:pPr>
      <w:rPr>
        <w:rFonts w:cs="Times New Roman"/>
      </w:rPr>
    </w:lvl>
    <w:lvl w:ilvl="3" w:tplc="AC00FD4C">
      <w:start w:val="1"/>
      <w:numFmt w:val="decimal"/>
      <w:lvlText w:val="%4."/>
      <w:lvlJc w:val="left"/>
      <w:pPr>
        <w:tabs>
          <w:tab w:val="num" w:pos="2880"/>
        </w:tabs>
        <w:ind w:left="2880" w:hanging="360"/>
      </w:pPr>
      <w:rPr>
        <w:rFonts w:cs="Times New Roman"/>
      </w:rPr>
    </w:lvl>
    <w:lvl w:ilvl="4" w:tplc="DFA2F834">
      <w:start w:val="1"/>
      <w:numFmt w:val="lowerLetter"/>
      <w:lvlText w:val="%5."/>
      <w:lvlJc w:val="left"/>
      <w:pPr>
        <w:tabs>
          <w:tab w:val="num" w:pos="3600"/>
        </w:tabs>
        <w:ind w:left="3600" w:hanging="360"/>
      </w:pPr>
      <w:rPr>
        <w:rFonts w:cs="Times New Roman"/>
      </w:rPr>
    </w:lvl>
    <w:lvl w:ilvl="5" w:tplc="7C4AC146">
      <w:start w:val="1"/>
      <w:numFmt w:val="lowerRoman"/>
      <w:lvlText w:val="%6."/>
      <w:lvlJc w:val="right"/>
      <w:pPr>
        <w:tabs>
          <w:tab w:val="num" w:pos="4320"/>
        </w:tabs>
        <w:ind w:left="4320" w:hanging="180"/>
      </w:pPr>
      <w:rPr>
        <w:rFonts w:cs="Times New Roman"/>
      </w:rPr>
    </w:lvl>
    <w:lvl w:ilvl="6" w:tplc="1304CE02">
      <w:start w:val="1"/>
      <w:numFmt w:val="decimal"/>
      <w:lvlText w:val="%7."/>
      <w:lvlJc w:val="left"/>
      <w:pPr>
        <w:tabs>
          <w:tab w:val="num" w:pos="5040"/>
        </w:tabs>
        <w:ind w:left="5040" w:hanging="360"/>
      </w:pPr>
      <w:rPr>
        <w:rFonts w:cs="Times New Roman"/>
      </w:rPr>
    </w:lvl>
    <w:lvl w:ilvl="7" w:tplc="A4C8F9B4">
      <w:start w:val="1"/>
      <w:numFmt w:val="lowerLetter"/>
      <w:lvlText w:val="%8."/>
      <w:lvlJc w:val="left"/>
      <w:pPr>
        <w:tabs>
          <w:tab w:val="num" w:pos="5760"/>
        </w:tabs>
        <w:ind w:left="5760" w:hanging="360"/>
      </w:pPr>
      <w:rPr>
        <w:rFonts w:cs="Times New Roman"/>
      </w:rPr>
    </w:lvl>
    <w:lvl w:ilvl="8" w:tplc="FAD0B998">
      <w:start w:val="1"/>
      <w:numFmt w:val="lowerRoman"/>
      <w:lvlText w:val="%9."/>
      <w:lvlJc w:val="right"/>
      <w:pPr>
        <w:tabs>
          <w:tab w:val="num" w:pos="6480"/>
        </w:tabs>
        <w:ind w:left="6480" w:hanging="180"/>
      </w:pPr>
      <w:rPr>
        <w:rFonts w:cs="Times New Roman"/>
      </w:rPr>
    </w:lvl>
  </w:abstractNum>
  <w:abstractNum w:abstractNumId="42" w15:restartNumberingAfterBreak="0">
    <w:nsid w:val="790B7D38"/>
    <w:multiLevelType w:val="hybridMultilevel"/>
    <w:tmpl w:val="634A6E3E"/>
    <w:lvl w:ilvl="0" w:tplc="55AC1FB8">
      <w:start w:val="1"/>
      <w:numFmt w:val="decimal"/>
      <w:pStyle w:val="FrontSheetParties"/>
      <w:lvlText w:val="(%1)"/>
      <w:lvlJc w:val="left"/>
      <w:pPr>
        <w:tabs>
          <w:tab w:val="num" w:pos="720"/>
        </w:tabs>
        <w:ind w:left="720" w:hanging="360"/>
      </w:pPr>
      <w:rPr>
        <w:rFonts w:cs="Times New Roman"/>
        <w:i w:val="0"/>
      </w:rPr>
    </w:lvl>
    <w:lvl w:ilvl="1" w:tplc="45B21190">
      <w:start w:val="1"/>
      <w:numFmt w:val="lowerLetter"/>
      <w:lvlText w:val="%2."/>
      <w:lvlJc w:val="left"/>
      <w:pPr>
        <w:tabs>
          <w:tab w:val="num" w:pos="1440"/>
        </w:tabs>
        <w:ind w:left="1440" w:hanging="360"/>
      </w:pPr>
      <w:rPr>
        <w:rFonts w:cs="Times New Roman"/>
      </w:rPr>
    </w:lvl>
    <w:lvl w:ilvl="2" w:tplc="01C8C9C6">
      <w:start w:val="1"/>
      <w:numFmt w:val="lowerRoman"/>
      <w:lvlText w:val="%3."/>
      <w:lvlJc w:val="right"/>
      <w:pPr>
        <w:tabs>
          <w:tab w:val="num" w:pos="2160"/>
        </w:tabs>
        <w:ind w:left="2160" w:hanging="180"/>
      </w:pPr>
      <w:rPr>
        <w:rFonts w:cs="Times New Roman"/>
      </w:rPr>
    </w:lvl>
    <w:lvl w:ilvl="3" w:tplc="4C720E4E">
      <w:start w:val="1"/>
      <w:numFmt w:val="decimal"/>
      <w:lvlText w:val="%4."/>
      <w:lvlJc w:val="left"/>
      <w:pPr>
        <w:tabs>
          <w:tab w:val="num" w:pos="2880"/>
        </w:tabs>
        <w:ind w:left="2880" w:hanging="360"/>
      </w:pPr>
      <w:rPr>
        <w:rFonts w:cs="Times New Roman"/>
      </w:rPr>
    </w:lvl>
    <w:lvl w:ilvl="4" w:tplc="40B48378">
      <w:start w:val="1"/>
      <w:numFmt w:val="lowerLetter"/>
      <w:lvlText w:val="%5."/>
      <w:lvlJc w:val="left"/>
      <w:pPr>
        <w:tabs>
          <w:tab w:val="num" w:pos="3600"/>
        </w:tabs>
        <w:ind w:left="3600" w:hanging="360"/>
      </w:pPr>
      <w:rPr>
        <w:rFonts w:cs="Times New Roman"/>
      </w:rPr>
    </w:lvl>
    <w:lvl w:ilvl="5" w:tplc="0568B9CE">
      <w:start w:val="1"/>
      <w:numFmt w:val="lowerRoman"/>
      <w:lvlText w:val="%6."/>
      <w:lvlJc w:val="right"/>
      <w:pPr>
        <w:tabs>
          <w:tab w:val="num" w:pos="4320"/>
        </w:tabs>
        <w:ind w:left="4320" w:hanging="180"/>
      </w:pPr>
      <w:rPr>
        <w:rFonts w:cs="Times New Roman"/>
      </w:rPr>
    </w:lvl>
    <w:lvl w:ilvl="6" w:tplc="B39E2BC6">
      <w:start w:val="1"/>
      <w:numFmt w:val="decimal"/>
      <w:lvlText w:val="%7."/>
      <w:lvlJc w:val="left"/>
      <w:pPr>
        <w:tabs>
          <w:tab w:val="num" w:pos="5040"/>
        </w:tabs>
        <w:ind w:left="5040" w:hanging="360"/>
      </w:pPr>
      <w:rPr>
        <w:rFonts w:cs="Times New Roman"/>
      </w:rPr>
    </w:lvl>
    <w:lvl w:ilvl="7" w:tplc="ACCE08C8">
      <w:start w:val="1"/>
      <w:numFmt w:val="lowerLetter"/>
      <w:lvlText w:val="%8."/>
      <w:lvlJc w:val="left"/>
      <w:pPr>
        <w:tabs>
          <w:tab w:val="num" w:pos="5760"/>
        </w:tabs>
        <w:ind w:left="5760" w:hanging="360"/>
      </w:pPr>
      <w:rPr>
        <w:rFonts w:cs="Times New Roman"/>
      </w:rPr>
    </w:lvl>
    <w:lvl w:ilvl="8" w:tplc="5CF6B098">
      <w:start w:val="1"/>
      <w:numFmt w:val="lowerRoman"/>
      <w:lvlText w:val="%9."/>
      <w:lvlJc w:val="right"/>
      <w:pPr>
        <w:tabs>
          <w:tab w:val="num" w:pos="6480"/>
        </w:tabs>
        <w:ind w:left="6480" w:hanging="180"/>
      </w:pPr>
      <w:rPr>
        <w:rFonts w:cs="Times New Roman"/>
      </w:rPr>
    </w:lvl>
  </w:abstractNum>
  <w:abstractNum w:abstractNumId="43" w15:restartNumberingAfterBreak="0">
    <w:nsid w:val="7BA06CF2"/>
    <w:multiLevelType w:val="hybridMultilevel"/>
    <w:tmpl w:val="92820D36"/>
    <w:lvl w:ilvl="0" w:tplc="6CDE067C">
      <w:start w:val="1"/>
      <w:numFmt w:val="decimal"/>
      <w:pStyle w:val="ListNumber"/>
      <w:lvlText w:val="%1."/>
      <w:lvlJc w:val="left"/>
      <w:pPr>
        <w:tabs>
          <w:tab w:val="num" w:pos="720"/>
        </w:tabs>
        <w:ind w:left="720" w:hanging="720"/>
      </w:pPr>
      <w:rPr>
        <w:rFonts w:cs="Times New Roman"/>
        <w:i w:val="0"/>
      </w:rPr>
    </w:lvl>
    <w:lvl w:ilvl="1" w:tplc="36605200">
      <w:start w:val="1"/>
      <w:numFmt w:val="lowerLetter"/>
      <w:lvlText w:val="%2."/>
      <w:lvlJc w:val="left"/>
      <w:pPr>
        <w:tabs>
          <w:tab w:val="num" w:pos="1440"/>
        </w:tabs>
        <w:ind w:left="1440" w:hanging="360"/>
      </w:pPr>
      <w:rPr>
        <w:rFonts w:cs="Times New Roman"/>
      </w:rPr>
    </w:lvl>
    <w:lvl w:ilvl="2" w:tplc="56C2CC6C">
      <w:start w:val="1"/>
      <w:numFmt w:val="lowerRoman"/>
      <w:lvlText w:val="%3."/>
      <w:lvlJc w:val="right"/>
      <w:pPr>
        <w:tabs>
          <w:tab w:val="num" w:pos="2160"/>
        </w:tabs>
        <w:ind w:left="2160" w:hanging="180"/>
      </w:pPr>
      <w:rPr>
        <w:rFonts w:cs="Times New Roman"/>
      </w:rPr>
    </w:lvl>
    <w:lvl w:ilvl="3" w:tplc="EEC6A4F6">
      <w:start w:val="1"/>
      <w:numFmt w:val="decimal"/>
      <w:lvlText w:val="%4."/>
      <w:lvlJc w:val="left"/>
      <w:pPr>
        <w:tabs>
          <w:tab w:val="num" w:pos="2880"/>
        </w:tabs>
        <w:ind w:left="2880" w:hanging="360"/>
      </w:pPr>
      <w:rPr>
        <w:rFonts w:cs="Times New Roman"/>
      </w:rPr>
    </w:lvl>
    <w:lvl w:ilvl="4" w:tplc="F552CC86">
      <w:start w:val="1"/>
      <w:numFmt w:val="lowerLetter"/>
      <w:lvlText w:val="%5."/>
      <w:lvlJc w:val="left"/>
      <w:pPr>
        <w:tabs>
          <w:tab w:val="num" w:pos="3600"/>
        </w:tabs>
        <w:ind w:left="3600" w:hanging="360"/>
      </w:pPr>
      <w:rPr>
        <w:rFonts w:cs="Times New Roman"/>
      </w:rPr>
    </w:lvl>
    <w:lvl w:ilvl="5" w:tplc="A960416A">
      <w:start w:val="1"/>
      <w:numFmt w:val="lowerRoman"/>
      <w:lvlText w:val="%6."/>
      <w:lvlJc w:val="right"/>
      <w:pPr>
        <w:tabs>
          <w:tab w:val="num" w:pos="4320"/>
        </w:tabs>
        <w:ind w:left="4320" w:hanging="180"/>
      </w:pPr>
      <w:rPr>
        <w:rFonts w:cs="Times New Roman"/>
      </w:rPr>
    </w:lvl>
    <w:lvl w:ilvl="6" w:tplc="FF62D83A">
      <w:start w:val="1"/>
      <w:numFmt w:val="decimal"/>
      <w:lvlText w:val="%7."/>
      <w:lvlJc w:val="left"/>
      <w:pPr>
        <w:tabs>
          <w:tab w:val="num" w:pos="5040"/>
        </w:tabs>
        <w:ind w:left="5040" w:hanging="360"/>
      </w:pPr>
      <w:rPr>
        <w:rFonts w:cs="Times New Roman"/>
      </w:rPr>
    </w:lvl>
    <w:lvl w:ilvl="7" w:tplc="BF12A5B8">
      <w:start w:val="1"/>
      <w:numFmt w:val="lowerLetter"/>
      <w:lvlText w:val="%8."/>
      <w:lvlJc w:val="left"/>
      <w:pPr>
        <w:tabs>
          <w:tab w:val="num" w:pos="5760"/>
        </w:tabs>
        <w:ind w:left="5760" w:hanging="360"/>
      </w:pPr>
      <w:rPr>
        <w:rFonts w:cs="Times New Roman"/>
      </w:rPr>
    </w:lvl>
    <w:lvl w:ilvl="8" w:tplc="F3083E22">
      <w:start w:val="1"/>
      <w:numFmt w:val="lowerRoman"/>
      <w:lvlText w:val="%9."/>
      <w:lvlJc w:val="right"/>
      <w:pPr>
        <w:tabs>
          <w:tab w:val="num" w:pos="6480"/>
        </w:tabs>
        <w:ind w:left="6480" w:hanging="180"/>
      </w:pPr>
      <w:rPr>
        <w:rFonts w:cs="Times New Roman"/>
      </w:rPr>
    </w:lvl>
  </w:abstractNum>
  <w:abstractNum w:abstractNumId="44" w15:restartNumberingAfterBreak="0">
    <w:nsid w:val="7BA81E5B"/>
    <w:multiLevelType w:val="multilevel"/>
    <w:tmpl w:val="7E1A07B8"/>
    <w:lvl w:ilvl="0">
      <w:start w:val="1"/>
      <w:numFmt w:val="decimal"/>
      <w:pStyle w:val="Basic1"/>
      <w:lvlText w:val="%1."/>
      <w:lvlJc w:val="left"/>
      <w:pPr>
        <w:tabs>
          <w:tab w:val="num" w:pos="0"/>
        </w:tabs>
        <w:ind w:left="720" w:hanging="720"/>
      </w:pPr>
      <w:rPr>
        <w:rFonts w:ascii="Arial" w:hAnsi="Arial" w:cs="Times New Roman" w:hint="default"/>
        <w:b w:val="0"/>
        <w:i w:val="0"/>
        <w:sz w:val="20"/>
        <w:szCs w:val="20"/>
      </w:rPr>
    </w:lvl>
    <w:lvl w:ilvl="1">
      <w:start w:val="1"/>
      <w:numFmt w:val="lowerLetter"/>
      <w:pStyle w:val="Basic2"/>
      <w:lvlText w:val="(%2)"/>
      <w:lvlJc w:val="left"/>
      <w:pPr>
        <w:tabs>
          <w:tab w:val="num" w:pos="0"/>
        </w:tabs>
        <w:ind w:left="1440" w:hanging="720"/>
      </w:pPr>
      <w:rPr>
        <w:rFonts w:ascii="Arial" w:hAnsi="Arial" w:cs="Times New Roman" w:hint="default"/>
        <w:b w:val="0"/>
        <w:i w:val="0"/>
        <w:sz w:val="20"/>
        <w:szCs w:val="20"/>
      </w:rPr>
    </w:lvl>
    <w:lvl w:ilvl="2">
      <w:start w:val="1"/>
      <w:numFmt w:val="lowerRoman"/>
      <w:pStyle w:val="Basic3"/>
      <w:lvlText w:val="(%3)"/>
      <w:lvlJc w:val="left"/>
      <w:pPr>
        <w:tabs>
          <w:tab w:val="num" w:pos="0"/>
        </w:tabs>
        <w:ind w:left="2160" w:hanging="720"/>
      </w:pPr>
      <w:rPr>
        <w:rFonts w:ascii="Arial" w:hAnsi="Arial" w:cs="Times New Roman" w:hint="default"/>
        <w:b w:val="0"/>
        <w:i w:val="0"/>
        <w:sz w:val="20"/>
        <w:szCs w:val="20"/>
      </w:rPr>
    </w:lvl>
    <w:lvl w:ilvl="3">
      <w:start w:val="1"/>
      <w:numFmt w:val="upperLetter"/>
      <w:pStyle w:val="Basic4"/>
      <w:lvlText w:val="(%4)"/>
      <w:lvlJc w:val="left"/>
      <w:pPr>
        <w:tabs>
          <w:tab w:val="num" w:pos="0"/>
        </w:tabs>
        <w:ind w:left="2880" w:hanging="720"/>
      </w:pPr>
      <w:rPr>
        <w:rFonts w:ascii="Arial" w:hAnsi="Arial" w:cs="Times New Roman" w:hint="default"/>
        <w:b w:val="0"/>
        <w:i w:val="0"/>
        <w:sz w:val="20"/>
        <w:szCs w:val="20"/>
      </w:rPr>
    </w:lvl>
    <w:lvl w:ilvl="4">
      <w:start w:val="1"/>
      <w:numFmt w:val="decimal"/>
      <w:pStyle w:val="Basic5"/>
      <w:lvlText w:val="(%5)"/>
      <w:lvlJc w:val="left"/>
      <w:pPr>
        <w:tabs>
          <w:tab w:val="num" w:pos="0"/>
        </w:tabs>
        <w:ind w:left="3600" w:hanging="720"/>
      </w:pPr>
      <w:rPr>
        <w:rFonts w:ascii="Arial" w:hAnsi="Arial" w:cs="Times New Roman" w:hint="default"/>
        <w:b w:val="0"/>
        <w:i w:val="0"/>
        <w:sz w:val="20"/>
        <w:szCs w:val="20"/>
      </w:rPr>
    </w:lvl>
    <w:lvl w:ilvl="5">
      <w:start w:val="1"/>
      <w:numFmt w:val="upperRoman"/>
      <w:pStyle w:val="Basic6"/>
      <w:lvlText w:val="(%6)"/>
      <w:lvlJc w:val="left"/>
      <w:pPr>
        <w:tabs>
          <w:tab w:val="num" w:pos="0"/>
        </w:tabs>
        <w:ind w:left="4320" w:hanging="720"/>
      </w:pPr>
      <w:rPr>
        <w:rFonts w:ascii="Arial" w:hAnsi="Arial" w:cs="Times New Roman" w:hint="default"/>
        <w:b w:val="0"/>
        <w:i w:val="0"/>
        <w:sz w:val="20"/>
        <w:szCs w:val="20"/>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45" w15:restartNumberingAfterBreak="0">
    <w:nsid w:val="7E926E10"/>
    <w:multiLevelType w:val="multilevel"/>
    <w:tmpl w:val="74A2DAC8"/>
    <w:lvl w:ilvl="0">
      <w:start w:val="1"/>
      <w:numFmt w:val="decimal"/>
      <w:pStyle w:val="SCH3-LEVEL1"/>
      <w:lvlText w:val="%1"/>
      <w:lvlJc w:val="left"/>
      <w:pPr>
        <w:tabs>
          <w:tab w:val="num" w:pos="709"/>
        </w:tabs>
        <w:ind w:left="709" w:hanging="709"/>
      </w:pPr>
      <w:rPr>
        <w:b w:val="0"/>
        <w:i w:val="0"/>
        <w:caps w:val="0"/>
      </w:rPr>
    </w:lvl>
    <w:lvl w:ilvl="1">
      <w:start w:val="1"/>
      <w:numFmt w:val="decimal"/>
      <w:pStyle w:val="SCH3-LEVEL2"/>
      <w:lvlText w:val="%1.%2"/>
      <w:lvlJc w:val="left"/>
      <w:pPr>
        <w:tabs>
          <w:tab w:val="num" w:pos="709"/>
        </w:tabs>
        <w:ind w:left="709" w:hanging="709"/>
      </w:pPr>
      <w:rPr>
        <w:b w:val="0"/>
        <w:i w:val="0"/>
        <w:caps w:val="0"/>
      </w:rPr>
    </w:lvl>
    <w:lvl w:ilvl="2">
      <w:start w:val="1"/>
      <w:numFmt w:val="decimal"/>
      <w:pStyle w:val="SCH3-LEVEL3"/>
      <w:lvlText w:val="%1.%2.%3"/>
      <w:lvlJc w:val="left"/>
      <w:pPr>
        <w:tabs>
          <w:tab w:val="num" w:pos="1417"/>
        </w:tabs>
        <w:ind w:left="1417" w:hanging="708"/>
      </w:pPr>
      <w:rPr>
        <w:b w:val="0"/>
        <w:i w:val="0"/>
        <w:caps w:val="0"/>
      </w:rPr>
    </w:lvl>
    <w:lvl w:ilvl="3">
      <w:start w:val="1"/>
      <w:numFmt w:val="lowerLetter"/>
      <w:pStyle w:val="SCH3-LEVEL4"/>
      <w:lvlText w:val="(%4)"/>
      <w:lvlJc w:val="left"/>
      <w:pPr>
        <w:tabs>
          <w:tab w:val="num" w:pos="2126"/>
        </w:tabs>
        <w:ind w:left="2126" w:hanging="709"/>
      </w:pPr>
      <w:rPr>
        <w:b w:val="0"/>
        <w:i w:val="0"/>
        <w:caps w:val="0"/>
      </w:rPr>
    </w:lvl>
    <w:lvl w:ilvl="4">
      <w:start w:val="1"/>
      <w:numFmt w:val="lowerRoman"/>
      <w:pStyle w:val="SCH3-LEVEL5"/>
      <w:lvlText w:val="(%5)"/>
      <w:lvlJc w:val="left"/>
      <w:pPr>
        <w:tabs>
          <w:tab w:val="num" w:pos="2835"/>
        </w:tabs>
        <w:ind w:left="2835" w:hanging="709"/>
      </w:pPr>
      <w:rPr>
        <w:b w:val="0"/>
        <w:i w:val="0"/>
        <w:caps w:val="0"/>
      </w:rPr>
    </w:lvl>
    <w:lvl w:ilvl="5">
      <w:start w:val="1"/>
      <w:numFmt w:val="decimal"/>
      <w:pStyle w:val="SCH3-LEVEL6"/>
      <w:lvlText w:val="(%6)"/>
      <w:lvlJc w:val="left"/>
      <w:pPr>
        <w:tabs>
          <w:tab w:val="num" w:pos="3543"/>
        </w:tabs>
        <w:ind w:left="3543" w:hanging="708"/>
      </w:pPr>
      <w:rPr>
        <w:b w:val="0"/>
        <w:i w:val="0"/>
        <w:caps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46" w15:restartNumberingAfterBreak="0">
    <w:nsid w:val="7EC35325"/>
    <w:multiLevelType w:val="multilevel"/>
    <w:tmpl w:val="D1CC1BE2"/>
    <w:lvl w:ilvl="0">
      <w:start w:val="1"/>
      <w:numFmt w:val="decimal"/>
      <w:pStyle w:val="PleadingsIndent1"/>
      <w:lvlText w:val="%1."/>
      <w:lvlJc w:val="left"/>
      <w:pPr>
        <w:tabs>
          <w:tab w:val="num" w:pos="0"/>
        </w:tabs>
        <w:ind w:left="720" w:hanging="720"/>
      </w:pPr>
      <w:rPr>
        <w:rFonts w:ascii="Arial" w:hAnsi="Arial" w:cs="Times New Roman" w:hint="default"/>
        <w:b w:val="0"/>
        <w:i w:val="0"/>
        <w:sz w:val="22"/>
        <w:szCs w:val="22"/>
      </w:rPr>
    </w:lvl>
    <w:lvl w:ilvl="1">
      <w:start w:val="1"/>
      <w:numFmt w:val="lowerLetter"/>
      <w:pStyle w:val="PleadingsIndent2"/>
      <w:lvlText w:val="(%2)"/>
      <w:lvlJc w:val="left"/>
      <w:pPr>
        <w:tabs>
          <w:tab w:val="num" w:pos="0"/>
        </w:tabs>
        <w:ind w:left="1440" w:hanging="720"/>
      </w:pPr>
      <w:rPr>
        <w:rFonts w:ascii="Arial" w:hAnsi="Arial" w:cs="Times New Roman" w:hint="default"/>
        <w:b w:val="0"/>
        <w:i w:val="0"/>
        <w:sz w:val="22"/>
        <w:szCs w:val="22"/>
      </w:rPr>
    </w:lvl>
    <w:lvl w:ilvl="2">
      <w:start w:val="1"/>
      <w:numFmt w:val="lowerRoman"/>
      <w:pStyle w:val="PleadingsIndent3"/>
      <w:lvlText w:val="(%3)"/>
      <w:lvlJc w:val="left"/>
      <w:pPr>
        <w:tabs>
          <w:tab w:val="num" w:pos="0"/>
        </w:tabs>
        <w:ind w:left="2160" w:hanging="720"/>
      </w:pPr>
      <w:rPr>
        <w:rFonts w:ascii="Arial" w:hAnsi="Arial" w:cs="Times New Roman" w:hint="default"/>
        <w:b w:val="0"/>
        <w:i w:val="0"/>
        <w:sz w:val="22"/>
        <w:szCs w:val="22"/>
      </w:rPr>
    </w:lvl>
    <w:lvl w:ilvl="3">
      <w:start w:val="1"/>
      <w:numFmt w:val="decimal"/>
      <w:pStyle w:val="PleadingsIndent4"/>
      <w:lvlText w:val="(%4)"/>
      <w:lvlJc w:val="left"/>
      <w:pPr>
        <w:tabs>
          <w:tab w:val="num" w:pos="0"/>
        </w:tabs>
        <w:ind w:left="2880" w:hanging="720"/>
      </w:pPr>
      <w:rPr>
        <w:rFonts w:ascii="Arial" w:hAnsi="Arial" w:cs="Times New Roman" w:hint="default"/>
        <w:b w:val="0"/>
        <w:i w:val="0"/>
        <w:sz w:val="22"/>
        <w:szCs w:val="22"/>
      </w:rPr>
    </w:lvl>
    <w:lvl w:ilvl="4">
      <w:start w:val="1"/>
      <w:numFmt w:val="upperLetter"/>
      <w:pStyle w:val="PleadingsIndent5"/>
      <w:lvlText w:val="(%5)"/>
      <w:lvlJc w:val="left"/>
      <w:pPr>
        <w:tabs>
          <w:tab w:val="num" w:pos="0"/>
        </w:tabs>
        <w:ind w:left="3600" w:hanging="720"/>
      </w:pPr>
      <w:rPr>
        <w:rFonts w:ascii="Arial" w:hAnsi="Arial" w:cs="Times New Roman" w:hint="default"/>
        <w:b w:val="0"/>
        <w:i w:val="0"/>
        <w:sz w:val="22"/>
        <w:szCs w:val="22"/>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num w:numId="1">
    <w:abstractNumId w:val="20"/>
  </w:num>
  <w:num w:numId="2">
    <w:abstractNumId w:val="23"/>
  </w:num>
  <w:num w:numId="3">
    <w:abstractNumId w:val="7"/>
  </w:num>
  <w:num w:numId="4">
    <w:abstractNumId w:val="2"/>
  </w:num>
  <w:num w:numId="5">
    <w:abstractNumId w:val="4"/>
  </w:num>
  <w:num w:numId="6">
    <w:abstractNumId w:val="27"/>
  </w:num>
  <w:num w:numId="7">
    <w:abstractNumId w:val="21"/>
  </w:num>
  <w:num w:numId="8">
    <w:abstractNumId w:val="9"/>
  </w:num>
  <w:num w:numId="9">
    <w:abstractNumId w:val="3"/>
  </w:num>
  <w:num w:numId="10">
    <w:abstractNumId w:val="19"/>
  </w:num>
  <w:num w:numId="11">
    <w:abstractNumId w:val="34"/>
  </w:num>
  <w:num w:numId="12">
    <w:abstractNumId w:val="45"/>
  </w:num>
  <w:num w:numId="13">
    <w:abstractNumId w:val="17"/>
  </w:num>
  <w:num w:numId="14">
    <w:abstractNumId w:val="17"/>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43"/>
  </w:num>
  <w:num w:numId="18">
    <w:abstractNumId w:val="35"/>
  </w:num>
  <w:num w:numId="19">
    <w:abstractNumId w:val="41"/>
  </w:num>
  <w:num w:numId="20">
    <w:abstractNumId w:val="10"/>
  </w:num>
  <w:num w:numId="21">
    <w:abstractNumId w:val="6"/>
  </w:num>
  <w:num w:numId="22">
    <w:abstractNumId w:val="14"/>
  </w:num>
  <w:num w:numId="23">
    <w:abstractNumId w:val="30"/>
  </w:num>
  <w:num w:numId="24">
    <w:abstractNumId w:val="33"/>
  </w:num>
  <w:num w:numId="25">
    <w:abstractNumId w:val="44"/>
  </w:num>
  <w:num w:numId="26">
    <w:abstractNumId w:val="36"/>
  </w:num>
  <w:num w:numId="27">
    <w:abstractNumId w:val="32"/>
  </w:num>
  <w:num w:numId="28">
    <w:abstractNumId w:val="8"/>
  </w:num>
  <w:num w:numId="29">
    <w:abstractNumId w:val="46"/>
  </w:num>
  <w:num w:numId="30">
    <w:abstractNumId w:val="0"/>
  </w:num>
  <w:num w:numId="31">
    <w:abstractNumId w:val="1"/>
  </w:num>
  <w:num w:numId="32">
    <w:abstractNumId w:val="42"/>
  </w:num>
  <w:num w:numId="33">
    <w:abstractNumId w:val="39"/>
  </w:num>
  <w:num w:numId="34">
    <w:abstractNumId w:val="22"/>
  </w:num>
  <w:num w:numId="35">
    <w:abstractNumId w:val="27"/>
    <w:lvlOverride w:ilvl="0"/>
    <w:lvlOverride w:ilvl="1"/>
    <w:lvlOverride w:ilvl="2"/>
    <w:lvlOverride w:ilvl="3"/>
    <w:lvlOverride w:ilvl="4"/>
    <w:lvlOverride w:ilvl="5"/>
    <w:lvlOverride w:ilvl="6"/>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lvlOverride w:ilvl="0"/>
    <w:lvlOverride w:ilvl="1"/>
    <w:lvlOverride w:ilvl="2"/>
    <w:lvlOverride w:ilvl="3"/>
    <w:lvlOverride w:ilvl="4"/>
    <w:lvlOverride w:ilvl="5"/>
    <w:lvlOverride w:ilvl="6"/>
    <w:lvlOverride w:ilvl="7">
      <w:startOverride w:val="1"/>
    </w:lvlOverride>
    <w:lvlOverride w:ilvl="8">
      <w:startOverride w:val="1"/>
    </w:lvlOverride>
  </w:num>
  <w:num w:numId="43">
    <w:abstractNumId w:val="38"/>
  </w:num>
  <w:num w:numId="44">
    <w:abstractNumId w:val="40"/>
  </w:num>
  <w:num w:numId="45">
    <w:abstractNumId w:val="12"/>
  </w:num>
  <w:num w:numId="46">
    <w:abstractNumId w:val="24"/>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lvlOverride w:ilvl="0">
      <w:startOverride w:val="4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stylePaneFormatFilter w:val="0801" w:allStyles="1" w:customStyles="0" w:latentStyles="0" w:stylesInUse="0" w:headingStyles="0" w:numberingStyles="0" w:tableStyles="0" w:directFormattingOnRuns="0" w:directFormattingOnParagraphs="0" w:directFormattingOnNumbering="0" w:directFormattingOnTables="1" w:clearFormatting="0" w:top3HeadingStyles="0" w:visibleStyles="0" w:alternateStyleNames="0"/>
  <w:stylePaneSortMethod w:val="0000"/>
  <w:defaultTabStop w:val="709"/>
  <w:hyphenationZone w:val="425"/>
  <w:drawingGridHorizontalSpacing w:val="10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Info" w:val="F"/>
  </w:docVars>
  <w:rsids>
    <w:rsidRoot w:val="003B6D0C"/>
    <w:rsid w:val="00001088"/>
    <w:rsid w:val="00002EBF"/>
    <w:rsid w:val="00007235"/>
    <w:rsid w:val="00013582"/>
    <w:rsid w:val="00013F4A"/>
    <w:rsid w:val="00015AC3"/>
    <w:rsid w:val="000173F1"/>
    <w:rsid w:val="0002599D"/>
    <w:rsid w:val="000259DE"/>
    <w:rsid w:val="00062189"/>
    <w:rsid w:val="0006717E"/>
    <w:rsid w:val="00086A7D"/>
    <w:rsid w:val="000B3274"/>
    <w:rsid w:val="000B5CC0"/>
    <w:rsid w:val="000E6EC2"/>
    <w:rsid w:val="000E7CD9"/>
    <w:rsid w:val="000F0AFD"/>
    <w:rsid w:val="000F2B4E"/>
    <w:rsid w:val="00113DEE"/>
    <w:rsid w:val="001158A6"/>
    <w:rsid w:val="00116FCA"/>
    <w:rsid w:val="0012119F"/>
    <w:rsid w:val="00122E68"/>
    <w:rsid w:val="00132B89"/>
    <w:rsid w:val="00137765"/>
    <w:rsid w:val="00141187"/>
    <w:rsid w:val="00141CED"/>
    <w:rsid w:val="00145822"/>
    <w:rsid w:val="00150213"/>
    <w:rsid w:val="00157055"/>
    <w:rsid w:val="001601DC"/>
    <w:rsid w:val="00183743"/>
    <w:rsid w:val="001848F6"/>
    <w:rsid w:val="001920FF"/>
    <w:rsid w:val="001B6212"/>
    <w:rsid w:val="001C20C8"/>
    <w:rsid w:val="001C3C2E"/>
    <w:rsid w:val="001C68B5"/>
    <w:rsid w:val="001D6077"/>
    <w:rsid w:val="001F39F8"/>
    <w:rsid w:val="00205097"/>
    <w:rsid w:val="00212924"/>
    <w:rsid w:val="00216348"/>
    <w:rsid w:val="0021733E"/>
    <w:rsid w:val="00232129"/>
    <w:rsid w:val="00233ED1"/>
    <w:rsid w:val="00235F20"/>
    <w:rsid w:val="00237112"/>
    <w:rsid w:val="002545EB"/>
    <w:rsid w:val="00274586"/>
    <w:rsid w:val="002932F5"/>
    <w:rsid w:val="002A7AB2"/>
    <w:rsid w:val="002B6823"/>
    <w:rsid w:val="002C0EFB"/>
    <w:rsid w:val="002D2444"/>
    <w:rsid w:val="002D6534"/>
    <w:rsid w:val="002E06B0"/>
    <w:rsid w:val="002E450E"/>
    <w:rsid w:val="002E4B4F"/>
    <w:rsid w:val="002F2652"/>
    <w:rsid w:val="002F48F9"/>
    <w:rsid w:val="00305686"/>
    <w:rsid w:val="0031120A"/>
    <w:rsid w:val="00320197"/>
    <w:rsid w:val="00323AE3"/>
    <w:rsid w:val="003344D5"/>
    <w:rsid w:val="003404C5"/>
    <w:rsid w:val="00344405"/>
    <w:rsid w:val="003654B0"/>
    <w:rsid w:val="00373852"/>
    <w:rsid w:val="00385E57"/>
    <w:rsid w:val="003964A6"/>
    <w:rsid w:val="003B6D0C"/>
    <w:rsid w:val="003D6537"/>
    <w:rsid w:val="003D730E"/>
    <w:rsid w:val="003E2989"/>
    <w:rsid w:val="003E2CBF"/>
    <w:rsid w:val="003E56F7"/>
    <w:rsid w:val="003F2970"/>
    <w:rsid w:val="00402F52"/>
    <w:rsid w:val="00406043"/>
    <w:rsid w:val="0045446E"/>
    <w:rsid w:val="00457D90"/>
    <w:rsid w:val="004625B8"/>
    <w:rsid w:val="00496B82"/>
    <w:rsid w:val="004B0856"/>
    <w:rsid w:val="004C5799"/>
    <w:rsid w:val="004C5E0C"/>
    <w:rsid w:val="004D12A8"/>
    <w:rsid w:val="004D24C5"/>
    <w:rsid w:val="004E2F85"/>
    <w:rsid w:val="004F1DDF"/>
    <w:rsid w:val="00502534"/>
    <w:rsid w:val="005115E7"/>
    <w:rsid w:val="00517D54"/>
    <w:rsid w:val="0052144C"/>
    <w:rsid w:val="00521A04"/>
    <w:rsid w:val="00527EB1"/>
    <w:rsid w:val="00541A6F"/>
    <w:rsid w:val="00564F6F"/>
    <w:rsid w:val="005653B0"/>
    <w:rsid w:val="0057040E"/>
    <w:rsid w:val="0057574F"/>
    <w:rsid w:val="00581D96"/>
    <w:rsid w:val="0059377F"/>
    <w:rsid w:val="005C77F7"/>
    <w:rsid w:val="005F036A"/>
    <w:rsid w:val="00606D73"/>
    <w:rsid w:val="006264C0"/>
    <w:rsid w:val="006272B7"/>
    <w:rsid w:val="006328E1"/>
    <w:rsid w:val="00653028"/>
    <w:rsid w:val="00694EEC"/>
    <w:rsid w:val="006A308C"/>
    <w:rsid w:val="006B5195"/>
    <w:rsid w:val="006B7B8C"/>
    <w:rsid w:val="006E6EA3"/>
    <w:rsid w:val="006F17FC"/>
    <w:rsid w:val="006F1B86"/>
    <w:rsid w:val="00710501"/>
    <w:rsid w:val="0072152B"/>
    <w:rsid w:val="00721F79"/>
    <w:rsid w:val="0073155A"/>
    <w:rsid w:val="00732112"/>
    <w:rsid w:val="00751612"/>
    <w:rsid w:val="007559A0"/>
    <w:rsid w:val="0077039C"/>
    <w:rsid w:val="00773C70"/>
    <w:rsid w:val="00777B14"/>
    <w:rsid w:val="00784627"/>
    <w:rsid w:val="00785449"/>
    <w:rsid w:val="00794131"/>
    <w:rsid w:val="007A096F"/>
    <w:rsid w:val="007B045F"/>
    <w:rsid w:val="007B0CBF"/>
    <w:rsid w:val="007B0D71"/>
    <w:rsid w:val="007B1F49"/>
    <w:rsid w:val="007F23B6"/>
    <w:rsid w:val="007F7B85"/>
    <w:rsid w:val="008034A1"/>
    <w:rsid w:val="0080670C"/>
    <w:rsid w:val="00814193"/>
    <w:rsid w:val="00825F36"/>
    <w:rsid w:val="00830EC7"/>
    <w:rsid w:val="0084147E"/>
    <w:rsid w:val="00855A6F"/>
    <w:rsid w:val="00863BE4"/>
    <w:rsid w:val="00866BEC"/>
    <w:rsid w:val="0086777F"/>
    <w:rsid w:val="00875F02"/>
    <w:rsid w:val="00880267"/>
    <w:rsid w:val="00884C11"/>
    <w:rsid w:val="008A33CC"/>
    <w:rsid w:val="008D08D5"/>
    <w:rsid w:val="008D0E92"/>
    <w:rsid w:val="008E2B92"/>
    <w:rsid w:val="008E77DC"/>
    <w:rsid w:val="008F4393"/>
    <w:rsid w:val="009014F3"/>
    <w:rsid w:val="00910B65"/>
    <w:rsid w:val="00912C8D"/>
    <w:rsid w:val="0093626C"/>
    <w:rsid w:val="00940136"/>
    <w:rsid w:val="0094056E"/>
    <w:rsid w:val="00942B09"/>
    <w:rsid w:val="009551A4"/>
    <w:rsid w:val="00980786"/>
    <w:rsid w:val="00982106"/>
    <w:rsid w:val="0098474E"/>
    <w:rsid w:val="00986334"/>
    <w:rsid w:val="0099586E"/>
    <w:rsid w:val="00997ECA"/>
    <w:rsid w:val="009C4D99"/>
    <w:rsid w:val="009E024E"/>
    <w:rsid w:val="009F45F5"/>
    <w:rsid w:val="00A1254E"/>
    <w:rsid w:val="00A15AF8"/>
    <w:rsid w:val="00A17489"/>
    <w:rsid w:val="00A41A8D"/>
    <w:rsid w:val="00A47355"/>
    <w:rsid w:val="00A7014A"/>
    <w:rsid w:val="00A74451"/>
    <w:rsid w:val="00A75CFB"/>
    <w:rsid w:val="00A801DF"/>
    <w:rsid w:val="00A81A95"/>
    <w:rsid w:val="00A91CD1"/>
    <w:rsid w:val="00A973AE"/>
    <w:rsid w:val="00AA2771"/>
    <w:rsid w:val="00AD3031"/>
    <w:rsid w:val="00AD61A8"/>
    <w:rsid w:val="00AD6DC1"/>
    <w:rsid w:val="00AE7D2F"/>
    <w:rsid w:val="00AE7DE5"/>
    <w:rsid w:val="00AF3752"/>
    <w:rsid w:val="00B00CCD"/>
    <w:rsid w:val="00B02AB4"/>
    <w:rsid w:val="00B04EA0"/>
    <w:rsid w:val="00B06BBC"/>
    <w:rsid w:val="00B076B4"/>
    <w:rsid w:val="00B121EB"/>
    <w:rsid w:val="00B26E12"/>
    <w:rsid w:val="00B50A34"/>
    <w:rsid w:val="00B615A7"/>
    <w:rsid w:val="00B633C5"/>
    <w:rsid w:val="00B765BF"/>
    <w:rsid w:val="00B90296"/>
    <w:rsid w:val="00B9754F"/>
    <w:rsid w:val="00BA7107"/>
    <w:rsid w:val="00BD27EF"/>
    <w:rsid w:val="00BD7CF6"/>
    <w:rsid w:val="00BE2679"/>
    <w:rsid w:val="00BE3921"/>
    <w:rsid w:val="00BE7766"/>
    <w:rsid w:val="00BF018E"/>
    <w:rsid w:val="00BF24EA"/>
    <w:rsid w:val="00BF6AB2"/>
    <w:rsid w:val="00C22DFD"/>
    <w:rsid w:val="00C24E60"/>
    <w:rsid w:val="00C401CF"/>
    <w:rsid w:val="00C44655"/>
    <w:rsid w:val="00C6220E"/>
    <w:rsid w:val="00C67A36"/>
    <w:rsid w:val="00C75B7E"/>
    <w:rsid w:val="00C95DA5"/>
    <w:rsid w:val="00CA4329"/>
    <w:rsid w:val="00CA5648"/>
    <w:rsid w:val="00CB4B73"/>
    <w:rsid w:val="00CC1AB2"/>
    <w:rsid w:val="00CC4954"/>
    <w:rsid w:val="00CC6B4F"/>
    <w:rsid w:val="00CC7839"/>
    <w:rsid w:val="00CD2C49"/>
    <w:rsid w:val="00CD42E8"/>
    <w:rsid w:val="00CE27AC"/>
    <w:rsid w:val="00CF332A"/>
    <w:rsid w:val="00CF409C"/>
    <w:rsid w:val="00CF4CDD"/>
    <w:rsid w:val="00D107EE"/>
    <w:rsid w:val="00D22F00"/>
    <w:rsid w:val="00D23B86"/>
    <w:rsid w:val="00D41B19"/>
    <w:rsid w:val="00D55B7F"/>
    <w:rsid w:val="00D60673"/>
    <w:rsid w:val="00D63353"/>
    <w:rsid w:val="00D84101"/>
    <w:rsid w:val="00D866E6"/>
    <w:rsid w:val="00D87E56"/>
    <w:rsid w:val="00DC2810"/>
    <w:rsid w:val="00DD58CC"/>
    <w:rsid w:val="00DE0239"/>
    <w:rsid w:val="00DE1CA4"/>
    <w:rsid w:val="00DF0AC1"/>
    <w:rsid w:val="00E35F42"/>
    <w:rsid w:val="00E37C3C"/>
    <w:rsid w:val="00E42728"/>
    <w:rsid w:val="00E62E68"/>
    <w:rsid w:val="00E8034D"/>
    <w:rsid w:val="00EA46F4"/>
    <w:rsid w:val="00EB0B41"/>
    <w:rsid w:val="00EB3D26"/>
    <w:rsid w:val="00EC0501"/>
    <w:rsid w:val="00EC3EDB"/>
    <w:rsid w:val="00EC79B0"/>
    <w:rsid w:val="00EC79E8"/>
    <w:rsid w:val="00F03D7C"/>
    <w:rsid w:val="00F11EED"/>
    <w:rsid w:val="00F15482"/>
    <w:rsid w:val="00F162AB"/>
    <w:rsid w:val="00F37403"/>
    <w:rsid w:val="00F621F8"/>
    <w:rsid w:val="00F62F26"/>
    <w:rsid w:val="00F74545"/>
    <w:rsid w:val="00F765C8"/>
    <w:rsid w:val="00FA4A70"/>
    <w:rsid w:val="00FB2233"/>
    <w:rsid w:val="00FB26FA"/>
    <w:rsid w:val="00FD0A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A8F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01563"/>
    <w:rPr>
      <w:rFonts w:ascii="Arial" w:hAnsi="Arial" w:cs="Arial"/>
      <w:lang w:val="en-GB" w:eastAsia="en-GB"/>
    </w:rPr>
  </w:style>
  <w:style w:type="paragraph" w:styleId="Heading1">
    <w:name w:val="heading 1"/>
    <w:basedOn w:val="Normal"/>
    <w:link w:val="Heading1Char"/>
    <w:qFormat/>
    <w:rsid w:val="00D01563"/>
    <w:pPr>
      <w:spacing w:after="240"/>
      <w:jc w:val="both"/>
      <w:outlineLvl w:val="0"/>
    </w:pPr>
  </w:style>
  <w:style w:type="paragraph" w:styleId="Heading2">
    <w:name w:val="heading 2"/>
    <w:basedOn w:val="Normal"/>
    <w:link w:val="Heading2Char"/>
    <w:qFormat/>
    <w:rsid w:val="00D01563"/>
    <w:pPr>
      <w:numPr>
        <w:ilvl w:val="1"/>
        <w:numId w:val="24"/>
      </w:numPr>
      <w:spacing w:after="240"/>
      <w:ind w:left="0"/>
      <w:jc w:val="both"/>
      <w:outlineLvl w:val="1"/>
    </w:pPr>
  </w:style>
  <w:style w:type="paragraph" w:styleId="Heading3">
    <w:name w:val="heading 3"/>
    <w:basedOn w:val="Normal"/>
    <w:link w:val="Heading3Char"/>
    <w:qFormat/>
    <w:rsid w:val="00D01563"/>
    <w:pPr>
      <w:numPr>
        <w:ilvl w:val="2"/>
        <w:numId w:val="24"/>
      </w:numPr>
      <w:spacing w:after="240"/>
      <w:ind w:left="0"/>
      <w:jc w:val="both"/>
      <w:outlineLvl w:val="2"/>
    </w:pPr>
  </w:style>
  <w:style w:type="paragraph" w:styleId="Heading4">
    <w:name w:val="heading 4"/>
    <w:basedOn w:val="Normal"/>
    <w:link w:val="Heading4Char"/>
    <w:qFormat/>
    <w:rsid w:val="00D01563"/>
    <w:pPr>
      <w:numPr>
        <w:ilvl w:val="3"/>
        <w:numId w:val="24"/>
      </w:numPr>
      <w:spacing w:after="240"/>
      <w:ind w:left="0"/>
      <w:jc w:val="both"/>
      <w:outlineLvl w:val="3"/>
    </w:pPr>
  </w:style>
  <w:style w:type="paragraph" w:styleId="Heading5">
    <w:name w:val="heading 5"/>
    <w:basedOn w:val="Normal"/>
    <w:next w:val="BodyText2"/>
    <w:link w:val="Heading5Char"/>
    <w:qFormat/>
    <w:rsid w:val="00D01563"/>
    <w:pPr>
      <w:spacing w:after="240"/>
      <w:jc w:val="both"/>
      <w:outlineLvl w:val="4"/>
    </w:pPr>
  </w:style>
  <w:style w:type="paragraph" w:styleId="Heading6">
    <w:name w:val="heading 6"/>
    <w:basedOn w:val="Normal"/>
    <w:link w:val="Heading6Char"/>
    <w:qFormat/>
    <w:rsid w:val="00D01563"/>
    <w:pPr>
      <w:numPr>
        <w:ilvl w:val="5"/>
        <w:numId w:val="24"/>
      </w:numPr>
      <w:spacing w:after="240"/>
      <w:ind w:left="0"/>
      <w:jc w:val="both"/>
      <w:outlineLvl w:val="5"/>
    </w:pPr>
  </w:style>
  <w:style w:type="paragraph" w:styleId="Heading7">
    <w:name w:val="heading 7"/>
    <w:basedOn w:val="Normal"/>
    <w:next w:val="BodyText2"/>
    <w:link w:val="Heading7Char"/>
    <w:qFormat/>
    <w:rsid w:val="00D01563"/>
    <w:pPr>
      <w:spacing w:after="240"/>
      <w:jc w:val="both"/>
      <w:outlineLvl w:val="6"/>
    </w:pPr>
  </w:style>
  <w:style w:type="paragraph" w:styleId="Heading8">
    <w:name w:val="heading 8"/>
    <w:basedOn w:val="Normal"/>
    <w:next w:val="BodyText"/>
    <w:link w:val="Heading8Char"/>
    <w:qFormat/>
    <w:rsid w:val="00D01563"/>
    <w:pPr>
      <w:spacing w:after="240"/>
      <w:jc w:val="both"/>
      <w:outlineLvl w:val="7"/>
    </w:pPr>
  </w:style>
  <w:style w:type="paragraph" w:styleId="Heading9">
    <w:name w:val="heading 9"/>
    <w:basedOn w:val="Normal"/>
    <w:next w:val="BodyText"/>
    <w:link w:val="Heading9Char"/>
    <w:qFormat/>
    <w:rsid w:val="00D01563"/>
    <w:pPr>
      <w:spacing w:after="24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0958E0"/>
    <w:pPr>
      <w:numPr>
        <w:numId w:val="1"/>
      </w:numPr>
    </w:pPr>
  </w:style>
  <w:style w:type="numbering" w:styleId="1ai">
    <w:name w:val="Outline List 1"/>
    <w:basedOn w:val="NoList"/>
    <w:rsid w:val="000958E0"/>
    <w:pPr>
      <w:numPr>
        <w:numId w:val="2"/>
      </w:numPr>
    </w:pPr>
  </w:style>
  <w:style w:type="numbering" w:styleId="ArticleSection">
    <w:name w:val="Outline List 3"/>
    <w:basedOn w:val="NoList"/>
    <w:rsid w:val="000958E0"/>
    <w:pPr>
      <w:numPr>
        <w:numId w:val="3"/>
      </w:numPr>
    </w:pPr>
  </w:style>
  <w:style w:type="paragraph" w:styleId="BalloonText">
    <w:name w:val="Balloon Text"/>
    <w:basedOn w:val="Normal"/>
    <w:link w:val="BalloonTextChar"/>
    <w:rsid w:val="00D01563"/>
    <w:pPr>
      <w:jc w:val="both"/>
    </w:pPr>
    <w:rPr>
      <w:rFonts w:ascii="Tahoma" w:hAnsi="Tahoma" w:cs="Times New Roman"/>
      <w:sz w:val="16"/>
      <w:szCs w:val="16"/>
      <w:lang w:val="en-US" w:eastAsia="en-US"/>
    </w:rPr>
  </w:style>
  <w:style w:type="paragraph" w:styleId="BlockText">
    <w:name w:val="Block Text"/>
    <w:basedOn w:val="Normal"/>
    <w:rsid w:val="00D01563"/>
    <w:pPr>
      <w:spacing w:after="240"/>
      <w:ind w:left="1440" w:right="1440"/>
      <w:jc w:val="both"/>
    </w:pPr>
  </w:style>
  <w:style w:type="paragraph" w:styleId="BodyText">
    <w:name w:val="Body Text"/>
    <w:basedOn w:val="Normal"/>
    <w:link w:val="BodyTextChar"/>
    <w:rsid w:val="00D01563"/>
    <w:pPr>
      <w:spacing w:after="240"/>
      <w:jc w:val="both"/>
    </w:pPr>
  </w:style>
  <w:style w:type="paragraph" w:styleId="BodyText2">
    <w:name w:val="Body Text 2"/>
    <w:basedOn w:val="BodyText"/>
    <w:link w:val="BodyText2Char"/>
    <w:rsid w:val="00D01563"/>
    <w:pPr>
      <w:spacing w:line="480" w:lineRule="auto"/>
    </w:pPr>
  </w:style>
  <w:style w:type="paragraph" w:styleId="BodyText3">
    <w:name w:val="Body Text 3"/>
    <w:basedOn w:val="BodyText"/>
    <w:link w:val="BodyText3Char"/>
    <w:rsid w:val="00D01563"/>
    <w:pPr>
      <w:spacing w:after="120" w:line="360" w:lineRule="auto"/>
    </w:pPr>
  </w:style>
  <w:style w:type="paragraph" w:styleId="BodyTextFirstIndent">
    <w:name w:val="Body Text First Indent"/>
    <w:basedOn w:val="BodyText"/>
    <w:link w:val="BodyTextFirstIndentChar"/>
    <w:rsid w:val="00D01563"/>
    <w:pPr>
      <w:ind w:firstLine="720"/>
    </w:pPr>
  </w:style>
  <w:style w:type="paragraph" w:styleId="BodyTextIndent">
    <w:name w:val="Body Text Indent"/>
    <w:basedOn w:val="BodyText"/>
    <w:link w:val="BodyTextIndentChar"/>
    <w:rsid w:val="00D01563"/>
    <w:pPr>
      <w:ind w:left="720"/>
    </w:pPr>
  </w:style>
  <w:style w:type="paragraph" w:styleId="BodyTextFirstIndent2">
    <w:name w:val="Body Text First Indent 2"/>
    <w:basedOn w:val="BodyText2"/>
    <w:link w:val="BodyTextFirstIndent2Char"/>
    <w:rsid w:val="00D01563"/>
    <w:pPr>
      <w:ind w:firstLine="720"/>
    </w:pPr>
  </w:style>
  <w:style w:type="paragraph" w:styleId="BodyTextIndent2">
    <w:name w:val="Body Text Indent 2"/>
    <w:basedOn w:val="BodyText"/>
    <w:link w:val="BodyTextIndent2Char"/>
    <w:rsid w:val="00D01563"/>
    <w:pPr>
      <w:ind w:left="2880"/>
    </w:pPr>
  </w:style>
  <w:style w:type="paragraph" w:styleId="BodyTextIndent3">
    <w:name w:val="Body Text Indent 3"/>
    <w:basedOn w:val="Normal"/>
    <w:link w:val="BodyTextIndent3Char"/>
    <w:rsid w:val="00D01563"/>
    <w:pPr>
      <w:spacing w:after="240"/>
      <w:ind w:left="720"/>
      <w:jc w:val="both"/>
    </w:pPr>
  </w:style>
  <w:style w:type="paragraph" w:styleId="Caption">
    <w:name w:val="caption"/>
    <w:basedOn w:val="Normal"/>
    <w:next w:val="Normal"/>
    <w:qFormat/>
    <w:rsid w:val="00D01563"/>
    <w:pPr>
      <w:jc w:val="both"/>
    </w:pPr>
    <w:rPr>
      <w:b/>
    </w:rPr>
  </w:style>
  <w:style w:type="paragraph" w:styleId="Closing">
    <w:name w:val="Closing"/>
    <w:basedOn w:val="Normal"/>
    <w:link w:val="ClosingChar"/>
    <w:rsid w:val="00D01563"/>
    <w:pPr>
      <w:spacing w:before="240" w:after="960"/>
    </w:pPr>
  </w:style>
  <w:style w:type="character" w:styleId="CommentReference">
    <w:name w:val="annotation reference"/>
    <w:semiHidden/>
    <w:rsid w:val="000958E0"/>
    <w:rPr>
      <w:rFonts w:ascii="Arial" w:hAnsi="Arial" w:cs="Arial"/>
      <w:sz w:val="16"/>
      <w:szCs w:val="16"/>
    </w:rPr>
  </w:style>
  <w:style w:type="paragraph" w:styleId="CommentText">
    <w:name w:val="annotation text"/>
    <w:basedOn w:val="BodyText"/>
    <w:link w:val="CommentTextChar"/>
    <w:rsid w:val="004D24C5"/>
  </w:style>
  <w:style w:type="paragraph" w:styleId="CommentSubject">
    <w:name w:val="annotation subject"/>
    <w:basedOn w:val="BodyText"/>
    <w:next w:val="CommentText"/>
    <w:link w:val="CommentSubjectChar"/>
    <w:rsid w:val="00DC7738"/>
    <w:rPr>
      <w:rFonts w:cs="Times New Roman"/>
      <w:b/>
      <w:bCs/>
    </w:rPr>
  </w:style>
  <w:style w:type="paragraph" w:styleId="Date">
    <w:name w:val="Date"/>
    <w:basedOn w:val="Normal"/>
    <w:next w:val="Normal"/>
    <w:link w:val="DateChar"/>
    <w:rsid w:val="00D01563"/>
    <w:pPr>
      <w:jc w:val="both"/>
    </w:pPr>
  </w:style>
  <w:style w:type="paragraph" w:styleId="DocumentMap">
    <w:name w:val="Document Map"/>
    <w:basedOn w:val="Normal"/>
    <w:link w:val="DocumentMapChar"/>
    <w:rsid w:val="00D01563"/>
    <w:pPr>
      <w:shd w:val="solid" w:color="000080" w:fill="auto"/>
      <w:jc w:val="both"/>
    </w:pPr>
    <w:rPr>
      <w:rFonts w:ascii="Tahoma" w:hAnsi="Tahoma" w:cs="Tahoma"/>
    </w:rPr>
  </w:style>
  <w:style w:type="paragraph" w:styleId="E-mailSignature">
    <w:name w:val="E-mail Signature"/>
    <w:basedOn w:val="Normal"/>
    <w:link w:val="E-mailSignatureChar"/>
    <w:rsid w:val="00D01563"/>
    <w:pPr>
      <w:jc w:val="both"/>
    </w:pPr>
  </w:style>
  <w:style w:type="character" w:styleId="Emphasis">
    <w:name w:val="Emphasis"/>
    <w:qFormat/>
    <w:rsid w:val="00D01563"/>
    <w:rPr>
      <w:rFonts w:ascii="Arial Bold" w:hAnsi="Arial Bold" w:cs="Times New Roman"/>
      <w:u w:val="none"/>
    </w:rPr>
  </w:style>
  <w:style w:type="character" w:styleId="EndnoteReference">
    <w:name w:val="endnote reference"/>
    <w:semiHidden/>
    <w:rsid w:val="000958E0"/>
    <w:rPr>
      <w:rFonts w:ascii="Arial" w:hAnsi="Arial" w:cs="Arial"/>
      <w:sz w:val="20"/>
      <w:vertAlign w:val="superscript"/>
    </w:rPr>
  </w:style>
  <w:style w:type="paragraph" w:styleId="EndnoteText">
    <w:name w:val="endnote text"/>
    <w:basedOn w:val="Normal"/>
    <w:link w:val="EndnoteTextChar"/>
    <w:rsid w:val="004D24C5"/>
    <w:pPr>
      <w:spacing w:after="240"/>
      <w:ind w:left="709" w:hanging="709"/>
    </w:pPr>
    <w:rPr>
      <w:sz w:val="18"/>
    </w:rPr>
  </w:style>
  <w:style w:type="paragraph" w:styleId="EnvelopeAddress">
    <w:name w:val="envelope address"/>
    <w:basedOn w:val="Normal"/>
    <w:rsid w:val="00D01563"/>
    <w:pPr>
      <w:ind w:left="2880"/>
      <w:jc w:val="both"/>
    </w:pPr>
    <w:rPr>
      <w:sz w:val="24"/>
      <w:szCs w:val="24"/>
    </w:rPr>
  </w:style>
  <w:style w:type="paragraph" w:styleId="EnvelopeReturn">
    <w:name w:val="envelope return"/>
    <w:basedOn w:val="Normal"/>
    <w:rsid w:val="00D01563"/>
    <w:pPr>
      <w:jc w:val="both"/>
    </w:pPr>
  </w:style>
  <w:style w:type="character" w:styleId="FollowedHyperlink">
    <w:name w:val="FollowedHyperlink"/>
    <w:rsid w:val="00D01563"/>
    <w:rPr>
      <w:rFonts w:cs="Times New Roman"/>
      <w:u w:val="none"/>
    </w:rPr>
  </w:style>
  <w:style w:type="paragraph" w:styleId="Footer">
    <w:name w:val="footer"/>
    <w:basedOn w:val="Normal"/>
    <w:link w:val="FooterChar"/>
    <w:rsid w:val="00D01563"/>
    <w:pPr>
      <w:jc w:val="both"/>
    </w:pPr>
    <w:rPr>
      <w:sz w:val="16"/>
      <w:szCs w:val="16"/>
    </w:rPr>
  </w:style>
  <w:style w:type="character" w:styleId="FootnoteReference">
    <w:name w:val="footnote reference"/>
    <w:rsid w:val="00D01563"/>
    <w:rPr>
      <w:rFonts w:ascii="Arial" w:hAnsi="Arial" w:cs="Times New Roman"/>
      <w:sz w:val="20"/>
      <w:u w:val="none"/>
      <w:vertAlign w:val="superscript"/>
    </w:rPr>
  </w:style>
  <w:style w:type="paragraph" w:styleId="FootnoteText">
    <w:name w:val="footnote text"/>
    <w:basedOn w:val="Normal"/>
    <w:link w:val="FootnoteTextChar"/>
    <w:rsid w:val="00D01563"/>
    <w:pPr>
      <w:jc w:val="both"/>
    </w:pPr>
  </w:style>
  <w:style w:type="paragraph" w:styleId="Header">
    <w:name w:val="header"/>
    <w:basedOn w:val="Normal"/>
    <w:link w:val="HeaderChar"/>
    <w:rsid w:val="00D01563"/>
    <w:pPr>
      <w:jc w:val="both"/>
    </w:pPr>
  </w:style>
  <w:style w:type="character" w:styleId="HTMLAcronym">
    <w:name w:val="HTML Acronym"/>
    <w:rsid w:val="00D01563"/>
    <w:rPr>
      <w:rFonts w:cs="Times New Roman"/>
      <w:u w:val="none"/>
    </w:rPr>
  </w:style>
  <w:style w:type="paragraph" w:styleId="HTMLAddress">
    <w:name w:val="HTML Address"/>
    <w:basedOn w:val="Normal"/>
    <w:link w:val="HTMLAddressChar"/>
    <w:rsid w:val="00D01563"/>
    <w:pPr>
      <w:spacing w:after="200" w:line="276" w:lineRule="auto"/>
    </w:pPr>
    <w:rPr>
      <w:rFonts w:ascii="Times New Roman" w:hAnsi="Times New Roman" w:cs="Times New Roman"/>
    </w:rPr>
  </w:style>
  <w:style w:type="character" w:styleId="HTMLCite">
    <w:name w:val="HTML Cite"/>
    <w:rsid w:val="00D01563"/>
    <w:rPr>
      <w:rFonts w:cs="Times New Roman"/>
      <w:u w:val="none"/>
    </w:rPr>
  </w:style>
  <w:style w:type="character" w:styleId="HTMLCode">
    <w:name w:val="HTML Code"/>
    <w:rsid w:val="00D01563"/>
    <w:rPr>
      <w:rFonts w:cs="Times New Roman"/>
      <w:u w:val="none"/>
    </w:rPr>
  </w:style>
  <w:style w:type="character" w:styleId="HTMLDefinition">
    <w:name w:val="HTML Definition"/>
    <w:rsid w:val="00D01563"/>
    <w:rPr>
      <w:rFonts w:cs="Times New Roman"/>
      <w:u w:val="none"/>
    </w:rPr>
  </w:style>
  <w:style w:type="character" w:styleId="HTMLKeyboard">
    <w:name w:val="HTML Keyboard"/>
    <w:rsid w:val="00D01563"/>
    <w:rPr>
      <w:rFonts w:cs="Times New Roman"/>
      <w:u w:val="none"/>
    </w:rPr>
  </w:style>
  <w:style w:type="paragraph" w:styleId="HTMLPreformatted">
    <w:name w:val="HTML Preformatted"/>
    <w:basedOn w:val="Normal"/>
    <w:link w:val="HTMLPreformattedChar"/>
    <w:rsid w:val="00D01563"/>
    <w:pPr>
      <w:jc w:val="both"/>
    </w:pPr>
    <w:rPr>
      <w:rFonts w:ascii="Courier New" w:hAnsi="Courier New" w:cs="Courier New"/>
    </w:rPr>
  </w:style>
  <w:style w:type="character" w:styleId="HTMLSample">
    <w:name w:val="HTML Sample"/>
    <w:rsid w:val="00D01563"/>
    <w:rPr>
      <w:rFonts w:cs="Times New Roman"/>
      <w:u w:val="none"/>
    </w:rPr>
  </w:style>
  <w:style w:type="character" w:styleId="HTMLTypewriter">
    <w:name w:val="HTML Typewriter"/>
    <w:rsid w:val="00D01563"/>
    <w:rPr>
      <w:rFonts w:cs="Times New Roman"/>
      <w:u w:val="none"/>
    </w:rPr>
  </w:style>
  <w:style w:type="character" w:styleId="HTMLVariable">
    <w:name w:val="HTML Variable"/>
    <w:rsid w:val="00D01563"/>
    <w:rPr>
      <w:rFonts w:cs="Times New Roman"/>
      <w:u w:val="none"/>
    </w:rPr>
  </w:style>
  <w:style w:type="character" w:styleId="Hyperlink">
    <w:name w:val="Hyperlink"/>
    <w:rsid w:val="00D01563"/>
    <w:rPr>
      <w:rFonts w:cs="Times New Roman"/>
      <w:u w:val="none"/>
    </w:rPr>
  </w:style>
  <w:style w:type="paragraph" w:styleId="Index1">
    <w:name w:val="index 1"/>
    <w:basedOn w:val="Normal"/>
    <w:rsid w:val="00D01563"/>
    <w:pPr>
      <w:spacing w:before="120" w:after="120"/>
      <w:ind w:left="220" w:hanging="220"/>
      <w:jc w:val="center"/>
    </w:pPr>
    <w:rPr>
      <w:b/>
      <w:caps/>
      <w:sz w:val="24"/>
      <w:szCs w:val="24"/>
    </w:rPr>
  </w:style>
  <w:style w:type="paragraph" w:styleId="Index2">
    <w:name w:val="index 2"/>
    <w:basedOn w:val="BodyText"/>
    <w:next w:val="BodyText"/>
    <w:rsid w:val="00D01563"/>
    <w:pPr>
      <w:keepNext/>
      <w:keepLines/>
      <w:spacing w:after="0"/>
      <w:ind w:left="720" w:right="86"/>
    </w:pPr>
    <w:rPr>
      <w:sz w:val="24"/>
      <w:szCs w:val="24"/>
    </w:rPr>
  </w:style>
  <w:style w:type="paragraph" w:styleId="Index3">
    <w:name w:val="index 3"/>
    <w:basedOn w:val="Normal"/>
    <w:next w:val="Normal"/>
    <w:rsid w:val="00D01563"/>
    <w:pPr>
      <w:ind w:left="1440"/>
    </w:pPr>
  </w:style>
  <w:style w:type="paragraph" w:styleId="Index4">
    <w:name w:val="index 4"/>
    <w:basedOn w:val="Normal"/>
    <w:next w:val="Normal"/>
    <w:rsid w:val="00D01563"/>
    <w:pPr>
      <w:ind w:left="880" w:hanging="220"/>
      <w:jc w:val="both"/>
    </w:pPr>
  </w:style>
  <w:style w:type="paragraph" w:styleId="Index5">
    <w:name w:val="index 5"/>
    <w:basedOn w:val="Normal"/>
    <w:next w:val="Normal"/>
    <w:rsid w:val="00D01563"/>
    <w:pPr>
      <w:ind w:left="1100" w:hanging="220"/>
      <w:jc w:val="both"/>
    </w:pPr>
  </w:style>
  <w:style w:type="paragraph" w:styleId="Index6">
    <w:name w:val="index 6"/>
    <w:basedOn w:val="Normal"/>
    <w:next w:val="Normal"/>
    <w:rsid w:val="00D01563"/>
    <w:pPr>
      <w:ind w:left="1320" w:hanging="220"/>
      <w:jc w:val="both"/>
    </w:pPr>
  </w:style>
  <w:style w:type="paragraph" w:styleId="Index7">
    <w:name w:val="index 7"/>
    <w:basedOn w:val="Normal"/>
    <w:next w:val="Normal"/>
    <w:rsid w:val="00D01563"/>
    <w:pPr>
      <w:ind w:left="1540" w:hanging="220"/>
      <w:jc w:val="both"/>
    </w:pPr>
  </w:style>
  <w:style w:type="paragraph" w:styleId="Index8">
    <w:name w:val="index 8"/>
    <w:basedOn w:val="Normal"/>
    <w:next w:val="Normal"/>
    <w:rsid w:val="00D01563"/>
    <w:pPr>
      <w:ind w:left="1760" w:hanging="220"/>
      <w:jc w:val="both"/>
    </w:pPr>
  </w:style>
  <w:style w:type="paragraph" w:styleId="Index9">
    <w:name w:val="index 9"/>
    <w:basedOn w:val="Normal"/>
    <w:next w:val="Normal"/>
    <w:rsid w:val="00D01563"/>
    <w:pPr>
      <w:ind w:left="1980" w:hanging="220"/>
      <w:jc w:val="both"/>
    </w:pPr>
  </w:style>
  <w:style w:type="paragraph" w:styleId="IndexHeading">
    <w:name w:val="index heading"/>
    <w:basedOn w:val="Normal"/>
    <w:rsid w:val="00D01563"/>
    <w:pPr>
      <w:jc w:val="both"/>
    </w:pPr>
  </w:style>
  <w:style w:type="character" w:styleId="LineNumber">
    <w:name w:val="line number"/>
    <w:rsid w:val="00D01563"/>
    <w:rPr>
      <w:rFonts w:ascii="Times New Roman" w:hAnsi="Times New Roman" w:cs="Times New Roman"/>
      <w:u w:val="none"/>
    </w:rPr>
  </w:style>
  <w:style w:type="paragraph" w:styleId="List">
    <w:name w:val="List"/>
    <w:basedOn w:val="Normal"/>
    <w:rsid w:val="00D01563"/>
    <w:pPr>
      <w:jc w:val="both"/>
    </w:pPr>
  </w:style>
  <w:style w:type="paragraph" w:styleId="List2">
    <w:name w:val="List 2"/>
    <w:basedOn w:val="Normal"/>
    <w:next w:val="List"/>
    <w:rsid w:val="00D01563"/>
    <w:pPr>
      <w:ind w:left="720"/>
      <w:jc w:val="both"/>
    </w:pPr>
  </w:style>
  <w:style w:type="paragraph" w:styleId="List3">
    <w:name w:val="List 3"/>
    <w:basedOn w:val="Normal"/>
    <w:next w:val="List"/>
    <w:rsid w:val="00D01563"/>
    <w:pPr>
      <w:ind w:left="1440"/>
      <w:jc w:val="both"/>
    </w:pPr>
  </w:style>
  <w:style w:type="paragraph" w:styleId="List4">
    <w:name w:val="List 4"/>
    <w:basedOn w:val="Normal"/>
    <w:rsid w:val="00D01563"/>
    <w:pPr>
      <w:ind w:left="1440" w:hanging="360"/>
      <w:jc w:val="both"/>
    </w:pPr>
  </w:style>
  <w:style w:type="paragraph" w:styleId="List5">
    <w:name w:val="List 5"/>
    <w:basedOn w:val="Normal"/>
    <w:rsid w:val="00D01563"/>
    <w:pPr>
      <w:ind w:left="1800" w:hanging="360"/>
      <w:jc w:val="both"/>
    </w:pPr>
  </w:style>
  <w:style w:type="paragraph" w:styleId="ListBullet">
    <w:name w:val="List Bullet"/>
    <w:basedOn w:val="Normal"/>
    <w:rsid w:val="00D01563"/>
    <w:pPr>
      <w:tabs>
        <w:tab w:val="num" w:pos="360"/>
      </w:tabs>
      <w:ind w:left="360" w:hanging="360"/>
      <w:jc w:val="both"/>
    </w:pPr>
  </w:style>
  <w:style w:type="paragraph" w:styleId="ListBullet2">
    <w:name w:val="List Bullet 2"/>
    <w:basedOn w:val="Normal"/>
    <w:rsid w:val="00D01563"/>
    <w:pPr>
      <w:tabs>
        <w:tab w:val="num" w:pos="360"/>
        <w:tab w:val="num" w:pos="720"/>
      </w:tabs>
      <w:ind w:left="720" w:hanging="360"/>
      <w:jc w:val="both"/>
    </w:pPr>
  </w:style>
  <w:style w:type="paragraph" w:styleId="ListBullet3">
    <w:name w:val="List Bullet 3"/>
    <w:basedOn w:val="Normal"/>
    <w:rsid w:val="00D01563"/>
    <w:pPr>
      <w:tabs>
        <w:tab w:val="num" w:pos="1080"/>
        <w:tab w:val="num" w:pos="1440"/>
      </w:tabs>
      <w:ind w:left="1080"/>
      <w:jc w:val="both"/>
    </w:pPr>
  </w:style>
  <w:style w:type="paragraph" w:styleId="ListBullet4">
    <w:name w:val="List Bullet 4"/>
    <w:basedOn w:val="Normal"/>
    <w:rsid w:val="00D01563"/>
    <w:pPr>
      <w:tabs>
        <w:tab w:val="num" w:pos="360"/>
        <w:tab w:val="num" w:pos="1440"/>
      </w:tabs>
      <w:ind w:left="1440" w:hanging="360"/>
      <w:jc w:val="both"/>
    </w:pPr>
  </w:style>
  <w:style w:type="paragraph" w:styleId="ListBullet5">
    <w:name w:val="List Bullet 5"/>
    <w:basedOn w:val="Normal"/>
    <w:rsid w:val="00D01563"/>
    <w:pPr>
      <w:tabs>
        <w:tab w:val="num" w:pos="720"/>
        <w:tab w:val="num" w:pos="1800"/>
      </w:tabs>
      <w:ind w:left="1800" w:hanging="360"/>
      <w:jc w:val="both"/>
    </w:pPr>
  </w:style>
  <w:style w:type="paragraph" w:styleId="ListContinue">
    <w:name w:val="List Continue"/>
    <w:basedOn w:val="Normal"/>
    <w:rsid w:val="00D01563"/>
    <w:pPr>
      <w:spacing w:after="120"/>
      <w:ind w:left="360"/>
      <w:jc w:val="both"/>
    </w:pPr>
  </w:style>
  <w:style w:type="paragraph" w:styleId="ListContinue2">
    <w:name w:val="List Continue 2"/>
    <w:basedOn w:val="Normal"/>
    <w:rsid w:val="00D01563"/>
    <w:pPr>
      <w:spacing w:after="120"/>
      <w:ind w:left="720"/>
      <w:jc w:val="both"/>
    </w:pPr>
  </w:style>
  <w:style w:type="paragraph" w:styleId="ListContinue3">
    <w:name w:val="List Continue 3"/>
    <w:basedOn w:val="Normal"/>
    <w:rsid w:val="00D01563"/>
    <w:pPr>
      <w:spacing w:after="120"/>
      <w:ind w:left="1080"/>
      <w:jc w:val="both"/>
    </w:pPr>
  </w:style>
  <w:style w:type="paragraph" w:styleId="ListContinue4">
    <w:name w:val="List Continue 4"/>
    <w:basedOn w:val="Normal"/>
    <w:rsid w:val="00D01563"/>
    <w:pPr>
      <w:spacing w:after="120"/>
      <w:ind w:left="1440"/>
      <w:jc w:val="both"/>
    </w:pPr>
  </w:style>
  <w:style w:type="paragraph" w:styleId="ListContinue5">
    <w:name w:val="List Continue 5"/>
    <w:basedOn w:val="Normal"/>
    <w:rsid w:val="00D01563"/>
    <w:pPr>
      <w:spacing w:after="120"/>
      <w:ind w:left="1800"/>
      <w:jc w:val="both"/>
    </w:pPr>
  </w:style>
  <w:style w:type="paragraph" w:styleId="ListNumber">
    <w:name w:val="List Number"/>
    <w:basedOn w:val="Normal"/>
    <w:rsid w:val="004D24C5"/>
    <w:pPr>
      <w:numPr>
        <w:numId w:val="17"/>
      </w:numPr>
      <w:jc w:val="both"/>
    </w:pPr>
  </w:style>
  <w:style w:type="paragraph" w:styleId="ListNumber2">
    <w:name w:val="List Number 2"/>
    <w:basedOn w:val="Normal"/>
    <w:rsid w:val="00D01563"/>
    <w:pPr>
      <w:tabs>
        <w:tab w:val="num" w:pos="360"/>
        <w:tab w:val="num" w:pos="720"/>
        <w:tab w:val="num" w:pos="1080"/>
      </w:tabs>
      <w:ind w:left="1440" w:hanging="360"/>
      <w:jc w:val="both"/>
    </w:pPr>
  </w:style>
  <w:style w:type="paragraph" w:styleId="ListNumber3">
    <w:name w:val="List Number 3"/>
    <w:basedOn w:val="Normal"/>
    <w:rsid w:val="00D01563"/>
    <w:pPr>
      <w:tabs>
        <w:tab w:val="num" w:pos="720"/>
        <w:tab w:val="num" w:pos="1440"/>
        <w:tab w:val="num" w:pos="2160"/>
      </w:tabs>
      <w:ind w:left="2160" w:hanging="360"/>
      <w:jc w:val="both"/>
    </w:pPr>
  </w:style>
  <w:style w:type="paragraph" w:styleId="ListNumber4">
    <w:name w:val="List Number 4"/>
    <w:basedOn w:val="Normal"/>
    <w:rsid w:val="00D01563"/>
    <w:pPr>
      <w:tabs>
        <w:tab w:val="num" w:pos="1440"/>
        <w:tab w:val="num" w:pos="1800"/>
        <w:tab w:val="num" w:pos="2160"/>
        <w:tab w:val="num" w:pos="3600"/>
      </w:tabs>
      <w:ind w:left="3600" w:hanging="720"/>
      <w:jc w:val="both"/>
    </w:pPr>
  </w:style>
  <w:style w:type="paragraph" w:styleId="ListNumber5">
    <w:name w:val="List Number 5"/>
    <w:basedOn w:val="Normal"/>
    <w:rsid w:val="00D01563"/>
    <w:pPr>
      <w:tabs>
        <w:tab w:val="num" w:pos="720"/>
        <w:tab w:val="num" w:pos="1800"/>
        <w:tab w:val="num" w:pos="3600"/>
        <w:tab w:val="num" w:pos="4320"/>
      </w:tabs>
      <w:ind w:left="5040" w:hanging="720"/>
      <w:jc w:val="both"/>
    </w:pPr>
  </w:style>
  <w:style w:type="paragraph" w:styleId="MacroText">
    <w:name w:val="macro"/>
    <w:basedOn w:val="BodyText"/>
    <w:link w:val="MacroTextChar"/>
    <w:rsid w:val="0018264A"/>
    <w:pPr>
      <w:tabs>
        <w:tab w:val="left" w:pos="480"/>
        <w:tab w:val="left" w:pos="960"/>
        <w:tab w:val="left" w:pos="1440"/>
        <w:tab w:val="left" w:pos="1920"/>
        <w:tab w:val="left" w:pos="2400"/>
        <w:tab w:val="left" w:pos="2880"/>
        <w:tab w:val="left" w:pos="3360"/>
        <w:tab w:val="left" w:pos="3840"/>
        <w:tab w:val="left" w:pos="4320"/>
      </w:tabs>
    </w:pPr>
  </w:style>
  <w:style w:type="paragraph" w:styleId="MessageHeader">
    <w:name w:val="Message Header"/>
    <w:basedOn w:val="Normal"/>
    <w:link w:val="MessageHeaderChar"/>
    <w:rsid w:val="00D01563"/>
    <w:pPr>
      <w:pBdr>
        <w:top w:val="single" w:sz="6" w:space="1" w:color="auto"/>
        <w:left w:val="single" w:sz="6" w:space="1" w:color="auto"/>
        <w:bottom w:val="single" w:sz="6" w:space="1" w:color="auto"/>
        <w:right w:val="single" w:sz="6" w:space="1" w:color="auto"/>
      </w:pBdr>
      <w:shd w:val="solid" w:color="CCCCCC" w:fill="auto"/>
      <w:ind w:left="1080" w:hanging="1080"/>
      <w:jc w:val="both"/>
    </w:pPr>
  </w:style>
  <w:style w:type="paragraph" w:styleId="NormalWeb">
    <w:name w:val="Normal (Web)"/>
    <w:basedOn w:val="Normal"/>
    <w:rsid w:val="00D01563"/>
    <w:pPr>
      <w:spacing w:after="200" w:line="276" w:lineRule="auto"/>
    </w:pPr>
    <w:rPr>
      <w:rFonts w:ascii="Times New Roman" w:hAnsi="Times New Roman" w:cs="Times New Roman"/>
    </w:rPr>
  </w:style>
  <w:style w:type="paragraph" w:styleId="NormalIndent">
    <w:name w:val="Normal Indent"/>
    <w:basedOn w:val="Normal"/>
    <w:rsid w:val="00D01563"/>
    <w:pPr>
      <w:ind w:left="720"/>
      <w:jc w:val="both"/>
    </w:pPr>
  </w:style>
  <w:style w:type="paragraph" w:styleId="NoteHeading">
    <w:name w:val="Note Heading"/>
    <w:basedOn w:val="Normal"/>
    <w:next w:val="Normal"/>
    <w:link w:val="NoteHeadingChar"/>
    <w:rsid w:val="00D01563"/>
    <w:pPr>
      <w:jc w:val="both"/>
    </w:pPr>
  </w:style>
  <w:style w:type="character" w:styleId="PageNumber">
    <w:name w:val="page number"/>
    <w:rsid w:val="00D01563"/>
    <w:rPr>
      <w:rFonts w:ascii="Arial" w:hAnsi="Arial" w:cs="Times New Roman"/>
      <w:sz w:val="20"/>
      <w:u w:val="none"/>
    </w:rPr>
  </w:style>
  <w:style w:type="paragraph" w:styleId="PlainText">
    <w:name w:val="Plain Text"/>
    <w:basedOn w:val="Normal"/>
    <w:link w:val="PlainTextChar"/>
    <w:rsid w:val="00D01563"/>
    <w:pPr>
      <w:jc w:val="both"/>
    </w:pPr>
    <w:rPr>
      <w:rFonts w:ascii="Courier New" w:hAnsi="Courier New" w:cs="Courier New"/>
    </w:rPr>
  </w:style>
  <w:style w:type="paragraph" w:styleId="Salutation">
    <w:name w:val="Salutation"/>
    <w:basedOn w:val="Normal"/>
    <w:next w:val="Normal"/>
    <w:link w:val="SalutationChar"/>
    <w:rsid w:val="00D01563"/>
    <w:pPr>
      <w:spacing w:before="480" w:after="240"/>
    </w:pPr>
  </w:style>
  <w:style w:type="paragraph" w:styleId="Signature">
    <w:name w:val="Signature"/>
    <w:basedOn w:val="Normal"/>
    <w:link w:val="SignatureChar"/>
    <w:rsid w:val="00D01563"/>
    <w:pPr>
      <w:ind w:left="4320"/>
      <w:jc w:val="both"/>
    </w:pPr>
  </w:style>
  <w:style w:type="character" w:styleId="Strong">
    <w:name w:val="Strong"/>
    <w:qFormat/>
    <w:rsid w:val="00D01563"/>
    <w:rPr>
      <w:rFonts w:ascii="Arial Bold" w:hAnsi="Arial Bold" w:cs="Times New Roman"/>
      <w:sz w:val="20"/>
      <w:u w:val="none"/>
    </w:rPr>
  </w:style>
  <w:style w:type="paragraph" w:styleId="Subtitle">
    <w:name w:val="Subtitle"/>
    <w:basedOn w:val="Normal"/>
    <w:next w:val="BodyText"/>
    <w:link w:val="SubtitleChar"/>
    <w:qFormat/>
    <w:rsid w:val="00D01563"/>
    <w:pPr>
      <w:spacing w:after="240"/>
    </w:pPr>
    <w:rPr>
      <w:b/>
      <w:sz w:val="32"/>
      <w:szCs w:val="32"/>
    </w:rPr>
  </w:style>
  <w:style w:type="table" w:styleId="Table3Deffects1">
    <w:name w:val="Table 3D effects 1"/>
    <w:basedOn w:val="TableNormal"/>
    <w:rsid w:val="000958E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958E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958E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958E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958E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958E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958E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958E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958E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958E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958E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958E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958E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958E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958E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958E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958E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95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0958E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958E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958E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958E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958E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6">
    <w:name w:val="Table Grid 6"/>
    <w:basedOn w:val="TableNormal"/>
    <w:rsid w:val="000958E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7">
    <w:name w:val="Table Grid 7"/>
    <w:basedOn w:val="TableNormal"/>
    <w:rsid w:val="000958E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8">
    <w:name w:val="Table Grid 8"/>
    <w:basedOn w:val="TableNormal"/>
    <w:rsid w:val="000958E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958E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958E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958E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958E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958E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958E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958E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958E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D01563"/>
    <w:pPr>
      <w:ind w:left="240" w:hanging="240"/>
      <w:jc w:val="both"/>
    </w:pPr>
  </w:style>
  <w:style w:type="paragraph" w:styleId="TableofFigures">
    <w:name w:val="table of figures"/>
    <w:basedOn w:val="BodyText"/>
    <w:next w:val="Normal"/>
    <w:rsid w:val="00DC7738"/>
    <w:pPr>
      <w:ind w:left="400" w:hanging="400"/>
    </w:pPr>
  </w:style>
  <w:style w:type="table" w:styleId="TableProfessional">
    <w:name w:val="Table Professional"/>
    <w:basedOn w:val="TableNormal"/>
    <w:rsid w:val="000958E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958E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958E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958E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958E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958E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95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0958E0"/>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958E0"/>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958E0"/>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D01563"/>
    <w:pPr>
      <w:spacing w:after="240"/>
      <w:jc w:val="center"/>
      <w:outlineLvl w:val="0"/>
    </w:pPr>
    <w:rPr>
      <w:b/>
      <w:sz w:val="44"/>
      <w:szCs w:val="44"/>
    </w:rPr>
  </w:style>
  <w:style w:type="paragraph" w:styleId="TOAHeading">
    <w:name w:val="toa heading"/>
    <w:basedOn w:val="Normal"/>
    <w:next w:val="BodyText"/>
    <w:rsid w:val="00D01563"/>
    <w:pPr>
      <w:spacing w:before="240"/>
      <w:jc w:val="both"/>
    </w:pPr>
    <w:rPr>
      <w:b/>
    </w:rPr>
  </w:style>
  <w:style w:type="paragraph" w:styleId="TOC1">
    <w:name w:val="toc 1"/>
    <w:basedOn w:val="Normal"/>
    <w:next w:val="Normal"/>
    <w:uiPriority w:val="39"/>
    <w:rsid w:val="00D01563"/>
    <w:pPr>
      <w:tabs>
        <w:tab w:val="right" w:leader="dot" w:pos="9360"/>
      </w:tabs>
      <w:spacing w:before="240"/>
      <w:jc w:val="both"/>
    </w:pPr>
    <w:rPr>
      <w:caps/>
    </w:rPr>
  </w:style>
  <w:style w:type="paragraph" w:styleId="TOC2">
    <w:name w:val="toc 2"/>
    <w:basedOn w:val="Normal"/>
    <w:rsid w:val="00D01563"/>
    <w:pPr>
      <w:ind w:left="720"/>
      <w:jc w:val="both"/>
    </w:pPr>
  </w:style>
  <w:style w:type="paragraph" w:styleId="TOC3">
    <w:name w:val="toc 3"/>
    <w:basedOn w:val="Normal"/>
    <w:next w:val="BodyText"/>
    <w:rsid w:val="00D01563"/>
    <w:pPr>
      <w:ind w:left="1440"/>
      <w:jc w:val="both"/>
    </w:pPr>
  </w:style>
  <w:style w:type="paragraph" w:styleId="TOC4">
    <w:name w:val="toc 4"/>
    <w:basedOn w:val="Normal"/>
    <w:next w:val="BodyText"/>
    <w:rsid w:val="00D01563"/>
    <w:pPr>
      <w:ind w:left="2160"/>
      <w:jc w:val="both"/>
    </w:pPr>
  </w:style>
  <w:style w:type="paragraph" w:styleId="TOC5">
    <w:name w:val="toc 5"/>
    <w:basedOn w:val="Normal"/>
    <w:next w:val="Normal"/>
    <w:rsid w:val="00D01563"/>
    <w:pPr>
      <w:ind w:left="800"/>
      <w:jc w:val="both"/>
    </w:pPr>
  </w:style>
  <w:style w:type="paragraph" w:styleId="TOC6">
    <w:name w:val="toc 6"/>
    <w:basedOn w:val="Normal"/>
    <w:next w:val="Normal"/>
    <w:rsid w:val="00D01563"/>
    <w:pPr>
      <w:ind w:left="1000"/>
      <w:jc w:val="both"/>
    </w:pPr>
  </w:style>
  <w:style w:type="paragraph" w:styleId="TOC7">
    <w:name w:val="toc 7"/>
    <w:basedOn w:val="Normal"/>
    <w:next w:val="Normal"/>
    <w:rsid w:val="00D01563"/>
    <w:pPr>
      <w:ind w:left="1200"/>
      <w:jc w:val="both"/>
    </w:pPr>
  </w:style>
  <w:style w:type="paragraph" w:styleId="TOC8">
    <w:name w:val="toc 8"/>
    <w:basedOn w:val="Normal"/>
    <w:next w:val="Normal"/>
    <w:rsid w:val="00D01563"/>
    <w:pPr>
      <w:ind w:left="1400"/>
      <w:jc w:val="both"/>
    </w:pPr>
  </w:style>
  <w:style w:type="paragraph" w:styleId="TOC9">
    <w:name w:val="toc 9"/>
    <w:basedOn w:val="Normal"/>
    <w:next w:val="Normal"/>
    <w:rsid w:val="00D01563"/>
    <w:pPr>
      <w:ind w:left="1600"/>
      <w:jc w:val="both"/>
    </w:pPr>
  </w:style>
  <w:style w:type="paragraph" w:customStyle="1" w:styleId="1-NUMBERING">
    <w:name w:val="(1) - NUMBERING"/>
    <w:basedOn w:val="BodyText"/>
    <w:rsid w:val="004D24C5"/>
    <w:pPr>
      <w:numPr>
        <w:numId w:val="4"/>
      </w:numPr>
    </w:pPr>
  </w:style>
  <w:style w:type="paragraph" w:customStyle="1" w:styleId="A-NUMBERING">
    <w:name w:val="A. - NUMBERING"/>
    <w:basedOn w:val="BodyText"/>
    <w:rsid w:val="004D24C5"/>
    <w:pPr>
      <w:numPr>
        <w:numId w:val="5"/>
      </w:numPr>
    </w:pPr>
  </w:style>
  <w:style w:type="paragraph" w:customStyle="1" w:styleId="Body1">
    <w:name w:val="Body 1"/>
    <w:basedOn w:val="BodyText"/>
    <w:link w:val="Body1Char"/>
    <w:rsid w:val="00DC7738"/>
    <w:pPr>
      <w:ind w:left="709"/>
    </w:pPr>
  </w:style>
  <w:style w:type="paragraph" w:customStyle="1" w:styleId="Body2">
    <w:name w:val="Body 2"/>
    <w:basedOn w:val="BodyText"/>
    <w:link w:val="Body2Char"/>
    <w:rsid w:val="00DC7738"/>
    <w:pPr>
      <w:ind w:left="709"/>
    </w:pPr>
  </w:style>
  <w:style w:type="paragraph" w:customStyle="1" w:styleId="Body3">
    <w:name w:val="Body 3"/>
    <w:basedOn w:val="BodyText"/>
    <w:rsid w:val="00DC7738"/>
    <w:pPr>
      <w:ind w:left="1417"/>
    </w:pPr>
  </w:style>
  <w:style w:type="paragraph" w:customStyle="1" w:styleId="Body4">
    <w:name w:val="Body 4"/>
    <w:basedOn w:val="BodyText"/>
    <w:rsid w:val="00DC7738"/>
    <w:pPr>
      <w:ind w:left="2126"/>
    </w:pPr>
  </w:style>
  <w:style w:type="paragraph" w:customStyle="1" w:styleId="Body5">
    <w:name w:val="Body 5"/>
    <w:basedOn w:val="BodyText"/>
    <w:rsid w:val="00DC7738"/>
    <w:pPr>
      <w:ind w:left="2835"/>
    </w:pPr>
  </w:style>
  <w:style w:type="paragraph" w:customStyle="1" w:styleId="Body6">
    <w:name w:val="Body 6"/>
    <w:basedOn w:val="BodyText"/>
    <w:rsid w:val="00DC7738"/>
    <w:pPr>
      <w:ind w:left="3543"/>
    </w:pPr>
  </w:style>
  <w:style w:type="paragraph" w:customStyle="1" w:styleId="Body7">
    <w:name w:val="Body 7"/>
    <w:basedOn w:val="BodyText"/>
    <w:next w:val="Normal"/>
    <w:rsid w:val="00DC7738"/>
    <w:pPr>
      <w:ind w:left="4252"/>
    </w:pPr>
  </w:style>
  <w:style w:type="paragraph" w:customStyle="1" w:styleId="Bullet1">
    <w:name w:val="Bullet 1"/>
    <w:basedOn w:val="BodyText"/>
    <w:qFormat/>
    <w:rsid w:val="004D24C5"/>
    <w:pPr>
      <w:numPr>
        <w:numId w:val="6"/>
      </w:numPr>
    </w:pPr>
  </w:style>
  <w:style w:type="paragraph" w:customStyle="1" w:styleId="Bullet2">
    <w:name w:val="Bullet 2"/>
    <w:basedOn w:val="BodyText"/>
    <w:rsid w:val="00887FAF"/>
    <w:pPr>
      <w:numPr>
        <w:ilvl w:val="1"/>
        <w:numId w:val="6"/>
      </w:numPr>
    </w:pPr>
  </w:style>
  <w:style w:type="paragraph" w:customStyle="1" w:styleId="Bullet3">
    <w:name w:val="Bullet 3"/>
    <w:basedOn w:val="BodyText"/>
    <w:rsid w:val="00887FAF"/>
    <w:pPr>
      <w:numPr>
        <w:ilvl w:val="2"/>
        <w:numId w:val="6"/>
      </w:numPr>
    </w:pPr>
  </w:style>
  <w:style w:type="paragraph" w:customStyle="1" w:styleId="Bullet4">
    <w:name w:val="Bullet 4"/>
    <w:basedOn w:val="BodyText"/>
    <w:rsid w:val="00887FAF"/>
    <w:pPr>
      <w:numPr>
        <w:ilvl w:val="3"/>
        <w:numId w:val="6"/>
      </w:numPr>
    </w:pPr>
  </w:style>
  <w:style w:type="paragraph" w:customStyle="1" w:styleId="Bullet5">
    <w:name w:val="Bullet 5"/>
    <w:basedOn w:val="BodyText"/>
    <w:rsid w:val="00887FAF"/>
    <w:pPr>
      <w:numPr>
        <w:ilvl w:val="4"/>
        <w:numId w:val="6"/>
      </w:numPr>
    </w:pPr>
  </w:style>
  <w:style w:type="paragraph" w:customStyle="1" w:styleId="Bullet6">
    <w:name w:val="Bullet 6"/>
    <w:basedOn w:val="BodyText"/>
    <w:rsid w:val="00887FAF"/>
    <w:pPr>
      <w:numPr>
        <w:ilvl w:val="5"/>
        <w:numId w:val="6"/>
      </w:numPr>
    </w:pPr>
  </w:style>
  <w:style w:type="paragraph" w:customStyle="1" w:styleId="Bullet7">
    <w:name w:val="Bullet 7"/>
    <w:basedOn w:val="BodyText"/>
    <w:next w:val="Normal"/>
    <w:rsid w:val="00887FAF"/>
    <w:pPr>
      <w:numPr>
        <w:ilvl w:val="6"/>
        <w:numId w:val="6"/>
      </w:numPr>
    </w:pPr>
  </w:style>
  <w:style w:type="paragraph" w:customStyle="1" w:styleId="Level1">
    <w:name w:val="Level 1"/>
    <w:rsid w:val="00D01563"/>
    <w:pPr>
      <w:spacing w:after="240"/>
      <w:jc w:val="both"/>
      <w:outlineLvl w:val="0"/>
    </w:pPr>
    <w:rPr>
      <w:rFonts w:ascii="Arial" w:hAnsi="Arial" w:cs="Arial"/>
      <w:lang w:val="en-GB" w:eastAsia="en-GB"/>
    </w:rPr>
  </w:style>
  <w:style w:type="paragraph" w:customStyle="1" w:styleId="Level2">
    <w:name w:val="Level 2"/>
    <w:rsid w:val="00D01563"/>
    <w:pPr>
      <w:tabs>
        <w:tab w:val="num" w:pos="1440"/>
      </w:tabs>
      <w:spacing w:after="240"/>
      <w:ind w:left="1440" w:hanging="720"/>
      <w:jc w:val="both"/>
      <w:outlineLvl w:val="1"/>
    </w:pPr>
    <w:rPr>
      <w:rFonts w:ascii="Arial" w:hAnsi="Arial" w:cs="Arial"/>
      <w:lang w:val="en-GB" w:eastAsia="en-GB"/>
    </w:rPr>
  </w:style>
  <w:style w:type="paragraph" w:customStyle="1" w:styleId="Level3">
    <w:name w:val="Level 3"/>
    <w:basedOn w:val="BodyText"/>
    <w:next w:val="Body3"/>
    <w:rsid w:val="00887FAF"/>
    <w:pPr>
      <w:numPr>
        <w:ilvl w:val="2"/>
        <w:numId w:val="7"/>
      </w:numPr>
      <w:outlineLvl w:val="2"/>
    </w:pPr>
  </w:style>
  <w:style w:type="paragraph" w:customStyle="1" w:styleId="Level4">
    <w:name w:val="Level 4"/>
    <w:basedOn w:val="BodyText"/>
    <w:next w:val="Body4"/>
    <w:rsid w:val="00887FAF"/>
    <w:pPr>
      <w:numPr>
        <w:ilvl w:val="3"/>
        <w:numId w:val="7"/>
      </w:numPr>
      <w:outlineLvl w:val="3"/>
    </w:pPr>
  </w:style>
  <w:style w:type="paragraph" w:customStyle="1" w:styleId="Level5">
    <w:name w:val="Level 5"/>
    <w:basedOn w:val="BodyText"/>
    <w:next w:val="Body5"/>
    <w:rsid w:val="00887FAF"/>
    <w:pPr>
      <w:numPr>
        <w:ilvl w:val="4"/>
        <w:numId w:val="7"/>
      </w:numPr>
      <w:outlineLvl w:val="4"/>
    </w:pPr>
  </w:style>
  <w:style w:type="paragraph" w:customStyle="1" w:styleId="Level6">
    <w:name w:val="Level 6"/>
    <w:basedOn w:val="BodyText"/>
    <w:next w:val="Body6"/>
    <w:rsid w:val="00887FAF"/>
    <w:pPr>
      <w:numPr>
        <w:ilvl w:val="5"/>
        <w:numId w:val="7"/>
      </w:numPr>
      <w:outlineLvl w:val="5"/>
    </w:pPr>
  </w:style>
  <w:style w:type="paragraph" w:customStyle="1" w:styleId="MA-ArtsLevel1">
    <w:name w:val="M&amp;A - Arts Level 1"/>
    <w:basedOn w:val="BodyText"/>
    <w:next w:val="Body1"/>
    <w:rsid w:val="004D24C5"/>
    <w:pPr>
      <w:numPr>
        <w:numId w:val="8"/>
      </w:numPr>
      <w:outlineLvl w:val="0"/>
    </w:pPr>
  </w:style>
  <w:style w:type="paragraph" w:customStyle="1" w:styleId="MA-ArtsLevel2">
    <w:name w:val="M&amp;A - Arts Level 2"/>
    <w:basedOn w:val="BodyText"/>
    <w:next w:val="Body3"/>
    <w:rsid w:val="00887FAF"/>
    <w:pPr>
      <w:numPr>
        <w:ilvl w:val="1"/>
        <w:numId w:val="8"/>
      </w:numPr>
      <w:outlineLvl w:val="1"/>
    </w:pPr>
  </w:style>
  <w:style w:type="paragraph" w:customStyle="1" w:styleId="MA-ArtsLevel3">
    <w:name w:val="M&amp;A - Arts Level 3"/>
    <w:basedOn w:val="BodyText"/>
    <w:next w:val="Body3"/>
    <w:rsid w:val="00887FAF"/>
    <w:pPr>
      <w:numPr>
        <w:ilvl w:val="2"/>
        <w:numId w:val="8"/>
      </w:numPr>
      <w:outlineLvl w:val="2"/>
    </w:pPr>
  </w:style>
  <w:style w:type="paragraph" w:customStyle="1" w:styleId="MA-ArtsLevel4">
    <w:name w:val="M&amp;A - Arts Level 4"/>
    <w:basedOn w:val="BodyText"/>
    <w:next w:val="Body4"/>
    <w:rsid w:val="00887FAF"/>
    <w:pPr>
      <w:numPr>
        <w:ilvl w:val="3"/>
        <w:numId w:val="8"/>
      </w:numPr>
      <w:outlineLvl w:val="3"/>
    </w:pPr>
  </w:style>
  <w:style w:type="paragraph" w:customStyle="1" w:styleId="MA-ArtsLevel5">
    <w:name w:val="M&amp;A - Arts Level 5"/>
    <w:basedOn w:val="BodyText"/>
    <w:next w:val="Body5"/>
    <w:rsid w:val="00887FAF"/>
    <w:pPr>
      <w:numPr>
        <w:ilvl w:val="4"/>
        <w:numId w:val="8"/>
      </w:numPr>
      <w:outlineLvl w:val="4"/>
    </w:pPr>
  </w:style>
  <w:style w:type="paragraph" w:customStyle="1" w:styleId="MA-ArtsLevel6">
    <w:name w:val="M&amp;A - Arts Level 6"/>
    <w:basedOn w:val="BodyText"/>
    <w:next w:val="Body6"/>
    <w:rsid w:val="00887FAF"/>
    <w:pPr>
      <w:numPr>
        <w:ilvl w:val="5"/>
        <w:numId w:val="8"/>
      </w:numPr>
      <w:outlineLvl w:val="5"/>
    </w:pPr>
  </w:style>
  <w:style w:type="paragraph" w:customStyle="1" w:styleId="MA-MemoLevel1">
    <w:name w:val="M&amp;A - Memo Level 1"/>
    <w:basedOn w:val="BodyText"/>
    <w:next w:val="Body1"/>
    <w:rsid w:val="004D24C5"/>
    <w:pPr>
      <w:numPr>
        <w:numId w:val="9"/>
      </w:numPr>
      <w:outlineLvl w:val="0"/>
    </w:pPr>
  </w:style>
  <w:style w:type="paragraph" w:customStyle="1" w:styleId="MA-MemoLevel2">
    <w:name w:val="M&amp;A - Memo Level 2"/>
    <w:basedOn w:val="BodyText"/>
    <w:next w:val="Body3"/>
    <w:rsid w:val="00887FAF"/>
    <w:pPr>
      <w:numPr>
        <w:ilvl w:val="1"/>
        <w:numId w:val="9"/>
      </w:numPr>
      <w:outlineLvl w:val="1"/>
    </w:pPr>
  </w:style>
  <w:style w:type="paragraph" w:customStyle="1" w:styleId="MA-MemoLevel3">
    <w:name w:val="M&amp;A - Memo Level 3"/>
    <w:basedOn w:val="BodyText"/>
    <w:next w:val="Body3"/>
    <w:rsid w:val="00887FAF"/>
    <w:pPr>
      <w:numPr>
        <w:ilvl w:val="2"/>
        <w:numId w:val="9"/>
      </w:numPr>
      <w:outlineLvl w:val="2"/>
    </w:pPr>
  </w:style>
  <w:style w:type="paragraph" w:customStyle="1" w:styleId="MA-MemoLevel4">
    <w:name w:val="M&amp;A - Memo Level 4"/>
    <w:basedOn w:val="BodyText"/>
    <w:next w:val="Body4"/>
    <w:rsid w:val="00887FAF"/>
    <w:pPr>
      <w:numPr>
        <w:ilvl w:val="3"/>
        <w:numId w:val="9"/>
      </w:numPr>
      <w:outlineLvl w:val="3"/>
    </w:pPr>
  </w:style>
  <w:style w:type="paragraph" w:customStyle="1" w:styleId="MA-MemoLevel5">
    <w:name w:val="M&amp;A - Memo Level 5"/>
    <w:basedOn w:val="BodyText"/>
    <w:next w:val="Body5"/>
    <w:rsid w:val="00887FAF"/>
    <w:pPr>
      <w:numPr>
        <w:ilvl w:val="4"/>
        <w:numId w:val="9"/>
      </w:numPr>
      <w:outlineLvl w:val="4"/>
    </w:pPr>
  </w:style>
  <w:style w:type="paragraph" w:customStyle="1" w:styleId="MA-MemoLevel6">
    <w:name w:val="M&amp;A - Memo Level 6"/>
    <w:basedOn w:val="BodyText"/>
    <w:next w:val="Body6"/>
    <w:rsid w:val="00887FAF"/>
    <w:pPr>
      <w:numPr>
        <w:ilvl w:val="5"/>
        <w:numId w:val="9"/>
      </w:numPr>
      <w:outlineLvl w:val="5"/>
    </w:pPr>
  </w:style>
  <w:style w:type="paragraph" w:customStyle="1" w:styleId="NA-LEVEL1">
    <w:name w:val="NA - LEVEL 1"/>
    <w:basedOn w:val="BodyText"/>
    <w:next w:val="Body1"/>
    <w:rsid w:val="004D24C5"/>
    <w:pPr>
      <w:numPr>
        <w:numId w:val="14"/>
      </w:numPr>
      <w:outlineLvl w:val="0"/>
    </w:pPr>
  </w:style>
  <w:style w:type="paragraph" w:customStyle="1" w:styleId="NA-LEVEL2">
    <w:name w:val="NA - LEVEL 2"/>
    <w:basedOn w:val="BodyText"/>
    <w:next w:val="Body3"/>
    <w:rsid w:val="00E97791"/>
    <w:pPr>
      <w:numPr>
        <w:ilvl w:val="1"/>
        <w:numId w:val="14"/>
      </w:numPr>
      <w:outlineLvl w:val="1"/>
    </w:pPr>
  </w:style>
  <w:style w:type="paragraph" w:customStyle="1" w:styleId="NA-LEVEL3">
    <w:name w:val="NA - LEVEL 3"/>
    <w:basedOn w:val="BodyText"/>
    <w:next w:val="Body4"/>
    <w:qFormat/>
    <w:rsid w:val="00E97791"/>
    <w:pPr>
      <w:numPr>
        <w:ilvl w:val="2"/>
        <w:numId w:val="14"/>
      </w:numPr>
      <w:outlineLvl w:val="2"/>
    </w:pPr>
  </w:style>
  <w:style w:type="paragraph" w:customStyle="1" w:styleId="NA-LEVEL4">
    <w:name w:val="NA - LEVEL 4"/>
    <w:basedOn w:val="BodyText"/>
    <w:next w:val="Body5"/>
    <w:rsid w:val="00E97791"/>
    <w:pPr>
      <w:numPr>
        <w:ilvl w:val="3"/>
        <w:numId w:val="14"/>
      </w:numPr>
      <w:outlineLvl w:val="3"/>
    </w:pPr>
  </w:style>
  <w:style w:type="paragraph" w:customStyle="1" w:styleId="NA-LEVEL5">
    <w:name w:val="NA - LEVEL 5"/>
    <w:basedOn w:val="BodyText"/>
    <w:next w:val="Body6"/>
    <w:rsid w:val="00E97791"/>
    <w:pPr>
      <w:numPr>
        <w:ilvl w:val="4"/>
        <w:numId w:val="14"/>
      </w:numPr>
      <w:outlineLvl w:val="4"/>
    </w:pPr>
  </w:style>
  <w:style w:type="paragraph" w:customStyle="1" w:styleId="NA-LEVEL6">
    <w:name w:val="NA - LEVEL 6"/>
    <w:basedOn w:val="BodyText"/>
    <w:next w:val="Body7"/>
    <w:rsid w:val="00E97791"/>
    <w:pPr>
      <w:numPr>
        <w:ilvl w:val="5"/>
        <w:numId w:val="14"/>
      </w:numPr>
      <w:outlineLvl w:val="5"/>
    </w:pPr>
  </w:style>
  <w:style w:type="paragraph" w:customStyle="1" w:styleId="PROSPECTUS-LEVEL1">
    <w:name w:val="PROSPECTUS - LEVEL 1"/>
    <w:basedOn w:val="BodyText"/>
    <w:next w:val="BodyText"/>
    <w:rsid w:val="00DC7738"/>
    <w:pPr>
      <w:keepNext/>
      <w:pBdr>
        <w:top w:val="single" w:sz="4" w:space="6" w:color="auto"/>
        <w:bottom w:val="single" w:sz="4" w:space="6" w:color="auto"/>
      </w:pBdr>
      <w:jc w:val="center"/>
    </w:pPr>
    <w:rPr>
      <w:b/>
      <w:sz w:val="22"/>
    </w:rPr>
  </w:style>
  <w:style w:type="paragraph" w:customStyle="1" w:styleId="PROSPECTUS-LEVEL2">
    <w:name w:val="PROSPECTUS - LEVEL 2"/>
    <w:basedOn w:val="BodyText"/>
    <w:next w:val="BodyText"/>
    <w:rsid w:val="00DC7738"/>
    <w:pPr>
      <w:keepNext/>
    </w:pPr>
    <w:rPr>
      <w:b/>
    </w:rPr>
  </w:style>
  <w:style w:type="paragraph" w:customStyle="1" w:styleId="PROSPECTUSSUMMARY-LEVEL1">
    <w:name w:val="PROSPECTUS SUMMARY - LEVEL 1"/>
    <w:basedOn w:val="BodyText"/>
    <w:next w:val="BodyText"/>
    <w:rsid w:val="00DC7738"/>
    <w:pPr>
      <w:keepNext/>
      <w:pBdr>
        <w:top w:val="single" w:sz="4" w:space="6" w:color="auto"/>
        <w:bottom w:val="single" w:sz="4" w:space="6" w:color="auto"/>
      </w:pBdr>
      <w:jc w:val="center"/>
    </w:pPr>
    <w:rPr>
      <w:b/>
      <w:sz w:val="22"/>
    </w:rPr>
  </w:style>
  <w:style w:type="paragraph" w:customStyle="1" w:styleId="PROSPECTUSSUMMARY-LEVEL2">
    <w:name w:val="PROSPECTUS SUMMARY - LEVEL 2"/>
    <w:basedOn w:val="BodyText"/>
    <w:next w:val="BodyText"/>
    <w:rsid w:val="00DC7738"/>
    <w:pPr>
      <w:keepNext/>
    </w:pPr>
    <w:rPr>
      <w:b/>
    </w:rPr>
  </w:style>
  <w:style w:type="paragraph" w:customStyle="1" w:styleId="SCH-LEVEL1">
    <w:name w:val="SCH - LEVEL 1"/>
    <w:basedOn w:val="BodyText"/>
    <w:next w:val="Body1"/>
    <w:rsid w:val="004D24C5"/>
    <w:pPr>
      <w:numPr>
        <w:numId w:val="10"/>
      </w:numPr>
      <w:outlineLvl w:val="0"/>
    </w:pPr>
    <w:rPr>
      <w:sz w:val="22"/>
    </w:rPr>
  </w:style>
  <w:style w:type="paragraph" w:customStyle="1" w:styleId="SCH-LEVEL2">
    <w:name w:val="SCH - LEVEL 2"/>
    <w:basedOn w:val="BodyText"/>
    <w:next w:val="Body2"/>
    <w:rsid w:val="00E97791"/>
    <w:pPr>
      <w:numPr>
        <w:ilvl w:val="1"/>
        <w:numId w:val="10"/>
      </w:numPr>
      <w:outlineLvl w:val="1"/>
    </w:pPr>
  </w:style>
  <w:style w:type="paragraph" w:customStyle="1" w:styleId="SCH-LEVEL3">
    <w:name w:val="SCH - LEVEL 3"/>
    <w:basedOn w:val="BodyText"/>
    <w:next w:val="Body3"/>
    <w:rsid w:val="00E97791"/>
    <w:pPr>
      <w:numPr>
        <w:ilvl w:val="2"/>
        <w:numId w:val="10"/>
      </w:numPr>
      <w:outlineLvl w:val="2"/>
    </w:pPr>
  </w:style>
  <w:style w:type="paragraph" w:customStyle="1" w:styleId="SCH-LEVEL4">
    <w:name w:val="SCH - LEVEL 4"/>
    <w:basedOn w:val="BodyText"/>
    <w:next w:val="Body4"/>
    <w:rsid w:val="00E97791"/>
    <w:pPr>
      <w:numPr>
        <w:ilvl w:val="3"/>
        <w:numId w:val="10"/>
      </w:numPr>
      <w:outlineLvl w:val="3"/>
    </w:pPr>
  </w:style>
  <w:style w:type="paragraph" w:customStyle="1" w:styleId="SCH-LEVEL5">
    <w:name w:val="SCH - LEVEL 5"/>
    <w:basedOn w:val="BodyText"/>
    <w:next w:val="Body5"/>
    <w:rsid w:val="00E97791"/>
    <w:pPr>
      <w:numPr>
        <w:ilvl w:val="4"/>
        <w:numId w:val="10"/>
      </w:numPr>
      <w:outlineLvl w:val="4"/>
    </w:pPr>
  </w:style>
  <w:style w:type="paragraph" w:customStyle="1" w:styleId="SCH-LEVEL6">
    <w:name w:val="SCH - LEVEL 6"/>
    <w:basedOn w:val="BodyText"/>
    <w:next w:val="Body6"/>
    <w:rsid w:val="00E97791"/>
    <w:pPr>
      <w:numPr>
        <w:ilvl w:val="5"/>
        <w:numId w:val="10"/>
      </w:numPr>
      <w:outlineLvl w:val="5"/>
    </w:pPr>
  </w:style>
  <w:style w:type="paragraph" w:customStyle="1" w:styleId="SCH-MAINHEAD">
    <w:name w:val="SCH - MAIN HEAD"/>
    <w:basedOn w:val="BodyText"/>
    <w:next w:val="BodyText"/>
    <w:rsid w:val="00DC7738"/>
    <w:pPr>
      <w:keepNext/>
      <w:jc w:val="center"/>
    </w:pPr>
    <w:rPr>
      <w:b/>
      <w:sz w:val="22"/>
    </w:rPr>
  </w:style>
  <w:style w:type="paragraph" w:customStyle="1" w:styleId="SCH-SUBHEAD">
    <w:name w:val="SCH - SUB HEAD"/>
    <w:basedOn w:val="BodyText"/>
    <w:next w:val="BodyText"/>
    <w:rsid w:val="00DC7738"/>
    <w:pPr>
      <w:keepNext/>
      <w:jc w:val="center"/>
    </w:pPr>
    <w:rPr>
      <w:b/>
    </w:rPr>
  </w:style>
  <w:style w:type="paragraph" w:customStyle="1" w:styleId="SCH2-LEVEL1">
    <w:name w:val="SCH 2 - LEVEL 1"/>
    <w:basedOn w:val="BodyText"/>
    <w:next w:val="Body1"/>
    <w:rsid w:val="004D24C5"/>
    <w:pPr>
      <w:keepNext/>
      <w:numPr>
        <w:numId w:val="11"/>
      </w:numPr>
      <w:outlineLvl w:val="0"/>
    </w:pPr>
    <w:rPr>
      <w:b/>
      <w:sz w:val="22"/>
    </w:rPr>
  </w:style>
  <w:style w:type="paragraph" w:customStyle="1" w:styleId="SCH2-LEVEL2">
    <w:name w:val="SCH 2 - LEVEL 2"/>
    <w:basedOn w:val="BodyText"/>
    <w:next w:val="Body2"/>
    <w:rsid w:val="00887FAF"/>
    <w:pPr>
      <w:numPr>
        <w:ilvl w:val="1"/>
        <w:numId w:val="11"/>
      </w:numPr>
      <w:outlineLvl w:val="1"/>
    </w:pPr>
  </w:style>
  <w:style w:type="paragraph" w:customStyle="1" w:styleId="SCH2-LEVEL3">
    <w:name w:val="SCH 2 - LEVEL 3"/>
    <w:basedOn w:val="BodyText"/>
    <w:next w:val="Body3"/>
    <w:rsid w:val="00887FAF"/>
    <w:pPr>
      <w:numPr>
        <w:ilvl w:val="2"/>
        <w:numId w:val="11"/>
      </w:numPr>
      <w:outlineLvl w:val="2"/>
    </w:pPr>
  </w:style>
  <w:style w:type="paragraph" w:customStyle="1" w:styleId="SCH2-LEVEL4">
    <w:name w:val="SCH 2 - LEVEL 4"/>
    <w:basedOn w:val="BodyText"/>
    <w:next w:val="Body4"/>
    <w:rsid w:val="00887FAF"/>
    <w:pPr>
      <w:numPr>
        <w:ilvl w:val="3"/>
        <w:numId w:val="11"/>
      </w:numPr>
      <w:outlineLvl w:val="3"/>
    </w:pPr>
  </w:style>
  <w:style w:type="paragraph" w:customStyle="1" w:styleId="SCH2-LEVEL5">
    <w:name w:val="SCH 2 - LEVEL 5"/>
    <w:basedOn w:val="BodyText"/>
    <w:next w:val="Body5"/>
    <w:rsid w:val="00887FAF"/>
    <w:pPr>
      <w:numPr>
        <w:ilvl w:val="4"/>
        <w:numId w:val="11"/>
      </w:numPr>
      <w:outlineLvl w:val="4"/>
    </w:pPr>
  </w:style>
  <w:style w:type="paragraph" w:customStyle="1" w:styleId="SCH2-LEVEL6">
    <w:name w:val="SCH 2 - LEVEL 6"/>
    <w:basedOn w:val="BodyText"/>
    <w:next w:val="Body6"/>
    <w:rsid w:val="00887FAF"/>
    <w:pPr>
      <w:numPr>
        <w:ilvl w:val="5"/>
        <w:numId w:val="11"/>
      </w:numPr>
      <w:outlineLvl w:val="5"/>
    </w:pPr>
  </w:style>
  <w:style w:type="paragraph" w:customStyle="1" w:styleId="SCH2-MAINHEAD">
    <w:name w:val="SCH 2 - MAIN HEAD"/>
    <w:basedOn w:val="BodyText"/>
    <w:next w:val="BodyText"/>
    <w:rsid w:val="00DC7738"/>
    <w:pPr>
      <w:keepNext/>
      <w:jc w:val="center"/>
    </w:pPr>
    <w:rPr>
      <w:b/>
      <w:sz w:val="22"/>
    </w:rPr>
  </w:style>
  <w:style w:type="paragraph" w:customStyle="1" w:styleId="SCH2-SUBHEAD">
    <w:name w:val="SCH 2 - SUB HEAD"/>
    <w:basedOn w:val="BodyText"/>
    <w:next w:val="BodyText"/>
    <w:rsid w:val="00DC7738"/>
    <w:pPr>
      <w:keepNext/>
      <w:jc w:val="center"/>
    </w:pPr>
    <w:rPr>
      <w:b/>
    </w:rPr>
  </w:style>
  <w:style w:type="paragraph" w:customStyle="1" w:styleId="SCH3-LEVEL1">
    <w:name w:val="SCH 3 - LEVEL 1"/>
    <w:basedOn w:val="BodyText"/>
    <w:next w:val="Body1"/>
    <w:rsid w:val="004D24C5"/>
    <w:pPr>
      <w:keepNext/>
      <w:numPr>
        <w:numId w:val="12"/>
      </w:numPr>
    </w:pPr>
    <w:rPr>
      <w:b/>
      <w:sz w:val="22"/>
    </w:rPr>
  </w:style>
  <w:style w:type="paragraph" w:customStyle="1" w:styleId="SCH3-LEVEL2">
    <w:name w:val="SCH 3 - LEVEL 2"/>
    <w:basedOn w:val="BodyText"/>
    <w:next w:val="Body2"/>
    <w:rsid w:val="00887FAF"/>
    <w:pPr>
      <w:numPr>
        <w:ilvl w:val="1"/>
        <w:numId w:val="12"/>
      </w:numPr>
    </w:pPr>
  </w:style>
  <w:style w:type="paragraph" w:customStyle="1" w:styleId="SCH3-LEVEL3">
    <w:name w:val="SCH 3 - LEVEL 3"/>
    <w:basedOn w:val="BodyText"/>
    <w:next w:val="Body3"/>
    <w:rsid w:val="00887FAF"/>
    <w:pPr>
      <w:numPr>
        <w:ilvl w:val="2"/>
        <w:numId w:val="12"/>
      </w:numPr>
    </w:pPr>
  </w:style>
  <w:style w:type="paragraph" w:customStyle="1" w:styleId="SCH3-LEVEL4">
    <w:name w:val="SCH 3 - LEVEL 4"/>
    <w:basedOn w:val="BodyText"/>
    <w:next w:val="Body4"/>
    <w:rsid w:val="00887FAF"/>
    <w:pPr>
      <w:numPr>
        <w:ilvl w:val="3"/>
        <w:numId w:val="12"/>
      </w:numPr>
    </w:pPr>
  </w:style>
  <w:style w:type="paragraph" w:customStyle="1" w:styleId="SCH3-LEVEL5">
    <w:name w:val="SCH 3 - LEVEL 5"/>
    <w:basedOn w:val="BodyText"/>
    <w:next w:val="Body5"/>
    <w:rsid w:val="00887FAF"/>
    <w:pPr>
      <w:numPr>
        <w:ilvl w:val="4"/>
        <w:numId w:val="12"/>
      </w:numPr>
    </w:pPr>
  </w:style>
  <w:style w:type="paragraph" w:customStyle="1" w:styleId="SCH3-LEVEL6">
    <w:name w:val="SCH 3 - LEVEL 6"/>
    <w:basedOn w:val="BodyText"/>
    <w:next w:val="Body6"/>
    <w:rsid w:val="00887FAF"/>
    <w:pPr>
      <w:numPr>
        <w:ilvl w:val="5"/>
        <w:numId w:val="12"/>
      </w:numPr>
    </w:pPr>
  </w:style>
  <w:style w:type="paragraph" w:customStyle="1" w:styleId="SCH3-MAINHEAD">
    <w:name w:val="SCH 3 - MAIN HEAD"/>
    <w:basedOn w:val="BodyText"/>
    <w:next w:val="BodyText"/>
    <w:rsid w:val="00DC7738"/>
    <w:pPr>
      <w:keepNext/>
      <w:jc w:val="center"/>
    </w:pPr>
    <w:rPr>
      <w:b/>
      <w:sz w:val="22"/>
    </w:rPr>
  </w:style>
  <w:style w:type="paragraph" w:customStyle="1" w:styleId="SCH3-SUBHEAD">
    <w:name w:val="SCH 3 - SUB HEAD"/>
    <w:basedOn w:val="BodyText"/>
    <w:next w:val="BodyText"/>
    <w:rsid w:val="00DC7738"/>
    <w:pPr>
      <w:keepNext/>
      <w:jc w:val="center"/>
    </w:pPr>
    <w:rPr>
      <w:b/>
    </w:rPr>
  </w:style>
  <w:style w:type="paragraph" w:customStyle="1" w:styleId="SCHEDULEHEADING-LEVEL1">
    <w:name w:val="SCHEDULE HEADING - LEVEL 1"/>
    <w:basedOn w:val="BodyText"/>
    <w:next w:val="ScheduleHeading-Level2"/>
    <w:rsid w:val="003B6D0C"/>
    <w:pPr>
      <w:keepNext/>
      <w:jc w:val="left"/>
    </w:pPr>
    <w:rPr>
      <w:b/>
      <w:sz w:val="22"/>
    </w:rPr>
  </w:style>
  <w:style w:type="paragraph" w:customStyle="1" w:styleId="ScheduleHeading-Level2">
    <w:name w:val="Schedule Heading - Level 2"/>
    <w:basedOn w:val="BodyText"/>
    <w:next w:val="BodyText"/>
    <w:rsid w:val="003B6D0C"/>
    <w:pPr>
      <w:keepNext/>
      <w:jc w:val="left"/>
    </w:pPr>
    <w:rPr>
      <w:i/>
    </w:rPr>
  </w:style>
  <w:style w:type="paragraph" w:customStyle="1" w:styleId="AODocTxt">
    <w:name w:val="AODocTxt"/>
    <w:basedOn w:val="BodyText"/>
    <w:rsid w:val="00A8141D"/>
    <w:pPr>
      <w:tabs>
        <w:tab w:val="num" w:pos="1009"/>
      </w:tabs>
      <w:spacing w:before="240" w:line="260" w:lineRule="atLeast"/>
      <w:ind w:left="1009" w:hanging="709"/>
    </w:pPr>
    <w:rPr>
      <w:rFonts w:ascii="Times New Roman" w:eastAsia="SimSun" w:hAnsi="Times New Roman" w:cs="Times New Roman"/>
      <w:sz w:val="22"/>
      <w:szCs w:val="22"/>
    </w:rPr>
  </w:style>
  <w:style w:type="paragraph" w:customStyle="1" w:styleId="AODefHead">
    <w:name w:val="AODefHead"/>
    <w:basedOn w:val="BodyText"/>
    <w:next w:val="AODefPara"/>
    <w:rsid w:val="00A8141D"/>
    <w:pPr>
      <w:spacing w:before="240" w:line="260" w:lineRule="atLeast"/>
      <w:ind w:left="720"/>
      <w:outlineLvl w:val="5"/>
    </w:pPr>
    <w:rPr>
      <w:rFonts w:ascii="Times New Roman" w:eastAsia="SimSun" w:hAnsi="Times New Roman" w:cs="Times New Roman"/>
      <w:sz w:val="22"/>
      <w:szCs w:val="22"/>
    </w:rPr>
  </w:style>
  <w:style w:type="paragraph" w:customStyle="1" w:styleId="AODefPara">
    <w:name w:val="AODefPara"/>
    <w:basedOn w:val="BodyText"/>
    <w:rsid w:val="00A8141D"/>
    <w:pPr>
      <w:outlineLvl w:val="6"/>
    </w:pPr>
  </w:style>
  <w:style w:type="paragraph" w:customStyle="1" w:styleId="AODocTxtL1">
    <w:name w:val="AODocTxtL1"/>
    <w:basedOn w:val="BodyText"/>
    <w:rsid w:val="00A8141D"/>
    <w:pPr>
      <w:numPr>
        <w:ilvl w:val="1"/>
      </w:numPr>
      <w:tabs>
        <w:tab w:val="num" w:pos="360"/>
      </w:tabs>
    </w:pPr>
  </w:style>
  <w:style w:type="character" w:customStyle="1" w:styleId="Body1Char">
    <w:name w:val="Body 1 Char"/>
    <w:link w:val="Body1"/>
    <w:rsid w:val="00EF16DF"/>
    <w:rPr>
      <w:rFonts w:ascii="Arial" w:hAnsi="Arial" w:cs="Arial"/>
      <w:szCs w:val="24"/>
      <w:lang w:eastAsia="en-US"/>
    </w:rPr>
  </w:style>
  <w:style w:type="character" w:customStyle="1" w:styleId="CommentTextChar">
    <w:name w:val="Comment Text Char"/>
    <w:link w:val="CommentText"/>
    <w:rsid w:val="00635789"/>
    <w:rPr>
      <w:rFonts w:ascii="Arial" w:hAnsi="Arial" w:cs="Arial"/>
      <w:lang w:val="en-GB" w:eastAsia="en-GB"/>
    </w:rPr>
  </w:style>
  <w:style w:type="character" w:customStyle="1" w:styleId="BodyTextChar">
    <w:name w:val="Body Text Char"/>
    <w:link w:val="BodyText"/>
    <w:rsid w:val="00D01563"/>
    <w:rPr>
      <w:rFonts w:ascii="Arial" w:hAnsi="Arial" w:cs="Arial"/>
    </w:rPr>
  </w:style>
  <w:style w:type="paragraph" w:customStyle="1" w:styleId="DocID">
    <w:name w:val="DocID"/>
    <w:basedOn w:val="Normal"/>
    <w:next w:val="Footer"/>
    <w:link w:val="DocIDChar"/>
    <w:rsid w:val="00BD4800"/>
    <w:rPr>
      <w:sz w:val="16"/>
      <w:szCs w:val="24"/>
      <w:lang w:eastAsia="en-US"/>
    </w:rPr>
  </w:style>
  <w:style w:type="character" w:customStyle="1" w:styleId="DocIDChar">
    <w:name w:val="DocID Char"/>
    <w:link w:val="DocID"/>
    <w:rsid w:val="00BD4800"/>
    <w:rPr>
      <w:rFonts w:ascii="Arial" w:hAnsi="Arial" w:cs="Arial"/>
      <w:sz w:val="16"/>
      <w:szCs w:val="24"/>
      <w:lang w:eastAsia="en-US"/>
    </w:rPr>
  </w:style>
  <w:style w:type="paragraph" w:customStyle="1" w:styleId="Bezriadkovania">
    <w:name w:val="Bez riadkovania"/>
    <w:uiPriority w:val="1"/>
    <w:qFormat/>
    <w:rsid w:val="00A26C9B"/>
    <w:pPr>
      <w:jc w:val="both"/>
    </w:pPr>
    <w:rPr>
      <w:rFonts w:ascii="Arial" w:hAnsi="Arial" w:cs="Arial"/>
      <w:szCs w:val="24"/>
      <w:lang w:val="en-GB"/>
    </w:rPr>
  </w:style>
  <w:style w:type="paragraph" w:customStyle="1" w:styleId="SpeedLegalPageSetup">
    <w:name w:val="SpeedLegal Page Setup"/>
    <w:rsid w:val="00D01563"/>
    <w:pPr>
      <w:spacing w:after="200" w:line="276" w:lineRule="auto"/>
    </w:pPr>
    <w:rPr>
      <w:lang w:val="en-GB" w:eastAsia="en-GB"/>
    </w:rPr>
  </w:style>
  <w:style w:type="paragraph" w:customStyle="1" w:styleId="TitlePB">
    <w:name w:val="Title PB"/>
    <w:basedOn w:val="Title"/>
    <w:next w:val="BodyText"/>
    <w:rsid w:val="00D01563"/>
    <w:pPr>
      <w:pageBreakBefore/>
    </w:pPr>
  </w:style>
  <w:style w:type="paragraph" w:customStyle="1" w:styleId="DraftingNote1">
    <w:name w:val="Drafting Note 1"/>
    <w:basedOn w:val="DraftingNoteParagraph"/>
    <w:rsid w:val="004D24C5"/>
    <w:pPr>
      <w:numPr>
        <w:numId w:val="33"/>
      </w:numPr>
    </w:pPr>
  </w:style>
  <w:style w:type="paragraph" w:customStyle="1" w:styleId="BodyText0ptSpaceAfter">
    <w:name w:val="Body Text 0 pt Space After"/>
    <w:basedOn w:val="BodyText"/>
    <w:rsid w:val="00D01563"/>
    <w:pPr>
      <w:spacing w:after="0"/>
    </w:pPr>
  </w:style>
  <w:style w:type="paragraph" w:customStyle="1" w:styleId="BodyText4">
    <w:name w:val="Body Text 4"/>
    <w:basedOn w:val="BodyText3"/>
    <w:rsid w:val="00D01563"/>
    <w:pPr>
      <w:ind w:left="2126"/>
    </w:pPr>
  </w:style>
  <w:style w:type="paragraph" w:customStyle="1" w:styleId="BodyText5">
    <w:name w:val="Body Text 5"/>
    <w:basedOn w:val="BodyText4"/>
    <w:rsid w:val="00D01563"/>
    <w:pPr>
      <w:ind w:left="2835"/>
    </w:pPr>
  </w:style>
  <w:style w:type="paragraph" w:customStyle="1" w:styleId="HeadingText1">
    <w:name w:val="Heading Text 1"/>
    <w:next w:val="BodyText"/>
    <w:rsid w:val="00D01563"/>
    <w:pPr>
      <w:keepNext/>
      <w:spacing w:before="240" w:after="60"/>
      <w:outlineLvl w:val="0"/>
    </w:pPr>
    <w:rPr>
      <w:rFonts w:ascii="Arial" w:hAnsi="Arial" w:cs="Arial"/>
      <w:b/>
      <w:sz w:val="32"/>
      <w:szCs w:val="32"/>
      <w:lang w:val="en-GB" w:eastAsia="en-GB"/>
    </w:rPr>
  </w:style>
  <w:style w:type="paragraph" w:customStyle="1" w:styleId="HeadingTextPB">
    <w:name w:val="Heading Text PB"/>
    <w:basedOn w:val="HeadingText1"/>
    <w:rsid w:val="00D01563"/>
    <w:pPr>
      <w:pageBreakBefore/>
    </w:pPr>
  </w:style>
  <w:style w:type="paragraph" w:customStyle="1" w:styleId="HeadingText2">
    <w:name w:val="Heading Text 2"/>
    <w:basedOn w:val="HeadingText1"/>
    <w:next w:val="BodyText"/>
    <w:rsid w:val="00D01563"/>
    <w:pPr>
      <w:outlineLvl w:val="1"/>
    </w:pPr>
    <w:rPr>
      <w:i/>
      <w:sz w:val="28"/>
      <w:szCs w:val="28"/>
    </w:rPr>
  </w:style>
  <w:style w:type="paragraph" w:customStyle="1" w:styleId="HeadingText3">
    <w:name w:val="Heading Text 3"/>
    <w:basedOn w:val="HeadingText2"/>
    <w:next w:val="BodyText"/>
    <w:rsid w:val="00D01563"/>
    <w:pPr>
      <w:outlineLvl w:val="2"/>
    </w:pPr>
    <w:rPr>
      <w:sz w:val="24"/>
      <w:szCs w:val="24"/>
    </w:rPr>
  </w:style>
  <w:style w:type="paragraph" w:customStyle="1" w:styleId="HeadingText4">
    <w:name w:val="Heading Text 4"/>
    <w:basedOn w:val="HeadingText3"/>
    <w:next w:val="BodyText"/>
    <w:rsid w:val="00D01563"/>
    <w:pPr>
      <w:outlineLvl w:val="3"/>
    </w:pPr>
  </w:style>
  <w:style w:type="paragraph" w:customStyle="1" w:styleId="OutlineNumber1">
    <w:name w:val="Outline Number 1"/>
    <w:next w:val="BodyText2"/>
    <w:rsid w:val="004D24C5"/>
    <w:pPr>
      <w:numPr>
        <w:numId w:val="16"/>
      </w:numPr>
      <w:spacing w:after="120"/>
    </w:pPr>
    <w:rPr>
      <w:sz w:val="24"/>
      <w:szCs w:val="24"/>
      <w:lang w:val="en-GB" w:eastAsia="en-GB"/>
    </w:rPr>
  </w:style>
  <w:style w:type="paragraph" w:customStyle="1" w:styleId="OutlineNumber2">
    <w:name w:val="Outline Number 2"/>
    <w:basedOn w:val="OutlineNumber1"/>
    <w:next w:val="BodyText2"/>
    <w:rsid w:val="004D24C5"/>
    <w:pPr>
      <w:numPr>
        <w:ilvl w:val="1"/>
      </w:numPr>
      <w:tabs>
        <w:tab w:val="num" w:pos="1418"/>
        <w:tab w:val="num" w:pos="1800"/>
      </w:tabs>
      <w:ind w:left="1800" w:hanging="360"/>
    </w:pPr>
  </w:style>
  <w:style w:type="paragraph" w:customStyle="1" w:styleId="OutlineNumber3">
    <w:name w:val="Outline Number 3"/>
    <w:basedOn w:val="OutlineNumber2"/>
    <w:next w:val="BodyText3"/>
    <w:rsid w:val="004D24C5"/>
    <w:pPr>
      <w:numPr>
        <w:ilvl w:val="2"/>
      </w:numPr>
      <w:tabs>
        <w:tab w:val="clear" w:pos="1418"/>
        <w:tab w:val="num" w:pos="709"/>
      </w:tabs>
      <w:ind w:hanging="360"/>
    </w:pPr>
  </w:style>
  <w:style w:type="paragraph" w:customStyle="1" w:styleId="OutlineNumber4">
    <w:name w:val="Outline Number 4"/>
    <w:basedOn w:val="OutlineNumber3"/>
    <w:next w:val="BodyText4"/>
    <w:rsid w:val="004D24C5"/>
    <w:pPr>
      <w:numPr>
        <w:ilvl w:val="3"/>
      </w:numPr>
      <w:tabs>
        <w:tab w:val="num" w:pos="709"/>
        <w:tab w:val="num" w:pos="1800"/>
      </w:tabs>
    </w:pPr>
  </w:style>
  <w:style w:type="paragraph" w:customStyle="1" w:styleId="OutlineNumber5">
    <w:name w:val="Outline Number 5"/>
    <w:basedOn w:val="OutlineNumber4"/>
    <w:next w:val="BodyText5"/>
    <w:rsid w:val="004D24C5"/>
    <w:pPr>
      <w:numPr>
        <w:ilvl w:val="4"/>
      </w:numPr>
      <w:tabs>
        <w:tab w:val="num" w:pos="709"/>
        <w:tab w:val="num" w:pos="1800"/>
      </w:tabs>
    </w:pPr>
  </w:style>
  <w:style w:type="paragraph" w:customStyle="1" w:styleId="LineAboveandBelow">
    <w:name w:val="Line Above and Below"/>
    <w:rsid w:val="00D01563"/>
    <w:pPr>
      <w:pBdr>
        <w:top w:val="single" w:sz="4" w:space="3" w:color="auto"/>
        <w:bottom w:val="single" w:sz="4" w:space="3" w:color="auto"/>
      </w:pBdr>
      <w:jc w:val="both"/>
    </w:pPr>
    <w:rPr>
      <w:rFonts w:ascii="Arial" w:hAnsi="Arial" w:cs="Arial"/>
      <w:lang w:val="en-GB" w:eastAsia="en-GB"/>
    </w:rPr>
  </w:style>
  <w:style w:type="paragraph" w:customStyle="1" w:styleId="LineBelow">
    <w:name w:val="Line Below"/>
    <w:rsid w:val="00D01563"/>
    <w:pPr>
      <w:pBdr>
        <w:bottom w:val="single" w:sz="4" w:space="3" w:color="auto"/>
      </w:pBdr>
      <w:jc w:val="both"/>
    </w:pPr>
    <w:rPr>
      <w:rFonts w:ascii="Arial" w:hAnsi="Arial" w:cs="Arial"/>
      <w:lang w:val="en-GB" w:eastAsia="en-GB"/>
    </w:rPr>
  </w:style>
  <w:style w:type="character" w:customStyle="1" w:styleId="NoteBody-a">
    <w:name w:val="NoteBody-a"/>
    <w:rsid w:val="00D01563"/>
    <w:rPr>
      <w:rFonts w:ascii="Arial" w:hAnsi="Arial"/>
      <w:sz w:val="20"/>
      <w:u w:val="single"/>
    </w:rPr>
  </w:style>
  <w:style w:type="character" w:customStyle="1" w:styleId="NoteBody-b">
    <w:name w:val="NoteBody-b"/>
    <w:rsid w:val="00D01563"/>
    <w:rPr>
      <w:rFonts w:ascii="Arial" w:hAnsi="Arial"/>
      <w:b/>
      <w:sz w:val="20"/>
      <w:u w:val="none"/>
    </w:rPr>
  </w:style>
  <w:style w:type="character" w:customStyle="1" w:styleId="NoteBody-i">
    <w:name w:val="NoteBody-i"/>
    <w:rsid w:val="00D01563"/>
    <w:rPr>
      <w:rFonts w:ascii="Arial" w:hAnsi="Arial"/>
      <w:i/>
      <w:sz w:val="20"/>
      <w:u w:val="none"/>
    </w:rPr>
  </w:style>
  <w:style w:type="character" w:customStyle="1" w:styleId="Bold">
    <w:name w:val="Bold"/>
    <w:rsid w:val="00D01563"/>
    <w:rPr>
      <w:rFonts w:ascii="Arial" w:hAnsi="Arial"/>
      <w:b/>
      <w:sz w:val="20"/>
      <w:u w:val="none"/>
    </w:rPr>
  </w:style>
  <w:style w:type="character" w:customStyle="1" w:styleId="BoldItalics">
    <w:name w:val="Bold Italics"/>
    <w:rsid w:val="00D01563"/>
    <w:rPr>
      <w:rFonts w:ascii="Arial" w:hAnsi="Arial"/>
      <w:b/>
      <w:i/>
      <w:sz w:val="20"/>
      <w:u w:val="none"/>
    </w:rPr>
  </w:style>
  <w:style w:type="character" w:customStyle="1" w:styleId="BoldItalicsUnderline">
    <w:name w:val="Bold Italics Underline"/>
    <w:rsid w:val="00D01563"/>
    <w:rPr>
      <w:rFonts w:ascii="Arial" w:hAnsi="Arial"/>
      <w:b/>
      <w:i/>
      <w:sz w:val="20"/>
      <w:u w:val="single"/>
    </w:rPr>
  </w:style>
  <w:style w:type="character" w:customStyle="1" w:styleId="BoldUnderline">
    <w:name w:val="Bold Underline"/>
    <w:rsid w:val="00D01563"/>
    <w:rPr>
      <w:rFonts w:ascii="Arial" w:hAnsi="Arial"/>
      <w:b/>
      <w:sz w:val="20"/>
      <w:u w:val="single"/>
    </w:rPr>
  </w:style>
  <w:style w:type="character" w:customStyle="1" w:styleId="Italics">
    <w:name w:val="Italics"/>
    <w:rsid w:val="00D01563"/>
    <w:rPr>
      <w:rFonts w:ascii="Arial" w:hAnsi="Arial"/>
      <w:i/>
      <w:sz w:val="20"/>
      <w:u w:val="none"/>
    </w:rPr>
  </w:style>
  <w:style w:type="character" w:customStyle="1" w:styleId="ItalicsUnderline">
    <w:name w:val="Italics Underline"/>
    <w:rsid w:val="00D01563"/>
    <w:rPr>
      <w:rFonts w:ascii="Arial" w:hAnsi="Arial"/>
      <w:i/>
      <w:sz w:val="20"/>
      <w:u w:val="single"/>
    </w:rPr>
  </w:style>
  <w:style w:type="character" w:customStyle="1" w:styleId="Subscript">
    <w:name w:val="Subscript"/>
    <w:rsid w:val="00D01563"/>
    <w:rPr>
      <w:rFonts w:ascii="Arial" w:hAnsi="Arial"/>
      <w:sz w:val="20"/>
      <w:u w:val="none"/>
      <w:vertAlign w:val="subscript"/>
    </w:rPr>
  </w:style>
  <w:style w:type="character" w:customStyle="1" w:styleId="Superscript">
    <w:name w:val="Superscript"/>
    <w:rsid w:val="00D01563"/>
    <w:rPr>
      <w:rFonts w:ascii="Arial" w:hAnsi="Arial"/>
      <w:sz w:val="20"/>
      <w:u w:val="none"/>
      <w:vertAlign w:val="superscript"/>
    </w:rPr>
  </w:style>
  <w:style w:type="character" w:customStyle="1" w:styleId="Underline">
    <w:name w:val="Underline"/>
    <w:rsid w:val="00D01563"/>
    <w:rPr>
      <w:rFonts w:ascii="Arial" w:hAnsi="Arial"/>
      <w:sz w:val="20"/>
      <w:u w:val="single"/>
    </w:rPr>
  </w:style>
  <w:style w:type="paragraph" w:customStyle="1" w:styleId="SummaryHeading">
    <w:name w:val="Summary Heading"/>
    <w:rsid w:val="00D01563"/>
    <w:pPr>
      <w:pBdr>
        <w:bottom w:val="single" w:sz="4" w:space="4" w:color="auto"/>
      </w:pBdr>
      <w:spacing w:before="120" w:after="120"/>
      <w:jc w:val="center"/>
    </w:pPr>
    <w:rPr>
      <w:rFonts w:ascii="Arial" w:hAnsi="Arial" w:cs="Arial"/>
      <w:b/>
      <w:sz w:val="24"/>
      <w:szCs w:val="24"/>
      <w:lang w:val="en-GB" w:eastAsia="en-GB"/>
    </w:rPr>
  </w:style>
  <w:style w:type="paragraph" w:customStyle="1" w:styleId="SummaryTopic">
    <w:name w:val="Summary Topic"/>
    <w:rsid w:val="00D01563"/>
    <w:pPr>
      <w:keepNext/>
      <w:spacing w:before="280" w:after="120"/>
    </w:pPr>
    <w:rPr>
      <w:rFonts w:ascii="Arial" w:hAnsi="Arial" w:cs="Arial"/>
      <w:b/>
      <w:sz w:val="24"/>
      <w:szCs w:val="24"/>
      <w:lang w:val="en-GB" w:eastAsia="en-GB"/>
    </w:rPr>
  </w:style>
  <w:style w:type="paragraph" w:customStyle="1" w:styleId="SummaryQuestion">
    <w:name w:val="Summary Question"/>
    <w:rsid w:val="00D01563"/>
    <w:pPr>
      <w:keepNext/>
      <w:spacing w:before="120" w:after="120"/>
    </w:pPr>
    <w:rPr>
      <w:rFonts w:ascii="Arial" w:hAnsi="Arial" w:cs="Arial"/>
      <w:sz w:val="18"/>
      <w:szCs w:val="18"/>
      <w:lang w:val="en-GB" w:eastAsia="en-GB"/>
    </w:rPr>
  </w:style>
  <w:style w:type="paragraph" w:customStyle="1" w:styleId="SummaryAnswer">
    <w:name w:val="Summary Answer"/>
    <w:rsid w:val="00D01563"/>
    <w:pPr>
      <w:spacing w:before="120" w:after="120"/>
      <w:ind w:left="709"/>
    </w:pPr>
    <w:rPr>
      <w:rFonts w:ascii="Arial" w:hAnsi="Arial" w:cs="Arial"/>
      <w:i/>
      <w:sz w:val="18"/>
      <w:szCs w:val="18"/>
      <w:lang w:val="en-GB" w:eastAsia="en-GB"/>
    </w:rPr>
  </w:style>
  <w:style w:type="paragraph" w:customStyle="1" w:styleId="NoteTitle">
    <w:name w:val="Note Title"/>
    <w:rsid w:val="00D01563"/>
    <w:pPr>
      <w:keepNext/>
      <w:keepLines/>
      <w:pBdr>
        <w:top w:val="single" w:sz="8" w:space="4" w:color="auto"/>
        <w:left w:val="single" w:sz="8" w:space="4" w:color="auto"/>
        <w:right w:val="single" w:sz="8" w:space="4" w:color="auto"/>
      </w:pBdr>
      <w:shd w:val="solid" w:color="99CC00" w:fill="auto"/>
      <w:spacing w:before="160" w:line="360" w:lineRule="auto"/>
      <w:ind w:left="851" w:right="851"/>
    </w:pPr>
    <w:rPr>
      <w:rFonts w:ascii="Arial" w:hAnsi="Arial" w:cs="Arial"/>
      <w:b/>
      <w:sz w:val="16"/>
      <w:szCs w:val="16"/>
      <w:lang w:val="en-GB" w:eastAsia="en-GB"/>
    </w:rPr>
  </w:style>
  <w:style w:type="paragraph" w:customStyle="1" w:styleId="NoteBody">
    <w:name w:val="Note Body"/>
    <w:next w:val="E-mailSignature"/>
    <w:rsid w:val="00D01563"/>
    <w:pPr>
      <w:keepNext/>
      <w:pBdr>
        <w:left w:val="single" w:sz="8" w:space="4" w:color="auto"/>
        <w:bottom w:val="single" w:sz="8" w:space="4" w:color="auto"/>
        <w:right w:val="single" w:sz="8" w:space="4" w:color="auto"/>
      </w:pBdr>
      <w:shd w:val="solid" w:color="99CC00" w:fill="auto"/>
      <w:spacing w:after="160"/>
      <w:ind w:left="851" w:right="851"/>
    </w:pPr>
    <w:rPr>
      <w:rFonts w:ascii="Arial" w:hAnsi="Arial" w:cs="Arial"/>
      <w:sz w:val="16"/>
      <w:szCs w:val="16"/>
      <w:lang w:val="en-GB" w:eastAsia="en-GB"/>
    </w:rPr>
  </w:style>
  <w:style w:type="paragraph" w:customStyle="1" w:styleId="SmartModuleExternalsSectionHeading">
    <w:name w:val="SmartModule Externals Section Heading"/>
    <w:next w:val="HTMLAddress"/>
    <w:rsid w:val="00D01563"/>
    <w:pPr>
      <w:spacing w:before="1000" w:after="120"/>
    </w:pPr>
    <w:rPr>
      <w:rFonts w:ascii="Arial" w:hAnsi="Arial" w:cs="Arial"/>
      <w:b/>
      <w:sz w:val="24"/>
      <w:szCs w:val="24"/>
      <w:lang w:val="en-GB" w:eastAsia="en-GB"/>
    </w:rPr>
  </w:style>
  <w:style w:type="paragraph" w:customStyle="1" w:styleId="DraftingNote2">
    <w:name w:val="Drafting Note 2"/>
    <w:basedOn w:val="DraftingNoteParagraph"/>
    <w:rsid w:val="00D01563"/>
    <w:pPr>
      <w:numPr>
        <w:ilvl w:val="1"/>
        <w:numId w:val="34"/>
      </w:numPr>
    </w:pPr>
  </w:style>
  <w:style w:type="paragraph" w:customStyle="1" w:styleId="InvisibleComment">
    <w:name w:val="Invisible Comment"/>
    <w:basedOn w:val="BodyText"/>
    <w:next w:val="BodyText"/>
    <w:link w:val="InvisibleCommentChar"/>
    <w:rsid w:val="00D01563"/>
    <w:rPr>
      <w:b/>
      <w:color w:val="FF0000"/>
    </w:rPr>
  </w:style>
  <w:style w:type="paragraph" w:customStyle="1" w:styleId="PleadingsNormal">
    <w:name w:val="Pleadings Normal"/>
    <w:rsid w:val="00D01563"/>
    <w:pPr>
      <w:jc w:val="both"/>
    </w:pPr>
    <w:rPr>
      <w:rFonts w:ascii="Arial" w:hAnsi="Arial" w:cs="Arial"/>
      <w:sz w:val="22"/>
      <w:szCs w:val="22"/>
      <w:lang w:val="en-GB" w:eastAsia="en-GB"/>
    </w:rPr>
  </w:style>
  <w:style w:type="paragraph" w:customStyle="1" w:styleId="PleadingsBodyText">
    <w:name w:val="Pleadings Body Text"/>
    <w:basedOn w:val="PleadingsNormal"/>
    <w:rsid w:val="00D01563"/>
    <w:pPr>
      <w:spacing w:after="240" w:line="360" w:lineRule="auto"/>
    </w:pPr>
  </w:style>
  <w:style w:type="paragraph" w:customStyle="1" w:styleId="Annex">
    <w:name w:val="Annex"/>
    <w:next w:val="Normal"/>
    <w:rsid w:val="004D24C5"/>
    <w:pPr>
      <w:keepNext/>
      <w:numPr>
        <w:numId w:val="18"/>
      </w:numPr>
      <w:tabs>
        <w:tab w:val="num" w:pos="720"/>
      </w:tabs>
      <w:spacing w:after="240"/>
      <w:ind w:left="720" w:hanging="720"/>
      <w:jc w:val="center"/>
    </w:pPr>
    <w:rPr>
      <w:rFonts w:ascii="Arial" w:hAnsi="Arial" w:cs="Arial"/>
      <w:b/>
      <w:caps/>
      <w:lang w:val="en-GB" w:eastAsia="en-GB"/>
    </w:rPr>
  </w:style>
  <w:style w:type="paragraph" w:customStyle="1" w:styleId="ArtsHeading1">
    <w:name w:val="Arts Heading 1"/>
    <w:rsid w:val="00D01563"/>
    <w:pPr>
      <w:spacing w:after="240"/>
      <w:jc w:val="center"/>
    </w:pPr>
    <w:rPr>
      <w:rFonts w:ascii="Arial" w:hAnsi="Arial" w:cs="Arial"/>
      <w:b/>
      <w:caps/>
      <w:lang w:val="en-GB" w:eastAsia="en-GB"/>
    </w:rPr>
  </w:style>
  <w:style w:type="paragraph" w:customStyle="1" w:styleId="PleadingsHeader">
    <w:name w:val="Pleadings Header"/>
    <w:basedOn w:val="PleadingsNormal"/>
    <w:rsid w:val="00D01563"/>
    <w:rPr>
      <w:caps/>
    </w:rPr>
  </w:style>
  <w:style w:type="paragraph" w:customStyle="1" w:styleId="PleadingsTitle">
    <w:name w:val="Pleadings Title"/>
    <w:basedOn w:val="PleadingsNormal"/>
    <w:rsid w:val="00D01563"/>
    <w:pPr>
      <w:spacing w:after="480"/>
      <w:jc w:val="center"/>
    </w:pPr>
    <w:rPr>
      <w:b/>
      <w:caps/>
    </w:rPr>
  </w:style>
  <w:style w:type="paragraph" w:customStyle="1" w:styleId="PleadingsSubtitle">
    <w:name w:val="Pleadings Subtitle"/>
    <w:basedOn w:val="PleadingsNormal"/>
    <w:next w:val="PleadingsBodyText"/>
    <w:rsid w:val="00D01563"/>
    <w:pPr>
      <w:spacing w:after="240"/>
      <w:jc w:val="center"/>
    </w:pPr>
    <w:rPr>
      <w:b/>
      <w:caps/>
    </w:rPr>
  </w:style>
  <w:style w:type="paragraph" w:customStyle="1" w:styleId="FrontSheetRef">
    <w:name w:val="FrontSheetRef"/>
    <w:rsid w:val="00D01563"/>
    <w:pPr>
      <w:jc w:val="center"/>
    </w:pPr>
    <w:rPr>
      <w:rFonts w:ascii="Arial Bold" w:hAnsi="Arial Bold" w:cs="Arial Bold"/>
      <w:b/>
      <w:caps/>
      <w:lang w:val="en-GB" w:eastAsia="en-GB"/>
    </w:rPr>
  </w:style>
  <w:style w:type="paragraph" w:customStyle="1" w:styleId="FrontSheetParties">
    <w:name w:val="FrontSheetParties"/>
    <w:basedOn w:val="BodyText"/>
    <w:rsid w:val="004D24C5"/>
    <w:pPr>
      <w:numPr>
        <w:numId w:val="32"/>
      </w:numPr>
      <w:spacing w:after="0"/>
      <w:jc w:val="center"/>
    </w:pPr>
    <w:rPr>
      <w:rFonts w:ascii="Arial Bold" w:hAnsi="Arial Bold" w:cs="Arial Bold"/>
      <w:b/>
      <w:caps/>
    </w:rPr>
  </w:style>
  <w:style w:type="paragraph" w:customStyle="1" w:styleId="BodyBoldCent">
    <w:name w:val="BodyBoldCent"/>
    <w:basedOn w:val="BodyText"/>
    <w:link w:val="BodyBoldCentChar"/>
    <w:rsid w:val="00D01563"/>
    <w:pPr>
      <w:jc w:val="center"/>
    </w:pPr>
    <w:rPr>
      <w:rFonts w:cs="Times New Roman"/>
      <w:b/>
      <w:caps/>
      <w:lang w:val="en-US"/>
    </w:rPr>
  </w:style>
  <w:style w:type="paragraph" w:customStyle="1" w:styleId="TableofContentsHeader">
    <w:name w:val="Table of Contents Header"/>
    <w:basedOn w:val="BodyText"/>
    <w:rsid w:val="00D01563"/>
    <w:rPr>
      <w:b/>
      <w:caps/>
    </w:rPr>
  </w:style>
  <w:style w:type="paragraph" w:customStyle="1" w:styleId="NormBoldCentCaps">
    <w:name w:val="NormBoldCentCaps"/>
    <w:next w:val="BodyText"/>
    <w:rsid w:val="00D01563"/>
    <w:pPr>
      <w:jc w:val="center"/>
    </w:pPr>
    <w:rPr>
      <w:rFonts w:ascii="Arial" w:hAnsi="Arial" w:cs="Arial"/>
      <w:b/>
      <w:caps/>
      <w:lang w:val="en-GB" w:eastAsia="en-GB"/>
    </w:rPr>
  </w:style>
  <w:style w:type="paragraph" w:customStyle="1" w:styleId="MemTOC">
    <w:name w:val="MemTOC"/>
    <w:next w:val="Normal"/>
    <w:rsid w:val="00D01563"/>
    <w:pPr>
      <w:keepNext/>
      <w:spacing w:before="240" w:after="240"/>
      <w:jc w:val="center"/>
    </w:pPr>
    <w:rPr>
      <w:rFonts w:ascii="Arial" w:hAnsi="Arial" w:cs="Arial"/>
      <w:b/>
      <w:caps/>
      <w:lang w:val="en-GB" w:eastAsia="en-GB"/>
    </w:rPr>
  </w:style>
  <w:style w:type="paragraph" w:customStyle="1" w:styleId="CompanyName">
    <w:name w:val="Company Name"/>
    <w:rsid w:val="00D01563"/>
    <w:pPr>
      <w:keepLines/>
      <w:spacing w:before="120" w:after="120"/>
      <w:jc w:val="center"/>
    </w:pPr>
    <w:rPr>
      <w:rFonts w:ascii="Arial" w:hAnsi="Arial" w:cs="Arial"/>
      <w:b/>
      <w:caps/>
      <w:sz w:val="28"/>
      <w:szCs w:val="28"/>
      <w:lang w:val="en-GB" w:eastAsia="en-GB"/>
    </w:rPr>
  </w:style>
  <w:style w:type="paragraph" w:customStyle="1" w:styleId="MemArts">
    <w:name w:val="MemArts"/>
    <w:rsid w:val="00D01563"/>
    <w:pPr>
      <w:spacing w:after="240"/>
      <w:jc w:val="center"/>
    </w:pPr>
    <w:rPr>
      <w:rFonts w:ascii="Arial" w:hAnsi="Arial" w:cs="Arial"/>
      <w:b/>
      <w:caps/>
      <w:sz w:val="28"/>
      <w:szCs w:val="28"/>
      <w:lang w:val="en-GB" w:eastAsia="en-GB"/>
    </w:rPr>
  </w:style>
  <w:style w:type="paragraph" w:customStyle="1" w:styleId="ArtsLevel3">
    <w:name w:val="Arts Level 3"/>
    <w:next w:val="ArtsLevel2"/>
    <w:rsid w:val="00D01563"/>
    <w:pPr>
      <w:tabs>
        <w:tab w:val="num" w:pos="2160"/>
      </w:tabs>
      <w:spacing w:after="240"/>
      <w:ind w:left="2160" w:hanging="720"/>
      <w:jc w:val="both"/>
    </w:pPr>
    <w:rPr>
      <w:rFonts w:ascii="Arial" w:hAnsi="Arial" w:cs="Arial"/>
      <w:lang w:val="en-GB" w:eastAsia="en-GB"/>
    </w:rPr>
  </w:style>
  <w:style w:type="paragraph" w:customStyle="1" w:styleId="ArtsLevel2">
    <w:name w:val="Arts Level 2"/>
    <w:rsid w:val="00D01563"/>
    <w:pPr>
      <w:tabs>
        <w:tab w:val="num" w:pos="1440"/>
      </w:tabs>
      <w:spacing w:after="240"/>
      <w:ind w:left="1440" w:hanging="720"/>
      <w:jc w:val="both"/>
    </w:pPr>
    <w:rPr>
      <w:rFonts w:ascii="Arial" w:hAnsi="Arial" w:cs="Arial"/>
      <w:lang w:val="en-GB" w:eastAsia="en-GB"/>
    </w:rPr>
  </w:style>
  <w:style w:type="paragraph" w:customStyle="1" w:styleId="Matter">
    <w:name w:val="Matter"/>
    <w:basedOn w:val="BodyBoldCent"/>
    <w:rsid w:val="00D01563"/>
    <w:pPr>
      <w:spacing w:after="720"/>
    </w:pPr>
    <w:rPr>
      <w:sz w:val="24"/>
      <w:szCs w:val="24"/>
    </w:rPr>
  </w:style>
  <w:style w:type="paragraph" w:customStyle="1" w:styleId="Companies">
    <w:name w:val="Companies"/>
    <w:rsid w:val="00D01563"/>
    <w:pPr>
      <w:spacing w:after="240"/>
      <w:jc w:val="center"/>
    </w:pPr>
    <w:rPr>
      <w:rFonts w:ascii="Arial" w:hAnsi="Arial" w:cs="Arial"/>
      <w:b/>
      <w:caps/>
      <w:sz w:val="28"/>
      <w:szCs w:val="28"/>
      <w:u w:val="single"/>
      <w:lang w:val="en-GB" w:eastAsia="en-GB"/>
    </w:rPr>
  </w:style>
  <w:style w:type="paragraph" w:customStyle="1" w:styleId="CoLtdby">
    <w:name w:val="Co Ltd by"/>
    <w:basedOn w:val="Heading5"/>
    <w:rsid w:val="00D01563"/>
    <w:pPr>
      <w:keepNext/>
      <w:jc w:val="center"/>
    </w:pPr>
    <w:rPr>
      <w:b/>
      <w:caps/>
      <w:u w:val="single"/>
    </w:rPr>
  </w:style>
  <w:style w:type="paragraph" w:customStyle="1" w:styleId="Parties">
    <w:name w:val="Parties"/>
    <w:rsid w:val="004D24C5"/>
    <w:pPr>
      <w:numPr>
        <w:numId w:val="19"/>
      </w:numPr>
      <w:spacing w:after="240"/>
      <w:jc w:val="both"/>
    </w:pPr>
    <w:rPr>
      <w:rFonts w:ascii="Arial" w:hAnsi="Arial" w:cs="Arial"/>
      <w:lang w:val="en-GB" w:eastAsia="en-GB"/>
    </w:rPr>
  </w:style>
  <w:style w:type="paragraph" w:customStyle="1" w:styleId="Recital">
    <w:name w:val="Recital"/>
    <w:rsid w:val="004D24C5"/>
    <w:pPr>
      <w:numPr>
        <w:numId w:val="20"/>
      </w:numPr>
      <w:spacing w:after="240"/>
      <w:jc w:val="both"/>
    </w:pPr>
    <w:rPr>
      <w:rFonts w:ascii="Arial" w:hAnsi="Arial" w:cs="Arial"/>
      <w:lang w:val="en-GB" w:eastAsia="en-GB"/>
    </w:rPr>
  </w:style>
  <w:style w:type="paragraph" w:customStyle="1" w:styleId="Schedule">
    <w:name w:val="Schedule"/>
    <w:next w:val="Normal"/>
    <w:rsid w:val="004D24C5"/>
    <w:pPr>
      <w:keepNext/>
      <w:numPr>
        <w:numId w:val="21"/>
      </w:numPr>
      <w:tabs>
        <w:tab w:val="num" w:pos="360"/>
      </w:tabs>
      <w:spacing w:after="240"/>
      <w:jc w:val="center"/>
    </w:pPr>
    <w:rPr>
      <w:rFonts w:ascii="Arial" w:hAnsi="Arial" w:cs="Arial"/>
      <w:b/>
      <w:caps/>
      <w:lang w:val="en-GB" w:eastAsia="en-GB"/>
    </w:rPr>
  </w:style>
  <w:style w:type="paragraph" w:customStyle="1" w:styleId="MemLevel1">
    <w:name w:val="MemLevel1"/>
    <w:rsid w:val="004D24C5"/>
    <w:pPr>
      <w:numPr>
        <w:numId w:val="22"/>
      </w:numPr>
      <w:spacing w:after="240"/>
      <w:jc w:val="both"/>
      <w:outlineLvl w:val="0"/>
    </w:pPr>
    <w:rPr>
      <w:rFonts w:ascii="Arial" w:hAnsi="Arial" w:cs="Arial"/>
      <w:lang w:val="en-GB" w:eastAsia="en-GB"/>
    </w:rPr>
  </w:style>
  <w:style w:type="paragraph" w:customStyle="1" w:styleId="ArtsLevel1">
    <w:name w:val="Arts Level 1"/>
    <w:rsid w:val="00D01563"/>
    <w:pPr>
      <w:tabs>
        <w:tab w:val="num" w:pos="720"/>
      </w:tabs>
      <w:spacing w:after="240"/>
      <w:ind w:left="720" w:hanging="720"/>
      <w:jc w:val="both"/>
    </w:pPr>
    <w:rPr>
      <w:rFonts w:ascii="Arial" w:hAnsi="Arial" w:cs="Arial"/>
      <w:lang w:val="en-GB" w:eastAsia="en-GB"/>
    </w:rPr>
  </w:style>
  <w:style w:type="paragraph" w:customStyle="1" w:styleId="Basic1">
    <w:name w:val="Basic 1"/>
    <w:link w:val="Basic1CharChar"/>
    <w:rsid w:val="004D24C5"/>
    <w:pPr>
      <w:numPr>
        <w:numId w:val="25"/>
      </w:numPr>
      <w:spacing w:after="240"/>
      <w:jc w:val="both"/>
      <w:outlineLvl w:val="0"/>
    </w:pPr>
    <w:rPr>
      <w:rFonts w:ascii="Arial" w:hAnsi="Arial"/>
      <w:kern w:val="28"/>
    </w:rPr>
  </w:style>
  <w:style w:type="paragraph" w:customStyle="1" w:styleId="Basic2">
    <w:name w:val="Basic 2"/>
    <w:rsid w:val="00D01563"/>
    <w:pPr>
      <w:numPr>
        <w:ilvl w:val="1"/>
        <w:numId w:val="25"/>
      </w:numPr>
      <w:spacing w:after="240"/>
      <w:jc w:val="both"/>
      <w:outlineLvl w:val="1"/>
    </w:pPr>
    <w:rPr>
      <w:rFonts w:ascii="Arial" w:hAnsi="Arial" w:cs="Arial"/>
      <w:lang w:val="en-GB" w:eastAsia="en-GB"/>
    </w:rPr>
  </w:style>
  <w:style w:type="paragraph" w:customStyle="1" w:styleId="Basic3">
    <w:name w:val="Basic 3"/>
    <w:rsid w:val="00D01563"/>
    <w:pPr>
      <w:numPr>
        <w:ilvl w:val="2"/>
        <w:numId w:val="25"/>
      </w:numPr>
      <w:spacing w:after="240"/>
      <w:jc w:val="both"/>
      <w:outlineLvl w:val="2"/>
    </w:pPr>
    <w:rPr>
      <w:rFonts w:ascii="Arial" w:hAnsi="Arial" w:cs="Arial"/>
      <w:lang w:val="en-GB" w:eastAsia="en-GB"/>
    </w:rPr>
  </w:style>
  <w:style w:type="paragraph" w:customStyle="1" w:styleId="BodyTextIndent10">
    <w:name w:val="Body Text Indent 1.0"/>
    <w:basedOn w:val="BodyText"/>
    <w:rsid w:val="00D01563"/>
    <w:pPr>
      <w:ind w:left="1440"/>
    </w:pPr>
  </w:style>
  <w:style w:type="paragraph" w:customStyle="1" w:styleId="BodyTextIndent15">
    <w:name w:val="Body Text Indent 1.5"/>
    <w:basedOn w:val="BodyText"/>
    <w:rsid w:val="00D01563"/>
    <w:pPr>
      <w:ind w:left="2160"/>
    </w:pPr>
  </w:style>
  <w:style w:type="paragraph" w:customStyle="1" w:styleId="Basic4">
    <w:name w:val="Basic 4"/>
    <w:rsid w:val="00D01563"/>
    <w:pPr>
      <w:numPr>
        <w:ilvl w:val="3"/>
        <w:numId w:val="25"/>
      </w:numPr>
      <w:spacing w:after="240"/>
      <w:jc w:val="both"/>
      <w:outlineLvl w:val="3"/>
    </w:pPr>
    <w:rPr>
      <w:rFonts w:ascii="Arial" w:hAnsi="Arial" w:cs="Arial"/>
      <w:lang w:val="en-GB" w:eastAsia="en-GB"/>
    </w:rPr>
  </w:style>
  <w:style w:type="paragraph" w:customStyle="1" w:styleId="Basic5">
    <w:name w:val="Basic 5"/>
    <w:rsid w:val="00D01563"/>
    <w:pPr>
      <w:numPr>
        <w:ilvl w:val="4"/>
        <w:numId w:val="25"/>
      </w:numPr>
      <w:spacing w:after="240"/>
      <w:jc w:val="both"/>
      <w:outlineLvl w:val="4"/>
    </w:pPr>
    <w:rPr>
      <w:rFonts w:ascii="Arial" w:hAnsi="Arial" w:cs="Arial"/>
      <w:lang w:val="en-GB" w:eastAsia="en-GB"/>
    </w:rPr>
  </w:style>
  <w:style w:type="paragraph" w:customStyle="1" w:styleId="Basic6">
    <w:name w:val="Basic 6"/>
    <w:basedOn w:val="BodyText"/>
    <w:rsid w:val="00D01563"/>
    <w:pPr>
      <w:numPr>
        <w:ilvl w:val="5"/>
        <w:numId w:val="25"/>
      </w:numPr>
    </w:pPr>
  </w:style>
  <w:style w:type="paragraph" w:customStyle="1" w:styleId="Basic7">
    <w:name w:val="Basic 7"/>
    <w:next w:val="Normal"/>
    <w:rsid w:val="00D01563"/>
    <w:pPr>
      <w:numPr>
        <w:ilvl w:val="6"/>
        <w:numId w:val="23"/>
      </w:numPr>
      <w:spacing w:before="240" w:after="60"/>
      <w:outlineLvl w:val="6"/>
    </w:pPr>
    <w:rPr>
      <w:rFonts w:ascii="Arial" w:hAnsi="Arial" w:cs="Arial"/>
      <w:lang w:val="en-GB" w:eastAsia="en-GB"/>
    </w:rPr>
  </w:style>
  <w:style w:type="paragraph" w:customStyle="1" w:styleId="Basic8">
    <w:name w:val="Basic 8"/>
    <w:next w:val="Normal"/>
    <w:rsid w:val="00D01563"/>
    <w:pPr>
      <w:numPr>
        <w:ilvl w:val="7"/>
        <w:numId w:val="23"/>
      </w:numPr>
      <w:spacing w:before="240" w:after="60"/>
      <w:outlineLvl w:val="7"/>
    </w:pPr>
    <w:rPr>
      <w:rFonts w:ascii="Arial" w:hAnsi="Arial" w:cs="Arial"/>
      <w:lang w:val="en-GB" w:eastAsia="en-GB"/>
    </w:rPr>
  </w:style>
  <w:style w:type="paragraph" w:customStyle="1" w:styleId="Basic9">
    <w:name w:val="Basic 9"/>
    <w:next w:val="Normal"/>
    <w:rsid w:val="00D01563"/>
    <w:pPr>
      <w:numPr>
        <w:ilvl w:val="8"/>
        <w:numId w:val="23"/>
      </w:numPr>
      <w:spacing w:before="240" w:after="60"/>
      <w:outlineLvl w:val="8"/>
    </w:pPr>
    <w:rPr>
      <w:rFonts w:ascii="Arial" w:hAnsi="Arial" w:cs="Arial"/>
      <w:lang w:val="en-GB" w:eastAsia="en-GB"/>
    </w:rPr>
  </w:style>
  <w:style w:type="character" w:customStyle="1" w:styleId="CharChar1">
    <w:name w:val="Char Char1"/>
    <w:locked/>
    <w:rsid w:val="00D01563"/>
    <w:rPr>
      <w:rFonts w:ascii="Arial" w:hAnsi="Arial"/>
      <w:sz w:val="24"/>
      <w:u w:val="none"/>
    </w:rPr>
  </w:style>
  <w:style w:type="character" w:customStyle="1" w:styleId="CharChar">
    <w:name w:val="Char Char"/>
    <w:locked/>
    <w:rsid w:val="00D01563"/>
    <w:rPr>
      <w:rFonts w:ascii="Arial" w:hAnsi="Arial"/>
      <w:sz w:val="24"/>
      <w:u w:val="none"/>
    </w:rPr>
  </w:style>
  <w:style w:type="character" w:customStyle="1" w:styleId="BodyTextIndent15Char">
    <w:name w:val="Body Text Indent 1.5 Char"/>
    <w:locked/>
    <w:rsid w:val="00D01563"/>
    <w:rPr>
      <w:rFonts w:ascii="Arial" w:hAnsi="Arial" w:cs="Arial"/>
      <w:u w:val="none"/>
      <w:lang w:val="en-GB" w:eastAsia="en-GB" w:bidi="ar-SA"/>
    </w:rPr>
  </w:style>
  <w:style w:type="paragraph" w:customStyle="1" w:styleId="TableText">
    <w:name w:val="Table Text"/>
    <w:basedOn w:val="BodyText"/>
    <w:rsid w:val="00D01563"/>
    <w:pPr>
      <w:spacing w:before="120" w:after="120"/>
      <w:jc w:val="left"/>
    </w:pPr>
  </w:style>
  <w:style w:type="paragraph" w:customStyle="1" w:styleId="Signedby">
    <w:name w:val="Signed by"/>
    <w:basedOn w:val="BodyText"/>
    <w:rsid w:val="00D01563"/>
    <w:pPr>
      <w:spacing w:after="0"/>
    </w:pPr>
  </w:style>
  <w:style w:type="paragraph" w:customStyle="1" w:styleId="Company">
    <w:name w:val="Company"/>
    <w:rsid w:val="00D01563"/>
    <w:pPr>
      <w:spacing w:after="240"/>
      <w:jc w:val="both"/>
    </w:pPr>
    <w:rPr>
      <w:rFonts w:ascii="Arial" w:hAnsi="Arial" w:cs="Arial"/>
      <w:b/>
      <w:lang w:val="en-GB" w:eastAsia="en-GB"/>
    </w:rPr>
  </w:style>
  <w:style w:type="paragraph" w:customStyle="1" w:styleId="Name">
    <w:name w:val="Name"/>
    <w:rsid w:val="00D01563"/>
    <w:pPr>
      <w:spacing w:before="960"/>
      <w:jc w:val="both"/>
    </w:pPr>
    <w:rPr>
      <w:rFonts w:ascii="Arial" w:hAnsi="Arial" w:cs="Arial"/>
      <w:lang w:val="en-GB" w:eastAsia="en-GB"/>
    </w:rPr>
  </w:style>
  <w:style w:type="paragraph" w:customStyle="1" w:styleId="FooterLogo">
    <w:name w:val="Footer Logo"/>
    <w:rsid w:val="00D01563"/>
    <w:pPr>
      <w:jc w:val="right"/>
    </w:pPr>
    <w:rPr>
      <w:rFonts w:ascii="Arial" w:hAnsi="Arial" w:cs="Arial"/>
      <w:sz w:val="16"/>
      <w:szCs w:val="16"/>
      <w:lang w:val="en-GB" w:eastAsia="en-GB"/>
    </w:rPr>
  </w:style>
  <w:style w:type="paragraph" w:customStyle="1" w:styleId="Caption22">
    <w:name w:val="Caption 22"/>
    <w:basedOn w:val="BodyText"/>
    <w:rsid w:val="00D01563"/>
    <w:rPr>
      <w:rFonts w:ascii="Century Gothic" w:hAnsi="Century Gothic" w:cs="Century Gothic"/>
      <w:sz w:val="44"/>
      <w:szCs w:val="44"/>
    </w:rPr>
  </w:style>
  <w:style w:type="paragraph" w:customStyle="1" w:styleId="FaxBold">
    <w:name w:val="Fax Bold"/>
    <w:basedOn w:val="BodyText"/>
    <w:rsid w:val="00D01563"/>
    <w:rPr>
      <w:b/>
    </w:rPr>
  </w:style>
  <w:style w:type="paragraph" w:customStyle="1" w:styleId="FaxHeading">
    <w:name w:val="Fax Heading"/>
    <w:rsid w:val="00D01563"/>
    <w:pPr>
      <w:spacing w:before="240" w:after="240"/>
    </w:pPr>
    <w:rPr>
      <w:rFonts w:ascii="Arial" w:hAnsi="Arial" w:cs="Arial"/>
      <w:b/>
      <w:caps/>
      <w:lang w:val="en-GB" w:eastAsia="en-GB"/>
    </w:rPr>
  </w:style>
  <w:style w:type="paragraph" w:customStyle="1" w:styleId="Direct">
    <w:name w:val="Direct"/>
    <w:rsid w:val="00D01563"/>
    <w:pPr>
      <w:jc w:val="both"/>
    </w:pPr>
    <w:rPr>
      <w:rFonts w:ascii="Arial" w:hAnsi="Arial" w:cs="Arial"/>
      <w:lang w:val="en-GB" w:eastAsia="en-GB"/>
    </w:rPr>
  </w:style>
  <w:style w:type="paragraph" w:customStyle="1" w:styleId="ClosingInfo">
    <w:name w:val="Closing Info"/>
    <w:rsid w:val="00D01563"/>
    <w:pPr>
      <w:spacing w:after="240"/>
    </w:pPr>
    <w:rPr>
      <w:rFonts w:ascii="Arial" w:hAnsi="Arial" w:cs="Arial"/>
      <w:lang w:val="en-GB" w:eastAsia="en-GB"/>
    </w:rPr>
  </w:style>
  <w:style w:type="paragraph" w:customStyle="1" w:styleId="SignatureCompany">
    <w:name w:val="Signature Company"/>
    <w:basedOn w:val="Signature"/>
    <w:rsid w:val="00D01563"/>
  </w:style>
  <w:style w:type="paragraph" w:customStyle="1" w:styleId="HeadingBase">
    <w:name w:val="Heading Base"/>
    <w:basedOn w:val="BodyText"/>
    <w:next w:val="BodyText"/>
    <w:rsid w:val="00D01563"/>
    <w:pPr>
      <w:keepNext/>
      <w:keepLines/>
      <w:pBdr>
        <w:bottom w:val="single" w:sz="12" w:space="0" w:color="auto"/>
      </w:pBdr>
      <w:spacing w:after="0"/>
      <w:jc w:val="left"/>
    </w:pPr>
    <w:rPr>
      <w:rFonts w:ascii="Arial Black" w:hAnsi="Arial Black" w:cs="Arial Black"/>
      <w:kern w:val="28"/>
    </w:rPr>
  </w:style>
  <w:style w:type="paragraph" w:customStyle="1" w:styleId="Title2">
    <w:name w:val="Title2"/>
    <w:next w:val="Normal"/>
    <w:rsid w:val="00D01563"/>
    <w:pPr>
      <w:spacing w:before="120" w:after="120"/>
      <w:jc w:val="center"/>
    </w:pPr>
    <w:rPr>
      <w:rFonts w:ascii="Arial" w:hAnsi="Arial" w:cs="Arial"/>
      <w:b/>
      <w:smallCaps/>
      <w:sz w:val="22"/>
      <w:szCs w:val="22"/>
      <w:lang w:val="en-GB" w:eastAsia="en-GB"/>
    </w:rPr>
  </w:style>
  <w:style w:type="paragraph" w:customStyle="1" w:styleId="MessageHeaderFirst">
    <w:name w:val="Message Header First"/>
    <w:basedOn w:val="MessageHeader"/>
    <w:next w:val="MessageHeader"/>
    <w:rsid w:val="00D01563"/>
    <w:pPr>
      <w:keepLines/>
      <w:pBdr>
        <w:top w:val="none" w:sz="0" w:space="0" w:color="auto"/>
        <w:left w:val="none" w:sz="0" w:space="0" w:color="auto"/>
        <w:bottom w:val="none" w:sz="0" w:space="0" w:color="auto"/>
        <w:right w:val="none" w:sz="0" w:space="0" w:color="auto"/>
      </w:pBdr>
      <w:spacing w:line="415" w:lineRule="atLeast"/>
      <w:ind w:left="1560" w:hanging="720"/>
    </w:pPr>
  </w:style>
  <w:style w:type="paragraph" w:customStyle="1" w:styleId="TableText8">
    <w:name w:val="TableText8"/>
    <w:basedOn w:val="TableText"/>
    <w:rsid w:val="00D01563"/>
    <w:rPr>
      <w:sz w:val="16"/>
      <w:szCs w:val="16"/>
    </w:rPr>
  </w:style>
  <w:style w:type="character" w:customStyle="1" w:styleId="Basic1CharChar">
    <w:name w:val="Basic 1 Char Char"/>
    <w:link w:val="Basic1"/>
    <w:locked/>
    <w:rsid w:val="00D01563"/>
    <w:rPr>
      <w:rFonts w:ascii="Arial" w:hAnsi="Arial"/>
      <w:kern w:val="28"/>
    </w:rPr>
  </w:style>
  <w:style w:type="paragraph" w:customStyle="1" w:styleId="14PtBodyBoldCent">
    <w:name w:val="14PtBodyBoldCent"/>
    <w:basedOn w:val="BodyBoldCent"/>
    <w:next w:val="BodyBoldCent"/>
    <w:rsid w:val="00D01563"/>
    <w:rPr>
      <w:sz w:val="28"/>
      <w:szCs w:val="28"/>
    </w:rPr>
  </w:style>
  <w:style w:type="paragraph" w:customStyle="1" w:styleId="DraftingNote3">
    <w:name w:val="Drafting Note 3"/>
    <w:basedOn w:val="DraftingNoteParagraph"/>
    <w:rsid w:val="00D01563"/>
    <w:pPr>
      <w:numPr>
        <w:ilvl w:val="2"/>
        <w:numId w:val="34"/>
      </w:numPr>
    </w:pPr>
  </w:style>
  <w:style w:type="paragraph" w:customStyle="1" w:styleId="Line">
    <w:name w:val="Line"/>
    <w:rsid w:val="00D01563"/>
    <w:pPr>
      <w:jc w:val="both"/>
    </w:pPr>
    <w:rPr>
      <w:rFonts w:ascii="Arial" w:hAnsi="Arial" w:cs="Arial"/>
      <w:lang w:val="en-GB" w:eastAsia="en-GB"/>
    </w:rPr>
  </w:style>
  <w:style w:type="paragraph" w:customStyle="1" w:styleId="PleadingsBodyTextIndent">
    <w:name w:val="Pleadings Body Text Indent"/>
    <w:basedOn w:val="PleadingsBodyText"/>
    <w:rsid w:val="00D01563"/>
    <w:pPr>
      <w:ind w:left="720"/>
    </w:pPr>
  </w:style>
  <w:style w:type="paragraph" w:customStyle="1" w:styleId="PleadingsBodyTextIndent10">
    <w:name w:val="Pleadings Body Text Indent 1.0"/>
    <w:basedOn w:val="PleadingsBodyText"/>
    <w:rsid w:val="00D01563"/>
    <w:pPr>
      <w:ind w:left="1440"/>
    </w:pPr>
  </w:style>
  <w:style w:type="paragraph" w:customStyle="1" w:styleId="PleadingsBodyTextIndent15">
    <w:name w:val="Pleadings Body Text Indent 1.5"/>
    <w:basedOn w:val="PleadingsBodyText"/>
    <w:rsid w:val="00D01563"/>
    <w:pPr>
      <w:ind w:left="2160"/>
    </w:pPr>
  </w:style>
  <w:style w:type="paragraph" w:customStyle="1" w:styleId="PleadingsBodyTextIndent2">
    <w:name w:val="Pleadings Body Text Indent 2"/>
    <w:basedOn w:val="PleadingsBodyText"/>
    <w:rsid w:val="00D01563"/>
    <w:pPr>
      <w:ind w:left="2880"/>
    </w:pPr>
  </w:style>
  <w:style w:type="paragraph" w:customStyle="1" w:styleId="ListIndent">
    <w:name w:val="List Indent"/>
    <w:basedOn w:val="List"/>
    <w:rsid w:val="00D01563"/>
    <w:pPr>
      <w:ind w:left="720"/>
    </w:pPr>
  </w:style>
  <w:style w:type="paragraph" w:customStyle="1" w:styleId="ListIndent1">
    <w:name w:val="List Indent 1&quot;"/>
    <w:rsid w:val="00D01563"/>
    <w:pPr>
      <w:spacing w:after="200" w:line="276" w:lineRule="auto"/>
    </w:pPr>
    <w:rPr>
      <w:lang w:val="en-GB" w:eastAsia="en-GB"/>
    </w:rPr>
  </w:style>
  <w:style w:type="paragraph" w:customStyle="1" w:styleId="MinResHead">
    <w:name w:val="MinResHead"/>
    <w:basedOn w:val="BodyText"/>
    <w:next w:val="BodyText"/>
    <w:rsid w:val="00D01563"/>
    <w:pPr>
      <w:keepNext/>
    </w:pPr>
    <w:rPr>
      <w:b/>
      <w:caps/>
    </w:rPr>
  </w:style>
  <w:style w:type="paragraph" w:customStyle="1" w:styleId="ReportTitle">
    <w:name w:val="ReportTitle"/>
    <w:basedOn w:val="Subtitle"/>
    <w:next w:val="BodyText"/>
    <w:rsid w:val="00D01563"/>
    <w:pPr>
      <w:jc w:val="right"/>
    </w:pPr>
  </w:style>
  <w:style w:type="paragraph" w:customStyle="1" w:styleId="Description">
    <w:name w:val="Description"/>
    <w:rsid w:val="00D01563"/>
    <w:pPr>
      <w:spacing w:after="240"/>
    </w:pPr>
    <w:rPr>
      <w:rFonts w:ascii="Arial" w:hAnsi="Arial" w:cs="Arial"/>
      <w:b/>
      <w:caps/>
      <w:lang w:val="en-GB" w:eastAsia="en-GB"/>
    </w:rPr>
  </w:style>
  <w:style w:type="paragraph" w:customStyle="1" w:styleId="DraftingNoteIndent">
    <w:name w:val="Drafting Note Indent"/>
    <w:basedOn w:val="DraftingNoteParagraph"/>
    <w:rsid w:val="00D01563"/>
    <w:pPr>
      <w:ind w:left="720"/>
    </w:pPr>
  </w:style>
  <w:style w:type="paragraph" w:customStyle="1" w:styleId="Head1">
    <w:name w:val="Head 1"/>
    <w:next w:val="Head2"/>
    <w:rsid w:val="004D24C5"/>
    <w:pPr>
      <w:keepNext/>
      <w:numPr>
        <w:numId w:val="30"/>
      </w:numPr>
      <w:spacing w:after="240"/>
      <w:jc w:val="both"/>
      <w:outlineLvl w:val="0"/>
    </w:pPr>
    <w:rPr>
      <w:rFonts w:ascii="Arial" w:hAnsi="Arial" w:cs="Arial"/>
      <w:b/>
      <w:caps/>
      <w:kern w:val="28"/>
      <w:lang w:val="en-GB" w:eastAsia="en-GB"/>
    </w:rPr>
  </w:style>
  <w:style w:type="paragraph" w:customStyle="1" w:styleId="Head2">
    <w:name w:val="Head 2"/>
    <w:rsid w:val="00D01563"/>
    <w:pPr>
      <w:numPr>
        <w:ilvl w:val="1"/>
        <w:numId w:val="30"/>
      </w:numPr>
      <w:spacing w:after="240"/>
      <w:jc w:val="both"/>
      <w:outlineLvl w:val="1"/>
    </w:pPr>
    <w:rPr>
      <w:rFonts w:ascii="Arial" w:hAnsi="Arial" w:cs="Arial"/>
      <w:lang w:val="en-GB" w:eastAsia="en-GB"/>
    </w:rPr>
  </w:style>
  <w:style w:type="paragraph" w:customStyle="1" w:styleId="Head3">
    <w:name w:val="Head 3"/>
    <w:rsid w:val="00D01563"/>
    <w:pPr>
      <w:numPr>
        <w:ilvl w:val="2"/>
        <w:numId w:val="30"/>
      </w:numPr>
      <w:spacing w:after="240"/>
      <w:jc w:val="both"/>
      <w:outlineLvl w:val="2"/>
    </w:pPr>
    <w:rPr>
      <w:rFonts w:ascii="Arial" w:hAnsi="Arial" w:cs="Arial"/>
      <w:lang w:val="en-GB" w:eastAsia="en-GB"/>
    </w:rPr>
  </w:style>
  <w:style w:type="paragraph" w:customStyle="1" w:styleId="Head4">
    <w:name w:val="Head 4"/>
    <w:rsid w:val="00D01563"/>
    <w:pPr>
      <w:numPr>
        <w:ilvl w:val="3"/>
        <w:numId w:val="30"/>
      </w:numPr>
      <w:spacing w:after="240"/>
      <w:jc w:val="both"/>
      <w:outlineLvl w:val="3"/>
    </w:pPr>
    <w:rPr>
      <w:rFonts w:ascii="Arial" w:hAnsi="Arial" w:cs="Arial"/>
      <w:lang w:val="en-GB" w:eastAsia="en-GB"/>
    </w:rPr>
  </w:style>
  <w:style w:type="paragraph" w:customStyle="1" w:styleId="Head5">
    <w:name w:val="Head 5"/>
    <w:rsid w:val="00D01563"/>
    <w:pPr>
      <w:numPr>
        <w:ilvl w:val="4"/>
        <w:numId w:val="30"/>
      </w:numPr>
      <w:spacing w:after="240"/>
      <w:jc w:val="both"/>
      <w:outlineLvl w:val="4"/>
    </w:pPr>
    <w:rPr>
      <w:rFonts w:ascii="Arial" w:hAnsi="Arial" w:cs="Arial"/>
      <w:lang w:val="en-GB" w:eastAsia="en-GB"/>
    </w:rPr>
  </w:style>
  <w:style w:type="paragraph" w:customStyle="1" w:styleId="Head6">
    <w:name w:val="Head 6"/>
    <w:rsid w:val="00D01563"/>
    <w:pPr>
      <w:numPr>
        <w:ilvl w:val="5"/>
        <w:numId w:val="30"/>
      </w:numPr>
      <w:spacing w:after="240"/>
      <w:jc w:val="both"/>
      <w:outlineLvl w:val="5"/>
    </w:pPr>
    <w:rPr>
      <w:rFonts w:ascii="Arial" w:hAnsi="Arial" w:cs="Arial"/>
      <w:lang w:val="en-GB" w:eastAsia="en-GB"/>
    </w:rPr>
  </w:style>
  <w:style w:type="paragraph" w:customStyle="1" w:styleId="Head7">
    <w:name w:val="Head 7"/>
    <w:next w:val="Normal"/>
    <w:rsid w:val="00D01563"/>
    <w:pPr>
      <w:numPr>
        <w:ilvl w:val="6"/>
        <w:numId w:val="26"/>
      </w:numPr>
      <w:spacing w:before="240" w:after="60"/>
      <w:outlineLvl w:val="6"/>
    </w:pPr>
    <w:rPr>
      <w:rFonts w:ascii="Arial" w:hAnsi="Arial" w:cs="Arial"/>
      <w:lang w:val="en-GB" w:eastAsia="en-GB"/>
    </w:rPr>
  </w:style>
  <w:style w:type="paragraph" w:customStyle="1" w:styleId="Head8">
    <w:name w:val="Head 8"/>
    <w:next w:val="Normal"/>
    <w:rsid w:val="00D01563"/>
    <w:pPr>
      <w:numPr>
        <w:ilvl w:val="7"/>
        <w:numId w:val="26"/>
      </w:numPr>
      <w:spacing w:before="240" w:after="60"/>
      <w:outlineLvl w:val="7"/>
    </w:pPr>
    <w:rPr>
      <w:rFonts w:ascii="Arial" w:hAnsi="Arial" w:cs="Arial"/>
      <w:lang w:val="en-GB" w:eastAsia="en-GB"/>
    </w:rPr>
  </w:style>
  <w:style w:type="paragraph" w:customStyle="1" w:styleId="Head9">
    <w:name w:val="Head 9"/>
    <w:next w:val="Normal"/>
    <w:rsid w:val="00D01563"/>
    <w:pPr>
      <w:numPr>
        <w:ilvl w:val="8"/>
        <w:numId w:val="26"/>
      </w:numPr>
      <w:spacing w:before="240" w:after="60"/>
      <w:outlineLvl w:val="8"/>
    </w:pPr>
    <w:rPr>
      <w:rFonts w:ascii="Arial" w:hAnsi="Arial" w:cs="Arial"/>
      <w:lang w:val="en-GB" w:eastAsia="en-GB"/>
    </w:rPr>
  </w:style>
  <w:style w:type="paragraph" w:customStyle="1" w:styleId="BodyTextBoldCent">
    <w:name w:val="BodyTextBoldCent"/>
    <w:basedOn w:val="BodyText"/>
    <w:rsid w:val="00D01563"/>
    <w:pPr>
      <w:jc w:val="center"/>
    </w:pPr>
    <w:rPr>
      <w:b/>
      <w:caps/>
    </w:rPr>
  </w:style>
  <w:style w:type="character" w:customStyle="1" w:styleId="InvisibleCommentChar">
    <w:name w:val="Invisible Comment Char"/>
    <w:link w:val="InvisibleComment"/>
    <w:locked/>
    <w:rsid w:val="00D01563"/>
    <w:rPr>
      <w:rFonts w:ascii="Arial" w:hAnsi="Arial" w:cs="Arial"/>
      <w:b/>
      <w:color w:val="FF0000"/>
    </w:rPr>
  </w:style>
  <w:style w:type="paragraph" w:customStyle="1" w:styleId="DraftingNoteIndent1">
    <w:name w:val="Drafting Note Indent 1"/>
    <w:basedOn w:val="DraftingNoteParagraph"/>
    <w:rsid w:val="00D01563"/>
    <w:pPr>
      <w:ind w:left="1440"/>
    </w:pPr>
  </w:style>
  <w:style w:type="paragraph" w:customStyle="1" w:styleId="DraftingNoteIndent15">
    <w:name w:val="Drafting Note Indent 1.5"/>
    <w:basedOn w:val="DraftingNoteParagraph"/>
    <w:rsid w:val="00D01563"/>
    <w:pPr>
      <w:ind w:left="2160"/>
    </w:pPr>
  </w:style>
  <w:style w:type="character" w:customStyle="1" w:styleId="BodyBoldCentChar">
    <w:name w:val="BodyBoldCent Char"/>
    <w:link w:val="BodyBoldCent"/>
    <w:locked/>
    <w:rsid w:val="00D01563"/>
    <w:rPr>
      <w:rFonts w:ascii="Arial" w:hAnsi="Arial"/>
      <w:b/>
      <w:caps/>
      <w:lang w:val="en-US"/>
    </w:rPr>
  </w:style>
  <w:style w:type="paragraph" w:customStyle="1" w:styleId="NORMALBOLDCENTRECAPS">
    <w:name w:val="NORMALBOLDCENTRECAPS"/>
    <w:next w:val="BodyText"/>
    <w:rsid w:val="00D01563"/>
    <w:pPr>
      <w:jc w:val="center"/>
    </w:pPr>
    <w:rPr>
      <w:rFonts w:ascii="Arial" w:hAnsi="Arial" w:cs="Arial"/>
      <w:b/>
      <w:caps/>
      <w:lang w:val="en-GB" w:eastAsia="en-GB"/>
    </w:rPr>
  </w:style>
  <w:style w:type="paragraph" w:customStyle="1" w:styleId="EXPRESS">
    <w:name w:val="EXPRESS"/>
    <w:next w:val="Normal"/>
    <w:rsid w:val="00D01563"/>
    <w:pPr>
      <w:jc w:val="both"/>
    </w:pPr>
    <w:rPr>
      <w:rFonts w:ascii="Arial" w:hAnsi="Arial" w:cs="Arial"/>
      <w:color w:val="808080"/>
      <w:sz w:val="72"/>
      <w:szCs w:val="72"/>
      <w:lang w:val="en-GB" w:eastAsia="en-GB"/>
    </w:rPr>
  </w:style>
  <w:style w:type="paragraph" w:customStyle="1" w:styleId="BodyTextNS">
    <w:name w:val="Body Text NS"/>
    <w:basedOn w:val="BodyText"/>
    <w:rsid w:val="00D01563"/>
    <w:pPr>
      <w:spacing w:after="0"/>
    </w:pPr>
  </w:style>
  <w:style w:type="paragraph" w:customStyle="1" w:styleId="BodyTextCentre">
    <w:name w:val="Body Text Centre"/>
    <w:basedOn w:val="BodyText"/>
    <w:rsid w:val="00D01563"/>
    <w:pPr>
      <w:jc w:val="center"/>
    </w:pPr>
  </w:style>
  <w:style w:type="paragraph" w:customStyle="1" w:styleId="BodyTextCentreNS">
    <w:name w:val="Body Text Centre NS"/>
    <w:basedOn w:val="BodyText"/>
    <w:rsid w:val="00D01563"/>
    <w:pPr>
      <w:spacing w:after="0"/>
      <w:jc w:val="center"/>
    </w:pPr>
  </w:style>
  <w:style w:type="paragraph" w:customStyle="1" w:styleId="SignatureCentre">
    <w:name w:val="Signature Centre"/>
    <w:basedOn w:val="BodyText"/>
    <w:next w:val="BodyTextCentreNS"/>
    <w:rsid w:val="00D01563"/>
    <w:pPr>
      <w:pBdr>
        <w:top w:val="single" w:sz="4" w:space="1" w:color="auto"/>
      </w:pBdr>
      <w:spacing w:before="1200" w:after="0"/>
      <w:ind w:left="2520" w:right="2520"/>
      <w:jc w:val="center"/>
    </w:pPr>
    <w:rPr>
      <w:b/>
    </w:rPr>
  </w:style>
  <w:style w:type="paragraph" w:customStyle="1" w:styleId="BodyBoldCentLarge">
    <w:name w:val="BodyBoldCentLarge"/>
    <w:basedOn w:val="BodyBoldCent"/>
    <w:next w:val="BodyBoldCent"/>
    <w:rsid w:val="00D01563"/>
    <w:rPr>
      <w:sz w:val="28"/>
      <w:szCs w:val="28"/>
    </w:rPr>
  </w:style>
  <w:style w:type="paragraph" w:customStyle="1" w:styleId="TableHeading">
    <w:name w:val="Table Heading"/>
    <w:basedOn w:val="TableText"/>
    <w:rsid w:val="00D01563"/>
    <w:pPr>
      <w:spacing w:before="240" w:after="240"/>
      <w:jc w:val="both"/>
    </w:pPr>
    <w:rPr>
      <w:b/>
      <w:caps/>
    </w:rPr>
  </w:style>
  <w:style w:type="paragraph" w:customStyle="1" w:styleId="DraftingNoteParagraph">
    <w:name w:val="Drafting Note Paragraph"/>
    <w:basedOn w:val="BodyText"/>
    <w:next w:val="BodyText"/>
    <w:link w:val="DraftingNoteParagraphChar"/>
    <w:rsid w:val="00D01563"/>
    <w:rPr>
      <w:b/>
      <w:i/>
      <w:color w:val="800080"/>
    </w:rPr>
  </w:style>
  <w:style w:type="character" w:customStyle="1" w:styleId="DraftingNoteInline">
    <w:name w:val="Drafting Note Inline"/>
    <w:rsid w:val="00D01563"/>
    <w:rPr>
      <w:rFonts w:ascii="Arial" w:hAnsi="Arial"/>
      <w:b/>
      <w:i/>
      <w:color w:val="800080"/>
      <w:sz w:val="20"/>
      <w:u w:val="none"/>
    </w:rPr>
  </w:style>
  <w:style w:type="character" w:customStyle="1" w:styleId="DraftingNoteParagraphChar">
    <w:name w:val="Drafting Note Paragraph Char"/>
    <w:link w:val="DraftingNoteParagraph"/>
    <w:locked/>
    <w:rsid w:val="00D01563"/>
    <w:rPr>
      <w:rFonts w:ascii="Arial" w:hAnsi="Arial" w:cs="Arial"/>
      <w:b/>
      <w:i/>
      <w:color w:val="800080"/>
    </w:rPr>
  </w:style>
  <w:style w:type="character" w:customStyle="1" w:styleId="Citation">
    <w:name w:val="Citation"/>
    <w:rsid w:val="00D01563"/>
    <w:rPr>
      <w:rFonts w:ascii="Arial" w:hAnsi="Arial"/>
      <w:i/>
      <w:u w:val="none"/>
    </w:rPr>
  </w:style>
  <w:style w:type="paragraph" w:customStyle="1" w:styleId="TableHeadingCentre">
    <w:name w:val="Table Heading Centre"/>
    <w:basedOn w:val="TableHeading"/>
    <w:rsid w:val="00D01563"/>
    <w:pPr>
      <w:jc w:val="center"/>
    </w:pPr>
  </w:style>
  <w:style w:type="paragraph" w:customStyle="1" w:styleId="BodyBoldLeft">
    <w:name w:val="BodyBoldLeft"/>
    <w:basedOn w:val="BodyBoldCent"/>
    <w:next w:val="BodyText"/>
    <w:rsid w:val="00D01563"/>
    <w:pPr>
      <w:jc w:val="left"/>
    </w:pPr>
  </w:style>
  <w:style w:type="paragraph" w:customStyle="1" w:styleId="BodyBoldRight">
    <w:name w:val="BodyBoldRight"/>
    <w:basedOn w:val="BodyBoldCent"/>
    <w:next w:val="BodyText"/>
    <w:rsid w:val="00D01563"/>
    <w:pPr>
      <w:jc w:val="right"/>
    </w:pPr>
  </w:style>
  <w:style w:type="paragraph" w:customStyle="1" w:styleId="PleadingsIndent1">
    <w:name w:val="Pleadings Indent 1"/>
    <w:rsid w:val="004D24C5"/>
    <w:pPr>
      <w:numPr>
        <w:numId w:val="29"/>
      </w:numPr>
      <w:spacing w:after="240" w:line="360" w:lineRule="auto"/>
      <w:jc w:val="both"/>
      <w:outlineLvl w:val="0"/>
    </w:pPr>
    <w:rPr>
      <w:rFonts w:ascii="Arial" w:hAnsi="Arial" w:cs="Arial"/>
      <w:kern w:val="28"/>
      <w:sz w:val="22"/>
      <w:szCs w:val="22"/>
      <w:lang w:val="en-GB" w:eastAsia="en-GB"/>
    </w:rPr>
  </w:style>
  <w:style w:type="paragraph" w:customStyle="1" w:styleId="PleadingsIndent2">
    <w:name w:val="Pleadings Indent 2"/>
    <w:rsid w:val="00D01563"/>
    <w:pPr>
      <w:numPr>
        <w:ilvl w:val="1"/>
        <w:numId w:val="29"/>
      </w:numPr>
      <w:spacing w:after="240" w:line="360" w:lineRule="auto"/>
      <w:jc w:val="both"/>
      <w:outlineLvl w:val="1"/>
    </w:pPr>
    <w:rPr>
      <w:rFonts w:ascii="Arial" w:hAnsi="Arial" w:cs="Arial"/>
      <w:sz w:val="22"/>
      <w:szCs w:val="22"/>
      <w:lang w:val="en-GB" w:eastAsia="en-GB"/>
    </w:rPr>
  </w:style>
  <w:style w:type="paragraph" w:customStyle="1" w:styleId="PleadingsIndent3">
    <w:name w:val="Pleadings Indent 3"/>
    <w:rsid w:val="00D01563"/>
    <w:pPr>
      <w:numPr>
        <w:ilvl w:val="2"/>
        <w:numId w:val="29"/>
      </w:numPr>
      <w:spacing w:after="240" w:line="360" w:lineRule="auto"/>
      <w:jc w:val="both"/>
      <w:outlineLvl w:val="2"/>
    </w:pPr>
    <w:rPr>
      <w:rFonts w:ascii="Arial" w:hAnsi="Arial" w:cs="Arial"/>
      <w:sz w:val="22"/>
      <w:szCs w:val="22"/>
      <w:lang w:val="en-GB" w:eastAsia="en-GB"/>
    </w:rPr>
  </w:style>
  <w:style w:type="paragraph" w:customStyle="1" w:styleId="PleadingsIndent4">
    <w:name w:val="Pleadings Indent 4"/>
    <w:rsid w:val="00D01563"/>
    <w:pPr>
      <w:numPr>
        <w:ilvl w:val="3"/>
        <w:numId w:val="29"/>
      </w:numPr>
      <w:spacing w:after="240" w:line="360" w:lineRule="auto"/>
      <w:jc w:val="both"/>
      <w:outlineLvl w:val="3"/>
    </w:pPr>
    <w:rPr>
      <w:rFonts w:ascii="Arial" w:hAnsi="Arial" w:cs="Arial"/>
      <w:sz w:val="22"/>
      <w:szCs w:val="22"/>
      <w:lang w:val="en-GB" w:eastAsia="en-GB"/>
    </w:rPr>
  </w:style>
  <w:style w:type="paragraph" w:customStyle="1" w:styleId="PleadingsIndent5">
    <w:name w:val="Pleadings Indent 5"/>
    <w:rsid w:val="00D01563"/>
    <w:pPr>
      <w:numPr>
        <w:ilvl w:val="4"/>
        <w:numId w:val="29"/>
      </w:numPr>
      <w:spacing w:after="240" w:line="360" w:lineRule="auto"/>
      <w:jc w:val="both"/>
      <w:outlineLvl w:val="4"/>
    </w:pPr>
    <w:rPr>
      <w:rFonts w:ascii="Arial" w:hAnsi="Arial" w:cs="Arial"/>
      <w:sz w:val="22"/>
      <w:szCs w:val="22"/>
      <w:lang w:val="en-GB" w:eastAsia="en-GB"/>
    </w:rPr>
  </w:style>
  <w:style w:type="paragraph" w:customStyle="1" w:styleId="StampLabel">
    <w:name w:val="Stamp Label"/>
    <w:basedOn w:val="BodyTextNS"/>
    <w:next w:val="BodyBoldCent"/>
    <w:rsid w:val="00D01563"/>
    <w:pPr>
      <w:spacing w:after="960"/>
      <w:jc w:val="right"/>
    </w:pPr>
    <w:rPr>
      <w:caps/>
      <w:color w:val="C0C0C0"/>
    </w:rPr>
  </w:style>
  <w:style w:type="paragraph" w:customStyle="1" w:styleId="SignatureLeft">
    <w:name w:val="Signature Left"/>
    <w:basedOn w:val="SignatureCentre"/>
    <w:next w:val="BodyTextNS"/>
    <w:rsid w:val="00D01563"/>
    <w:pPr>
      <w:pBdr>
        <w:top w:val="none" w:sz="0" w:space="0" w:color="auto"/>
      </w:pBdr>
      <w:ind w:left="0" w:right="0"/>
      <w:jc w:val="left"/>
    </w:pPr>
  </w:style>
  <w:style w:type="character" w:customStyle="1" w:styleId="DateChar">
    <w:name w:val="Date Char"/>
    <w:link w:val="Date"/>
    <w:locked/>
    <w:rsid w:val="00D01563"/>
    <w:rPr>
      <w:rFonts w:ascii="Arial" w:hAnsi="Arial" w:cs="Arial"/>
    </w:rPr>
  </w:style>
  <w:style w:type="paragraph" w:customStyle="1" w:styleId="SignatureName">
    <w:name w:val="Signature Name"/>
    <w:basedOn w:val="BodyText"/>
    <w:rsid w:val="00D01563"/>
    <w:pPr>
      <w:spacing w:after="0"/>
      <w:jc w:val="left"/>
    </w:pPr>
  </w:style>
  <w:style w:type="paragraph" w:customStyle="1" w:styleId="Recitals1">
    <w:name w:val="Recitals 1"/>
    <w:rsid w:val="004D24C5"/>
    <w:pPr>
      <w:numPr>
        <w:numId w:val="28"/>
      </w:numPr>
      <w:spacing w:after="240"/>
      <w:jc w:val="both"/>
      <w:outlineLvl w:val="0"/>
    </w:pPr>
    <w:rPr>
      <w:rFonts w:ascii="Arial" w:hAnsi="Arial" w:cs="Arial"/>
      <w:kern w:val="28"/>
      <w:lang w:val="en-GB" w:eastAsia="en-GB"/>
    </w:rPr>
  </w:style>
  <w:style w:type="paragraph" w:customStyle="1" w:styleId="Recitals2">
    <w:name w:val="Recitals 2"/>
    <w:rsid w:val="00D01563"/>
    <w:pPr>
      <w:numPr>
        <w:ilvl w:val="1"/>
        <w:numId w:val="28"/>
      </w:numPr>
      <w:spacing w:after="240"/>
      <w:jc w:val="both"/>
      <w:outlineLvl w:val="1"/>
    </w:pPr>
    <w:rPr>
      <w:rFonts w:ascii="Arial" w:hAnsi="Arial" w:cs="Arial"/>
      <w:lang w:val="en-GB" w:eastAsia="en-GB"/>
    </w:rPr>
  </w:style>
  <w:style w:type="paragraph" w:customStyle="1" w:styleId="Recitals3">
    <w:name w:val="Recitals 3"/>
    <w:rsid w:val="00D01563"/>
    <w:pPr>
      <w:numPr>
        <w:ilvl w:val="2"/>
        <w:numId w:val="28"/>
      </w:numPr>
      <w:spacing w:after="240"/>
      <w:jc w:val="both"/>
      <w:outlineLvl w:val="2"/>
    </w:pPr>
    <w:rPr>
      <w:rFonts w:ascii="Arial" w:hAnsi="Arial" w:cs="Arial"/>
      <w:lang w:val="en-GB" w:eastAsia="en-GB"/>
    </w:rPr>
  </w:style>
  <w:style w:type="paragraph" w:customStyle="1" w:styleId="Recitals4">
    <w:name w:val="Recitals 4"/>
    <w:rsid w:val="00D01563"/>
    <w:pPr>
      <w:numPr>
        <w:ilvl w:val="3"/>
        <w:numId w:val="28"/>
      </w:numPr>
      <w:spacing w:after="240"/>
      <w:jc w:val="both"/>
      <w:outlineLvl w:val="3"/>
    </w:pPr>
    <w:rPr>
      <w:rFonts w:ascii="Arial" w:hAnsi="Arial" w:cs="Arial"/>
      <w:lang w:val="en-GB" w:eastAsia="en-GB"/>
    </w:rPr>
  </w:style>
  <w:style w:type="paragraph" w:customStyle="1" w:styleId="Recitals5">
    <w:name w:val="Recitals 5"/>
    <w:rsid w:val="00D01563"/>
    <w:pPr>
      <w:numPr>
        <w:ilvl w:val="4"/>
        <w:numId w:val="28"/>
      </w:numPr>
      <w:spacing w:after="240"/>
      <w:outlineLvl w:val="4"/>
    </w:pPr>
    <w:rPr>
      <w:rFonts w:ascii="Arial" w:hAnsi="Arial" w:cs="Arial"/>
      <w:lang w:val="en-GB" w:eastAsia="en-GB"/>
    </w:rPr>
  </w:style>
  <w:style w:type="paragraph" w:customStyle="1" w:styleId="Recitals6">
    <w:name w:val="Recitals 6"/>
    <w:next w:val="BodyText"/>
    <w:rsid w:val="00D01563"/>
    <w:pPr>
      <w:numPr>
        <w:ilvl w:val="5"/>
        <w:numId w:val="28"/>
      </w:numPr>
      <w:spacing w:after="240"/>
      <w:outlineLvl w:val="5"/>
    </w:pPr>
    <w:rPr>
      <w:rFonts w:ascii="Arial" w:hAnsi="Arial" w:cs="Arial"/>
      <w:lang w:val="en-GB" w:eastAsia="en-GB"/>
    </w:rPr>
  </w:style>
  <w:style w:type="paragraph" w:customStyle="1" w:styleId="Recitals7">
    <w:name w:val="Recitals 7"/>
    <w:next w:val="Normal"/>
    <w:rsid w:val="00D01563"/>
    <w:pPr>
      <w:numPr>
        <w:ilvl w:val="6"/>
        <w:numId w:val="28"/>
      </w:numPr>
      <w:spacing w:before="240" w:after="60"/>
      <w:outlineLvl w:val="6"/>
    </w:pPr>
    <w:rPr>
      <w:rFonts w:ascii="Arial" w:hAnsi="Arial" w:cs="Arial"/>
      <w:lang w:val="en-GB" w:eastAsia="en-GB"/>
    </w:rPr>
  </w:style>
  <w:style w:type="paragraph" w:customStyle="1" w:styleId="Recitals8">
    <w:name w:val="Recitals 8"/>
    <w:next w:val="Normal"/>
    <w:rsid w:val="00D01563"/>
    <w:pPr>
      <w:numPr>
        <w:ilvl w:val="7"/>
        <w:numId w:val="28"/>
      </w:numPr>
      <w:spacing w:before="240" w:after="60"/>
      <w:outlineLvl w:val="7"/>
    </w:pPr>
    <w:rPr>
      <w:rFonts w:ascii="Arial" w:hAnsi="Arial" w:cs="Arial"/>
      <w:lang w:val="en-GB" w:eastAsia="en-GB"/>
    </w:rPr>
  </w:style>
  <w:style w:type="paragraph" w:customStyle="1" w:styleId="Recitals9">
    <w:name w:val="Recitals 9"/>
    <w:next w:val="Normal"/>
    <w:rsid w:val="00D01563"/>
    <w:pPr>
      <w:numPr>
        <w:ilvl w:val="8"/>
        <w:numId w:val="28"/>
      </w:numPr>
      <w:spacing w:before="240" w:after="60"/>
      <w:outlineLvl w:val="8"/>
    </w:pPr>
    <w:rPr>
      <w:rFonts w:ascii="Arial" w:hAnsi="Arial" w:cs="Arial"/>
      <w:lang w:val="en-GB" w:eastAsia="en-GB"/>
    </w:rPr>
  </w:style>
  <w:style w:type="paragraph" w:customStyle="1" w:styleId="ScheduleHead1">
    <w:name w:val="Schedule Head 1"/>
    <w:next w:val="ScheduleHead2"/>
    <w:rsid w:val="004D24C5"/>
    <w:pPr>
      <w:keepNext/>
      <w:numPr>
        <w:numId w:val="27"/>
      </w:numPr>
      <w:spacing w:after="240"/>
      <w:jc w:val="both"/>
      <w:outlineLvl w:val="0"/>
    </w:pPr>
    <w:rPr>
      <w:rFonts w:ascii="Arial" w:hAnsi="Arial" w:cs="Arial"/>
      <w:b/>
      <w:caps/>
      <w:kern w:val="28"/>
      <w:lang w:val="en-GB" w:eastAsia="en-GB"/>
    </w:rPr>
  </w:style>
  <w:style w:type="paragraph" w:customStyle="1" w:styleId="ScheduleHead2">
    <w:name w:val="Schedule Head 2"/>
    <w:rsid w:val="00D01563"/>
    <w:pPr>
      <w:numPr>
        <w:ilvl w:val="1"/>
        <w:numId w:val="27"/>
      </w:numPr>
      <w:spacing w:after="240"/>
      <w:jc w:val="both"/>
      <w:outlineLvl w:val="1"/>
    </w:pPr>
    <w:rPr>
      <w:rFonts w:ascii="Arial" w:hAnsi="Arial" w:cs="Arial"/>
      <w:lang w:val="en-GB" w:eastAsia="en-GB"/>
    </w:rPr>
  </w:style>
  <w:style w:type="paragraph" w:customStyle="1" w:styleId="ScheduleHead3">
    <w:name w:val="Schedule Head 3"/>
    <w:rsid w:val="00D01563"/>
    <w:pPr>
      <w:numPr>
        <w:ilvl w:val="2"/>
        <w:numId w:val="27"/>
      </w:numPr>
      <w:spacing w:after="240"/>
      <w:jc w:val="both"/>
      <w:outlineLvl w:val="2"/>
    </w:pPr>
    <w:rPr>
      <w:rFonts w:ascii="Arial" w:hAnsi="Arial" w:cs="Arial"/>
      <w:lang w:val="en-GB" w:eastAsia="en-GB"/>
    </w:rPr>
  </w:style>
  <w:style w:type="paragraph" w:customStyle="1" w:styleId="ScheduleHead4">
    <w:name w:val="Schedule Head 4"/>
    <w:rsid w:val="00D01563"/>
    <w:pPr>
      <w:numPr>
        <w:ilvl w:val="3"/>
        <w:numId w:val="27"/>
      </w:numPr>
      <w:spacing w:after="240"/>
      <w:jc w:val="both"/>
      <w:outlineLvl w:val="3"/>
    </w:pPr>
    <w:rPr>
      <w:rFonts w:ascii="Arial" w:hAnsi="Arial" w:cs="Arial"/>
      <w:lang w:val="en-GB" w:eastAsia="en-GB"/>
    </w:rPr>
  </w:style>
  <w:style w:type="paragraph" w:customStyle="1" w:styleId="ScheduleHead5">
    <w:name w:val="Schedule Head 5"/>
    <w:rsid w:val="00D01563"/>
    <w:pPr>
      <w:numPr>
        <w:ilvl w:val="4"/>
        <w:numId w:val="27"/>
      </w:numPr>
      <w:spacing w:after="240"/>
      <w:jc w:val="both"/>
      <w:outlineLvl w:val="4"/>
    </w:pPr>
    <w:rPr>
      <w:rFonts w:ascii="Arial" w:hAnsi="Arial" w:cs="Arial"/>
      <w:lang w:val="en-GB" w:eastAsia="en-GB"/>
    </w:rPr>
  </w:style>
  <w:style w:type="paragraph" w:customStyle="1" w:styleId="ScheduleHead6">
    <w:name w:val="Schedule Head 6"/>
    <w:rsid w:val="00D01563"/>
    <w:pPr>
      <w:numPr>
        <w:ilvl w:val="5"/>
        <w:numId w:val="27"/>
      </w:numPr>
      <w:spacing w:after="240"/>
      <w:jc w:val="both"/>
      <w:outlineLvl w:val="5"/>
    </w:pPr>
    <w:rPr>
      <w:rFonts w:ascii="Arial" w:hAnsi="Arial" w:cs="Arial"/>
      <w:lang w:val="en-GB" w:eastAsia="en-GB"/>
    </w:rPr>
  </w:style>
  <w:style w:type="character" w:customStyle="1" w:styleId="SignatureChar">
    <w:name w:val="Signature Char"/>
    <w:link w:val="Signature"/>
    <w:locked/>
    <w:rsid w:val="00D01563"/>
    <w:rPr>
      <w:rFonts w:ascii="Arial" w:hAnsi="Arial" w:cs="Arial"/>
    </w:rPr>
  </w:style>
  <w:style w:type="paragraph" w:customStyle="1" w:styleId="SignatureCo">
    <w:name w:val="Signature Co"/>
    <w:basedOn w:val="BodyText"/>
    <w:rsid w:val="00D01563"/>
    <w:pPr>
      <w:jc w:val="left"/>
    </w:pPr>
    <w:rPr>
      <w:b/>
      <w:caps/>
    </w:rPr>
  </w:style>
  <w:style w:type="paragraph" w:customStyle="1" w:styleId="SignatureInfo">
    <w:name w:val="Signature Info"/>
    <w:basedOn w:val="BodyText"/>
    <w:rsid w:val="00D01563"/>
    <w:pPr>
      <w:spacing w:after="0"/>
      <w:jc w:val="left"/>
    </w:pPr>
  </w:style>
  <w:style w:type="paragraph" w:customStyle="1" w:styleId="ScheduleBasic1">
    <w:name w:val="Schedule Basic 1"/>
    <w:link w:val="ScheduleBasic1Char"/>
    <w:rsid w:val="004D24C5"/>
    <w:pPr>
      <w:numPr>
        <w:numId w:val="31"/>
      </w:numPr>
      <w:spacing w:after="240"/>
      <w:jc w:val="both"/>
      <w:outlineLvl w:val="0"/>
    </w:pPr>
    <w:rPr>
      <w:rFonts w:ascii="Arial" w:hAnsi="Arial"/>
      <w:kern w:val="28"/>
    </w:rPr>
  </w:style>
  <w:style w:type="character" w:customStyle="1" w:styleId="ScheduleBasic1Char">
    <w:name w:val="Schedule Basic 1 Char"/>
    <w:link w:val="ScheduleBasic1"/>
    <w:locked/>
    <w:rsid w:val="00D01563"/>
    <w:rPr>
      <w:rFonts w:ascii="Arial" w:hAnsi="Arial"/>
      <w:kern w:val="28"/>
    </w:rPr>
  </w:style>
  <w:style w:type="paragraph" w:customStyle="1" w:styleId="ScheduleBasic2">
    <w:name w:val="Schedule Basic 2"/>
    <w:link w:val="ScheduleBasic2Char"/>
    <w:rsid w:val="00D01563"/>
    <w:pPr>
      <w:numPr>
        <w:ilvl w:val="1"/>
        <w:numId w:val="31"/>
      </w:numPr>
      <w:spacing w:after="240"/>
      <w:jc w:val="both"/>
      <w:outlineLvl w:val="1"/>
    </w:pPr>
    <w:rPr>
      <w:rFonts w:ascii="Arial" w:hAnsi="Arial" w:cs="Arial"/>
      <w:lang w:val="en-GB" w:eastAsia="en-GB"/>
    </w:rPr>
  </w:style>
  <w:style w:type="character" w:customStyle="1" w:styleId="ScheduleBasic2Char">
    <w:name w:val="Schedule Basic 2 Char"/>
    <w:link w:val="ScheduleBasic2"/>
    <w:locked/>
    <w:rsid w:val="00D01563"/>
    <w:rPr>
      <w:rFonts w:ascii="Arial" w:hAnsi="Arial" w:cs="Arial"/>
    </w:rPr>
  </w:style>
  <w:style w:type="paragraph" w:customStyle="1" w:styleId="ScheduleBasic3">
    <w:name w:val="Schedule Basic 3"/>
    <w:link w:val="ScheduleBasic3Char"/>
    <w:rsid w:val="00D01563"/>
    <w:pPr>
      <w:numPr>
        <w:ilvl w:val="2"/>
        <w:numId w:val="31"/>
      </w:numPr>
      <w:spacing w:after="240"/>
      <w:jc w:val="both"/>
      <w:outlineLvl w:val="2"/>
    </w:pPr>
    <w:rPr>
      <w:rFonts w:ascii="Arial" w:hAnsi="Arial" w:cs="Arial"/>
      <w:lang w:val="en-GB" w:eastAsia="en-GB"/>
    </w:rPr>
  </w:style>
  <w:style w:type="character" w:customStyle="1" w:styleId="ScheduleBasic3Char">
    <w:name w:val="Schedule Basic 3 Char"/>
    <w:link w:val="ScheduleBasic3"/>
    <w:locked/>
    <w:rsid w:val="00D01563"/>
    <w:rPr>
      <w:rFonts w:ascii="Arial" w:hAnsi="Arial" w:cs="Arial"/>
    </w:rPr>
  </w:style>
  <w:style w:type="paragraph" w:customStyle="1" w:styleId="ScheduleBasic4">
    <w:name w:val="Schedule Basic 4"/>
    <w:link w:val="ScheduleBasic4Char"/>
    <w:rsid w:val="00D01563"/>
    <w:pPr>
      <w:numPr>
        <w:ilvl w:val="3"/>
        <w:numId w:val="31"/>
      </w:numPr>
      <w:spacing w:after="240"/>
      <w:jc w:val="both"/>
      <w:outlineLvl w:val="3"/>
    </w:pPr>
    <w:rPr>
      <w:rFonts w:ascii="Arial" w:hAnsi="Arial" w:cs="Arial"/>
      <w:lang w:val="en-GB" w:eastAsia="en-GB"/>
    </w:rPr>
  </w:style>
  <w:style w:type="character" w:customStyle="1" w:styleId="ScheduleBasic4Char">
    <w:name w:val="Schedule Basic 4 Char"/>
    <w:link w:val="ScheduleBasic4"/>
    <w:locked/>
    <w:rsid w:val="00D01563"/>
    <w:rPr>
      <w:rFonts w:ascii="Arial" w:hAnsi="Arial" w:cs="Arial"/>
    </w:rPr>
  </w:style>
  <w:style w:type="paragraph" w:customStyle="1" w:styleId="ScheduleBasic5">
    <w:name w:val="Schedule Basic 5"/>
    <w:link w:val="ScheduleBasic5Char"/>
    <w:rsid w:val="00D01563"/>
    <w:pPr>
      <w:numPr>
        <w:ilvl w:val="4"/>
        <w:numId w:val="31"/>
      </w:numPr>
      <w:spacing w:after="240"/>
      <w:jc w:val="both"/>
      <w:outlineLvl w:val="4"/>
    </w:pPr>
    <w:rPr>
      <w:rFonts w:ascii="Arial" w:hAnsi="Arial" w:cs="Arial"/>
      <w:lang w:val="en-GB" w:eastAsia="en-GB"/>
    </w:rPr>
  </w:style>
  <w:style w:type="character" w:customStyle="1" w:styleId="ScheduleBasic5Char">
    <w:name w:val="Schedule Basic 5 Char"/>
    <w:link w:val="ScheduleBasic5"/>
    <w:locked/>
    <w:rsid w:val="00D01563"/>
    <w:rPr>
      <w:rFonts w:ascii="Arial" w:hAnsi="Arial" w:cs="Arial"/>
    </w:rPr>
  </w:style>
  <w:style w:type="paragraph" w:customStyle="1" w:styleId="Enclosure">
    <w:name w:val="Enclosure"/>
    <w:basedOn w:val="BodyText"/>
    <w:next w:val="BodyText"/>
    <w:rsid w:val="00D01563"/>
    <w:pPr>
      <w:spacing w:before="240"/>
    </w:pPr>
  </w:style>
  <w:style w:type="paragraph" w:customStyle="1" w:styleId="SmallPrint">
    <w:name w:val="Small Print"/>
    <w:basedOn w:val="BodyText"/>
    <w:next w:val="BodyText"/>
    <w:rsid w:val="00D01563"/>
    <w:pPr>
      <w:spacing w:after="0"/>
    </w:pPr>
    <w:rPr>
      <w:sz w:val="16"/>
      <w:szCs w:val="16"/>
    </w:rPr>
  </w:style>
  <w:style w:type="paragraph" w:customStyle="1" w:styleId="TableTextCentre">
    <w:name w:val="Table Text Centre"/>
    <w:basedOn w:val="TableText"/>
    <w:rsid w:val="00D01563"/>
    <w:pPr>
      <w:jc w:val="center"/>
    </w:pPr>
  </w:style>
  <w:style w:type="paragraph" w:customStyle="1" w:styleId="Delivery">
    <w:name w:val="Delivery"/>
    <w:basedOn w:val="BodyText"/>
    <w:rsid w:val="00D01563"/>
    <w:rPr>
      <w:b/>
      <w:caps/>
    </w:rPr>
  </w:style>
  <w:style w:type="paragraph" w:customStyle="1" w:styleId="BodyBoldCentNS">
    <w:name w:val="BodyBoldCent NS"/>
    <w:basedOn w:val="BodyBoldCent"/>
    <w:rsid w:val="00D01563"/>
    <w:pPr>
      <w:spacing w:after="0"/>
    </w:pPr>
  </w:style>
  <w:style w:type="paragraph" w:customStyle="1" w:styleId="BodyBoldLeftNS">
    <w:name w:val="BodyBoldLeft NS"/>
    <w:basedOn w:val="BodyBoldLeft"/>
    <w:rsid w:val="00D01563"/>
    <w:pPr>
      <w:spacing w:after="0"/>
    </w:pPr>
  </w:style>
  <w:style w:type="paragraph" w:customStyle="1" w:styleId="BodyBoldRightNS">
    <w:name w:val="BodyBoldRight NS"/>
    <w:basedOn w:val="BodyBoldRight"/>
    <w:rsid w:val="00D01563"/>
    <w:pPr>
      <w:spacing w:after="0"/>
    </w:pPr>
  </w:style>
  <w:style w:type="paragraph" w:customStyle="1" w:styleId="TableTextRight">
    <w:name w:val="Table Text Right"/>
    <w:basedOn w:val="BodyText"/>
    <w:rsid w:val="00D01563"/>
    <w:pPr>
      <w:spacing w:before="120" w:after="120"/>
      <w:jc w:val="right"/>
    </w:pPr>
  </w:style>
  <w:style w:type="paragraph" w:customStyle="1" w:styleId="BodyTextRightNS">
    <w:name w:val="Body Text Right NS"/>
    <w:basedOn w:val="BodyText"/>
    <w:rsid w:val="00D01563"/>
    <w:pPr>
      <w:spacing w:after="0"/>
      <w:jc w:val="right"/>
    </w:pPr>
  </w:style>
  <w:style w:type="paragraph" w:customStyle="1" w:styleId="NormalCAP">
    <w:name w:val="Normal CAP"/>
    <w:rsid w:val="00D01563"/>
    <w:pPr>
      <w:jc w:val="both"/>
    </w:pPr>
    <w:rPr>
      <w:rFonts w:ascii="Arial" w:hAnsi="Arial" w:cs="Arial"/>
      <w:caps/>
      <w:sz w:val="22"/>
      <w:szCs w:val="22"/>
      <w:lang w:val="en-GB" w:eastAsia="en-GB"/>
    </w:rPr>
  </w:style>
  <w:style w:type="paragraph" w:customStyle="1" w:styleId="BodyTextCAPRight">
    <w:name w:val="Body Text CAP Right"/>
    <w:basedOn w:val="NormalCAP"/>
    <w:rsid w:val="00D01563"/>
    <w:pPr>
      <w:spacing w:after="480"/>
      <w:jc w:val="right"/>
    </w:pPr>
  </w:style>
  <w:style w:type="paragraph" w:customStyle="1" w:styleId="BodyTextCAP">
    <w:name w:val="Body Text CAP"/>
    <w:rsid w:val="00D01563"/>
    <w:pPr>
      <w:spacing w:after="240"/>
      <w:jc w:val="both"/>
    </w:pPr>
    <w:rPr>
      <w:rFonts w:ascii="Arial" w:hAnsi="Arial" w:cs="Arial"/>
      <w:caps/>
      <w:sz w:val="22"/>
      <w:szCs w:val="22"/>
      <w:lang w:val="en-GB" w:eastAsia="en-GB"/>
    </w:rPr>
  </w:style>
  <w:style w:type="paragraph" w:customStyle="1" w:styleId="MatterOf">
    <w:name w:val="MatterOf"/>
    <w:link w:val="MatterOfChar"/>
    <w:rsid w:val="00D01563"/>
    <w:pPr>
      <w:spacing w:after="240"/>
      <w:ind w:left="2736" w:hanging="2736"/>
    </w:pPr>
    <w:rPr>
      <w:rFonts w:ascii="Arial" w:hAnsi="Arial"/>
      <w:caps/>
      <w:sz w:val="22"/>
      <w:szCs w:val="22"/>
    </w:rPr>
  </w:style>
  <w:style w:type="paragraph" w:customStyle="1" w:styleId="PleadingTitle">
    <w:name w:val="Pleading Title"/>
    <w:rsid w:val="00D01563"/>
    <w:pPr>
      <w:keepNext/>
      <w:spacing w:before="480" w:after="480"/>
      <w:jc w:val="center"/>
    </w:pPr>
    <w:rPr>
      <w:rFonts w:ascii="Arial" w:hAnsi="Arial" w:cs="Arial"/>
      <w:b/>
      <w:caps/>
      <w:sz w:val="22"/>
      <w:szCs w:val="22"/>
      <w:u w:val="single"/>
      <w:lang w:val="en-GB" w:eastAsia="en-GB"/>
    </w:rPr>
  </w:style>
  <w:style w:type="paragraph" w:customStyle="1" w:styleId="PleadingSignature">
    <w:name w:val="Pleading Signature"/>
    <w:basedOn w:val="PleadingsNormal"/>
    <w:rsid w:val="00D01563"/>
    <w:pPr>
      <w:keepNext/>
      <w:spacing w:before="1440"/>
      <w:jc w:val="center"/>
    </w:pPr>
  </w:style>
  <w:style w:type="paragraph" w:customStyle="1" w:styleId="PleadingWalkers">
    <w:name w:val="Pleading Walkers"/>
    <w:basedOn w:val="PleadingsNormal"/>
    <w:rsid w:val="00D01563"/>
    <w:pPr>
      <w:keepNext/>
      <w:jc w:val="center"/>
    </w:pPr>
    <w:rPr>
      <w:b/>
      <w:caps/>
    </w:rPr>
  </w:style>
  <w:style w:type="paragraph" w:customStyle="1" w:styleId="PleadingAttorneys">
    <w:name w:val="Pleading Attorneys"/>
    <w:basedOn w:val="PleadingsNormal"/>
    <w:next w:val="PleadingsNormal"/>
    <w:rsid w:val="00D01563"/>
    <w:pPr>
      <w:spacing w:after="720"/>
      <w:jc w:val="center"/>
    </w:pPr>
  </w:style>
  <w:style w:type="paragraph" w:customStyle="1" w:styleId="Tramlines3">
    <w:name w:val="Tramlines3"/>
    <w:basedOn w:val="BodyText"/>
    <w:next w:val="BodyText"/>
    <w:rsid w:val="00D01563"/>
    <w:pPr>
      <w:spacing w:before="480" w:after="480"/>
    </w:pPr>
  </w:style>
  <w:style w:type="paragraph" w:customStyle="1" w:styleId="BodyTextRight">
    <w:name w:val="Body Text Right"/>
    <w:basedOn w:val="BodyText"/>
    <w:rsid w:val="00D01563"/>
    <w:pPr>
      <w:jc w:val="right"/>
    </w:pPr>
  </w:style>
  <w:style w:type="paragraph" w:customStyle="1" w:styleId="TO">
    <w:name w:val="TO"/>
    <w:rsid w:val="00D01563"/>
    <w:pPr>
      <w:jc w:val="both"/>
    </w:pPr>
    <w:rPr>
      <w:rFonts w:ascii="Arial" w:hAnsi="Arial" w:cs="Arial"/>
      <w:lang w:val="en-GB" w:eastAsia="en-GB"/>
    </w:rPr>
  </w:style>
  <w:style w:type="paragraph" w:customStyle="1" w:styleId="SignedBy0">
    <w:name w:val="Signed By"/>
    <w:basedOn w:val="BodyText"/>
    <w:rsid w:val="00D01563"/>
    <w:pPr>
      <w:spacing w:after="0"/>
    </w:pPr>
  </w:style>
  <w:style w:type="paragraph" w:customStyle="1" w:styleId="DescriptionNS">
    <w:name w:val="Description NS"/>
    <w:basedOn w:val="Description"/>
    <w:rsid w:val="00D01563"/>
    <w:pPr>
      <w:spacing w:after="0"/>
    </w:pPr>
  </w:style>
  <w:style w:type="paragraph" w:customStyle="1" w:styleId="BODYBOLDCENTExtraSpace">
    <w:name w:val="BODYBOLDCENT Extra Space"/>
    <w:basedOn w:val="BodyBoldCent"/>
    <w:rsid w:val="00D01563"/>
    <w:pPr>
      <w:spacing w:after="1200"/>
    </w:pPr>
  </w:style>
  <w:style w:type="paragraph" w:customStyle="1" w:styleId="BodyTextExtraSpace">
    <w:name w:val="Body Text Extra Space"/>
    <w:basedOn w:val="BodyText"/>
    <w:link w:val="BodyTextExtraSpaceChar"/>
    <w:rsid w:val="00D01563"/>
    <w:pPr>
      <w:spacing w:after="720"/>
    </w:pPr>
  </w:style>
  <w:style w:type="paragraph" w:customStyle="1" w:styleId="Tramlines2">
    <w:name w:val="Tramlines2"/>
    <w:basedOn w:val="Tramlines3"/>
    <w:rsid w:val="00D01563"/>
    <w:pPr>
      <w:spacing w:before="240"/>
    </w:pPr>
  </w:style>
  <w:style w:type="paragraph" w:customStyle="1" w:styleId="S127">
    <w:name w:val="S127"/>
    <w:basedOn w:val="BodyText"/>
    <w:rsid w:val="00D01563"/>
    <w:pPr>
      <w:ind w:right="-720"/>
      <w:jc w:val="right"/>
    </w:pPr>
    <w:rPr>
      <w:b/>
      <w:sz w:val="96"/>
      <w:szCs w:val="96"/>
    </w:rPr>
  </w:style>
  <w:style w:type="paragraph" w:customStyle="1" w:styleId="FrontSheetPartiesType">
    <w:name w:val="FrontSheetParties Type"/>
    <w:rsid w:val="00D01563"/>
    <w:pPr>
      <w:spacing w:after="240"/>
      <w:jc w:val="center"/>
    </w:pPr>
    <w:rPr>
      <w:rFonts w:ascii="Arial" w:hAnsi="Arial" w:cs="Arial"/>
      <w:b/>
      <w:lang w:val="en-GB" w:eastAsia="en-GB"/>
    </w:rPr>
  </w:style>
  <w:style w:type="paragraph" w:customStyle="1" w:styleId="PleadingsBodyTextExtraSpace">
    <w:name w:val="Pleadings Body Text Extra Space"/>
    <w:basedOn w:val="PleadingsNormal"/>
    <w:rsid w:val="00D01563"/>
    <w:pPr>
      <w:spacing w:after="720" w:line="360" w:lineRule="auto"/>
    </w:pPr>
  </w:style>
  <w:style w:type="paragraph" w:customStyle="1" w:styleId="TableTextSpaceAbove">
    <w:name w:val="Table Text Space Above"/>
    <w:basedOn w:val="TableText"/>
    <w:rsid w:val="00D01563"/>
    <w:pPr>
      <w:spacing w:after="0"/>
    </w:pPr>
  </w:style>
  <w:style w:type="paragraph" w:customStyle="1" w:styleId="TableTextSpaceBelow">
    <w:name w:val="Table Text Space Below"/>
    <w:basedOn w:val="TableText"/>
    <w:rsid w:val="00D01563"/>
    <w:pPr>
      <w:spacing w:before="0"/>
    </w:pPr>
  </w:style>
  <w:style w:type="character" w:customStyle="1" w:styleId="BodyTextIndentChar">
    <w:name w:val="Body Text Indent Char"/>
    <w:link w:val="BodyTextIndent"/>
    <w:locked/>
    <w:rsid w:val="00D01563"/>
    <w:rPr>
      <w:rFonts w:ascii="Arial" w:hAnsi="Arial" w:cs="Arial"/>
    </w:rPr>
  </w:style>
  <w:style w:type="character" w:customStyle="1" w:styleId="BalloonTextChar">
    <w:name w:val="Balloon Text Char"/>
    <w:link w:val="BalloonText"/>
    <w:locked/>
    <w:rsid w:val="00D01563"/>
    <w:rPr>
      <w:rFonts w:ascii="Tahoma" w:hAnsi="Tahoma"/>
      <w:sz w:val="16"/>
      <w:szCs w:val="16"/>
      <w:lang w:val="en-US" w:eastAsia="en-US"/>
    </w:rPr>
  </w:style>
  <w:style w:type="character" w:customStyle="1" w:styleId="DocumentMapChar">
    <w:name w:val="Document Map Char"/>
    <w:link w:val="DocumentMap"/>
    <w:locked/>
    <w:rsid w:val="00D01563"/>
    <w:rPr>
      <w:rFonts w:ascii="Tahoma" w:hAnsi="Tahoma" w:cs="Tahoma"/>
      <w:shd w:val="solid" w:color="000080" w:fill="auto"/>
    </w:rPr>
  </w:style>
  <w:style w:type="character" w:customStyle="1" w:styleId="CAPSBOLD">
    <w:name w:val="CAPSBOLD"/>
    <w:rsid w:val="00D01563"/>
    <w:rPr>
      <w:rFonts w:ascii="Arial Bold" w:hAnsi="Arial Bold" w:cs="Arial Bold"/>
      <w:b/>
      <w:caps/>
      <w:sz w:val="20"/>
      <w:szCs w:val="20"/>
      <w:u w:val="none"/>
    </w:rPr>
  </w:style>
  <w:style w:type="paragraph" w:customStyle="1" w:styleId="MinResTableSpace">
    <w:name w:val="Min Res Table Space"/>
    <w:basedOn w:val="BodyText"/>
    <w:next w:val="BodyText"/>
    <w:rsid w:val="00D01563"/>
    <w:pPr>
      <w:spacing w:before="480" w:after="480"/>
    </w:pPr>
  </w:style>
  <w:style w:type="character" w:customStyle="1" w:styleId="CharChar2">
    <w:name w:val="Char Char2"/>
    <w:rsid w:val="00D01563"/>
    <w:rPr>
      <w:rFonts w:ascii="Arial" w:hAnsi="Arial"/>
      <w:sz w:val="24"/>
      <w:u w:val="none"/>
    </w:rPr>
  </w:style>
  <w:style w:type="character" w:customStyle="1" w:styleId="BodyTextExtraSpaceChar">
    <w:name w:val="Body Text Extra Space Char"/>
    <w:link w:val="BodyTextExtraSpace"/>
    <w:locked/>
    <w:rsid w:val="00D01563"/>
    <w:rPr>
      <w:rFonts w:ascii="Arial" w:hAnsi="Arial" w:cs="Arial"/>
    </w:rPr>
  </w:style>
  <w:style w:type="paragraph" w:customStyle="1" w:styleId="BodyTextIndentNS">
    <w:name w:val="Body Text Indent NS"/>
    <w:basedOn w:val="BodyTextIndent"/>
    <w:rsid w:val="00D01563"/>
    <w:pPr>
      <w:spacing w:after="0"/>
    </w:pPr>
  </w:style>
  <w:style w:type="paragraph" w:customStyle="1" w:styleId="BodyTextIndent10NS">
    <w:name w:val="Body Text Indent 1.0 NS"/>
    <w:rsid w:val="00D01563"/>
    <w:pPr>
      <w:ind w:left="1440"/>
      <w:jc w:val="both"/>
    </w:pPr>
    <w:rPr>
      <w:rFonts w:ascii="Arial" w:hAnsi="Arial" w:cs="Arial"/>
      <w:lang w:val="en-GB" w:eastAsia="en-GB"/>
    </w:rPr>
  </w:style>
  <w:style w:type="paragraph" w:customStyle="1" w:styleId="BodyTextIndent15NS">
    <w:name w:val="Body Text Indent 1.5 NS"/>
    <w:rsid w:val="00D01563"/>
    <w:pPr>
      <w:ind w:left="2160"/>
      <w:jc w:val="both"/>
    </w:pPr>
    <w:rPr>
      <w:rFonts w:ascii="Arial" w:hAnsi="Arial" w:cs="Arial"/>
      <w:lang w:val="en-GB" w:eastAsia="en-GB"/>
    </w:rPr>
  </w:style>
  <w:style w:type="paragraph" w:customStyle="1" w:styleId="BodyTextIndent20NS">
    <w:name w:val="Body Text Indent 2.0 NS"/>
    <w:basedOn w:val="BodyTextIndent2"/>
    <w:rsid w:val="00D01563"/>
    <w:pPr>
      <w:spacing w:after="0"/>
    </w:pPr>
  </w:style>
  <w:style w:type="paragraph" w:customStyle="1" w:styleId="BODYBOLDCENTONESPACE">
    <w:name w:val="BODYBOLDCENT ONE SPACE"/>
    <w:basedOn w:val="BodyBoldCent"/>
    <w:rsid w:val="00D01563"/>
    <w:pPr>
      <w:spacing w:after="720"/>
    </w:pPr>
  </w:style>
  <w:style w:type="paragraph" w:customStyle="1" w:styleId="FrontSheetPartiesSpace">
    <w:name w:val="Front Sheet Parties Space"/>
    <w:basedOn w:val="BodyText"/>
    <w:link w:val="FrontSheetPartiesSpaceChar"/>
    <w:rsid w:val="00D01563"/>
    <w:pPr>
      <w:spacing w:before="2400" w:after="2400"/>
    </w:pPr>
  </w:style>
  <w:style w:type="character" w:customStyle="1" w:styleId="FrontSheetPartiesSpaceChar">
    <w:name w:val="Front Sheet Parties Space Char"/>
    <w:link w:val="FrontSheetPartiesSpace"/>
    <w:locked/>
    <w:rsid w:val="00D01563"/>
    <w:rPr>
      <w:rFonts w:ascii="Arial" w:hAnsi="Arial" w:cs="Arial"/>
    </w:rPr>
  </w:style>
  <w:style w:type="paragraph" w:customStyle="1" w:styleId="FrontSheetDocNameSpace">
    <w:name w:val="Front Sheet Doc Name Space"/>
    <w:basedOn w:val="BodyText"/>
    <w:link w:val="FrontSheetDocNameSpaceChar"/>
    <w:rsid w:val="00D01563"/>
    <w:pPr>
      <w:spacing w:before="360" w:after="360"/>
    </w:pPr>
  </w:style>
  <w:style w:type="character" w:customStyle="1" w:styleId="FrontSheetDocNameSpaceChar">
    <w:name w:val="Front Sheet Doc Name Space Char"/>
    <w:link w:val="FrontSheetDocNameSpace"/>
    <w:locked/>
    <w:rsid w:val="00D01563"/>
    <w:rPr>
      <w:rFonts w:ascii="Arial" w:hAnsi="Arial" w:cs="Arial"/>
    </w:rPr>
  </w:style>
  <w:style w:type="paragraph" w:customStyle="1" w:styleId="FrontSheetLogoSpace">
    <w:name w:val="Front Sheet Logo Space"/>
    <w:basedOn w:val="BodyText"/>
    <w:rsid w:val="00D01563"/>
    <w:pPr>
      <w:spacing w:before="3000" w:after="3000"/>
    </w:pPr>
  </w:style>
  <w:style w:type="character" w:customStyle="1" w:styleId="MatterOfChar">
    <w:name w:val="MatterOf Char"/>
    <w:link w:val="MatterOf"/>
    <w:locked/>
    <w:rsid w:val="00D01563"/>
    <w:rPr>
      <w:rFonts w:ascii="Arial" w:hAnsi="Arial"/>
      <w:caps/>
      <w:sz w:val="22"/>
      <w:szCs w:val="22"/>
      <w:lang w:val="en-US" w:eastAsia="en-US"/>
    </w:rPr>
  </w:style>
  <w:style w:type="paragraph" w:customStyle="1" w:styleId="MatterOfExtraSpace">
    <w:name w:val="MatterOf Extra Space"/>
    <w:basedOn w:val="MatterOf"/>
    <w:rsid w:val="00D01563"/>
    <w:pPr>
      <w:spacing w:after="720"/>
    </w:pPr>
  </w:style>
  <w:style w:type="character" w:customStyle="1" w:styleId="CAPS">
    <w:name w:val="CAPS"/>
    <w:rsid w:val="00D01563"/>
    <w:rPr>
      <w:rFonts w:ascii="Arial" w:hAnsi="Arial"/>
      <w:caps/>
      <w:sz w:val="20"/>
      <w:u w:val="none"/>
    </w:rPr>
  </w:style>
  <w:style w:type="paragraph" w:customStyle="1" w:styleId="FooterCentre">
    <w:name w:val="FooterCentre"/>
    <w:basedOn w:val="BodyText"/>
    <w:rsid w:val="00D01563"/>
    <w:pPr>
      <w:spacing w:after="0"/>
      <w:jc w:val="center"/>
    </w:pPr>
    <w:rPr>
      <w:sz w:val="16"/>
      <w:szCs w:val="16"/>
    </w:rPr>
  </w:style>
  <w:style w:type="paragraph" w:customStyle="1" w:styleId="FrontSheetWarning">
    <w:name w:val="Front Sheet Warning"/>
    <w:basedOn w:val="BodyBoldCent"/>
    <w:next w:val="BodyBoldCentNS"/>
    <w:rsid w:val="00D01563"/>
    <w:pPr>
      <w:spacing w:before="960"/>
    </w:pPr>
  </w:style>
  <w:style w:type="paragraph" w:customStyle="1" w:styleId="SignedByInvisible">
    <w:name w:val="Signed By Invisible"/>
    <w:basedOn w:val="SignedBy0"/>
    <w:rsid w:val="00D01563"/>
    <w:rPr>
      <w:color w:val="FFFFFF"/>
    </w:rPr>
  </w:style>
  <w:style w:type="character" w:customStyle="1" w:styleId="MessageHeaderLabel">
    <w:name w:val="Message Header Label"/>
    <w:rsid w:val="00D01563"/>
    <w:rPr>
      <w:rFonts w:ascii="Arial" w:hAnsi="Arial"/>
      <w:b/>
      <w:sz w:val="18"/>
      <w:u w:val="none"/>
    </w:rPr>
  </w:style>
  <w:style w:type="paragraph" w:customStyle="1" w:styleId="TableText8Bold">
    <w:name w:val="TableText8Bold"/>
    <w:basedOn w:val="TableText8"/>
    <w:rsid w:val="00D01563"/>
    <w:rPr>
      <w:b/>
    </w:rPr>
  </w:style>
  <w:style w:type="paragraph" w:customStyle="1" w:styleId="AffidavitHeader">
    <w:name w:val="Affidavit Header"/>
    <w:basedOn w:val="BodyTextNS"/>
    <w:rsid w:val="00D01563"/>
    <w:pPr>
      <w:jc w:val="left"/>
    </w:pPr>
    <w:rPr>
      <w:sz w:val="16"/>
      <w:szCs w:val="16"/>
    </w:rPr>
  </w:style>
  <w:style w:type="paragraph" w:customStyle="1" w:styleId="Style1">
    <w:name w:val="Style1"/>
    <w:basedOn w:val="PleadingsBodyText"/>
    <w:next w:val="PleadingsBodyText"/>
    <w:rsid w:val="00D01563"/>
    <w:pPr>
      <w:jc w:val="center"/>
    </w:pPr>
    <w:rPr>
      <w:caps/>
    </w:rPr>
  </w:style>
  <w:style w:type="paragraph" w:customStyle="1" w:styleId="DrNote2">
    <w:name w:val="DrNote2"/>
    <w:rsid w:val="00D01563"/>
    <w:pPr>
      <w:numPr>
        <w:ilvl w:val="1"/>
        <w:numId w:val="33"/>
      </w:numPr>
      <w:jc w:val="both"/>
    </w:pPr>
    <w:rPr>
      <w:rFonts w:ascii="Arial" w:hAnsi="Arial" w:cs="Arial"/>
      <w:lang w:val="en-GB" w:eastAsia="en-GB"/>
    </w:rPr>
  </w:style>
  <w:style w:type="paragraph" w:customStyle="1" w:styleId="DrNote3">
    <w:name w:val="DrNote3"/>
    <w:rsid w:val="00D01563"/>
    <w:pPr>
      <w:numPr>
        <w:ilvl w:val="2"/>
        <w:numId w:val="33"/>
      </w:numPr>
      <w:jc w:val="both"/>
    </w:pPr>
    <w:rPr>
      <w:rFonts w:ascii="Arial" w:hAnsi="Arial" w:cs="Arial"/>
      <w:lang w:val="en-GB" w:eastAsia="en-GB"/>
    </w:rPr>
  </w:style>
  <w:style w:type="paragraph" w:customStyle="1" w:styleId="SpeedLegalDefaultPageSetup">
    <w:name w:val="SpeedLegal Default Page Setup"/>
    <w:rsid w:val="00D01563"/>
    <w:pPr>
      <w:spacing w:after="200" w:line="276" w:lineRule="auto"/>
    </w:pPr>
    <w:rPr>
      <w:lang w:val="en-GB" w:eastAsia="en-GB"/>
    </w:rPr>
  </w:style>
  <w:style w:type="paragraph" w:customStyle="1" w:styleId="BodyTextCentreExtraSpace">
    <w:name w:val="Body Text Centre Extra Space"/>
    <w:basedOn w:val="BodyTextExtraSpace"/>
    <w:rsid w:val="00D01563"/>
    <w:pPr>
      <w:jc w:val="center"/>
    </w:pPr>
  </w:style>
  <w:style w:type="character" w:customStyle="1" w:styleId="Dear">
    <w:name w:val="D ear"/>
    <w:rsid w:val="00D01563"/>
    <w:rPr>
      <w:rFonts w:ascii="Arial" w:hAnsi="Arial" w:cs="Arial"/>
      <w:b w:val="0"/>
      <w:sz w:val="2"/>
      <w:szCs w:val="20"/>
      <w:u w:val="none"/>
    </w:rPr>
  </w:style>
  <w:style w:type="paragraph" w:customStyle="1" w:styleId="PleadingTitleNSSmall">
    <w:name w:val="Pleading Title NS Small"/>
    <w:basedOn w:val="PleadingTitle"/>
    <w:rsid w:val="00D01563"/>
    <w:pPr>
      <w:spacing w:before="0" w:after="0"/>
    </w:pPr>
    <w:rPr>
      <w:sz w:val="16"/>
    </w:rPr>
  </w:style>
  <w:style w:type="paragraph" w:customStyle="1" w:styleId="NormalCapSmall">
    <w:name w:val="Normal Cap Small"/>
    <w:basedOn w:val="NormalCAP"/>
    <w:rsid w:val="00D01563"/>
    <w:rPr>
      <w:sz w:val="16"/>
    </w:rPr>
  </w:style>
  <w:style w:type="paragraph" w:customStyle="1" w:styleId="TableTextJustify">
    <w:name w:val="Table Text Justify"/>
    <w:basedOn w:val="TableTextCentre"/>
    <w:rsid w:val="00D01563"/>
    <w:pPr>
      <w:jc w:val="both"/>
    </w:pPr>
  </w:style>
  <w:style w:type="character" w:customStyle="1" w:styleId="Heading1Char">
    <w:name w:val="Heading 1 Char"/>
    <w:link w:val="Heading1"/>
    <w:rsid w:val="00BA1A85"/>
    <w:rPr>
      <w:rFonts w:ascii="Arial" w:hAnsi="Arial" w:cs="Arial"/>
    </w:rPr>
  </w:style>
  <w:style w:type="character" w:customStyle="1" w:styleId="Heading2Char">
    <w:name w:val="Heading 2 Char"/>
    <w:link w:val="Heading2"/>
    <w:rsid w:val="00BA1A85"/>
    <w:rPr>
      <w:rFonts w:ascii="Arial" w:hAnsi="Arial" w:cs="Arial"/>
    </w:rPr>
  </w:style>
  <w:style w:type="character" w:customStyle="1" w:styleId="Heading3Char">
    <w:name w:val="Heading 3 Char"/>
    <w:link w:val="Heading3"/>
    <w:rsid w:val="00BA1A85"/>
    <w:rPr>
      <w:rFonts w:ascii="Arial" w:hAnsi="Arial" w:cs="Arial"/>
    </w:rPr>
  </w:style>
  <w:style w:type="character" w:customStyle="1" w:styleId="Heading4Char">
    <w:name w:val="Heading 4 Char"/>
    <w:link w:val="Heading4"/>
    <w:rsid w:val="00BA1A85"/>
    <w:rPr>
      <w:rFonts w:ascii="Arial" w:hAnsi="Arial" w:cs="Arial"/>
    </w:rPr>
  </w:style>
  <w:style w:type="character" w:customStyle="1" w:styleId="Heading5Char">
    <w:name w:val="Heading 5 Char"/>
    <w:link w:val="Heading5"/>
    <w:rsid w:val="00BA1A85"/>
    <w:rPr>
      <w:rFonts w:ascii="Arial" w:hAnsi="Arial" w:cs="Arial"/>
    </w:rPr>
  </w:style>
  <w:style w:type="character" w:customStyle="1" w:styleId="Heading6Char">
    <w:name w:val="Heading 6 Char"/>
    <w:link w:val="Heading6"/>
    <w:rsid w:val="00BA1A85"/>
    <w:rPr>
      <w:rFonts w:ascii="Arial" w:hAnsi="Arial" w:cs="Arial"/>
    </w:rPr>
  </w:style>
  <w:style w:type="character" w:customStyle="1" w:styleId="Heading7Char">
    <w:name w:val="Heading 7 Char"/>
    <w:link w:val="Heading7"/>
    <w:rsid w:val="00BA1A85"/>
    <w:rPr>
      <w:rFonts w:ascii="Arial" w:hAnsi="Arial" w:cs="Arial"/>
    </w:rPr>
  </w:style>
  <w:style w:type="character" w:customStyle="1" w:styleId="Heading8Char">
    <w:name w:val="Heading 8 Char"/>
    <w:link w:val="Heading8"/>
    <w:rsid w:val="00BA1A85"/>
    <w:rPr>
      <w:rFonts w:ascii="Arial" w:hAnsi="Arial" w:cs="Arial"/>
    </w:rPr>
  </w:style>
  <w:style w:type="character" w:customStyle="1" w:styleId="Heading9Char">
    <w:name w:val="Heading 9 Char"/>
    <w:link w:val="Heading9"/>
    <w:rsid w:val="00BA1A85"/>
    <w:rPr>
      <w:rFonts w:ascii="Arial" w:hAnsi="Arial" w:cs="Arial"/>
    </w:rPr>
  </w:style>
  <w:style w:type="character" w:customStyle="1" w:styleId="HTMLAddressChar">
    <w:name w:val="HTML Address Char"/>
    <w:link w:val="HTMLAddress"/>
    <w:rsid w:val="00BA1A85"/>
  </w:style>
  <w:style w:type="character" w:customStyle="1" w:styleId="BodyText2Char">
    <w:name w:val="Body Text 2 Char"/>
    <w:link w:val="BodyText2"/>
    <w:rsid w:val="00BA1A85"/>
    <w:rPr>
      <w:rFonts w:ascii="Arial" w:hAnsi="Arial" w:cs="Arial"/>
    </w:rPr>
  </w:style>
  <w:style w:type="character" w:customStyle="1" w:styleId="HTMLPreformattedChar">
    <w:name w:val="HTML Preformatted Char"/>
    <w:link w:val="HTMLPreformatted"/>
    <w:rsid w:val="00BA1A85"/>
    <w:rPr>
      <w:rFonts w:ascii="Courier New" w:hAnsi="Courier New" w:cs="Courier New"/>
    </w:rPr>
  </w:style>
  <w:style w:type="character" w:customStyle="1" w:styleId="FootnoteTextChar">
    <w:name w:val="Footnote Text Char"/>
    <w:link w:val="FootnoteText"/>
    <w:rsid w:val="00BA1A85"/>
    <w:rPr>
      <w:rFonts w:ascii="Arial" w:hAnsi="Arial" w:cs="Arial"/>
    </w:rPr>
  </w:style>
  <w:style w:type="character" w:customStyle="1" w:styleId="HeaderChar">
    <w:name w:val="Header Char"/>
    <w:link w:val="Header"/>
    <w:rsid w:val="00BA1A85"/>
    <w:rPr>
      <w:rFonts w:ascii="Arial" w:hAnsi="Arial" w:cs="Arial"/>
    </w:rPr>
  </w:style>
  <w:style w:type="character" w:customStyle="1" w:styleId="FooterChar">
    <w:name w:val="Footer Char"/>
    <w:link w:val="Footer"/>
    <w:rsid w:val="00BA1A85"/>
    <w:rPr>
      <w:rFonts w:ascii="Arial" w:hAnsi="Arial" w:cs="Arial"/>
      <w:sz w:val="16"/>
      <w:szCs w:val="16"/>
    </w:rPr>
  </w:style>
  <w:style w:type="character" w:customStyle="1" w:styleId="EndnoteTextChar">
    <w:name w:val="Endnote Text Char"/>
    <w:link w:val="EndnoteText"/>
    <w:rsid w:val="00BA1A85"/>
    <w:rPr>
      <w:rFonts w:ascii="Arial" w:hAnsi="Arial" w:cs="Arial"/>
      <w:sz w:val="18"/>
      <w:lang w:val="en-GB" w:eastAsia="en-GB"/>
    </w:rPr>
  </w:style>
  <w:style w:type="character" w:customStyle="1" w:styleId="MacroTextChar">
    <w:name w:val="Macro Text Char"/>
    <w:link w:val="MacroText"/>
    <w:rsid w:val="00BA1A85"/>
    <w:rPr>
      <w:rFonts w:ascii="Arial" w:hAnsi="Arial" w:cs="Arial"/>
    </w:rPr>
  </w:style>
  <w:style w:type="character" w:customStyle="1" w:styleId="TitleChar">
    <w:name w:val="Title Char"/>
    <w:link w:val="Title"/>
    <w:rsid w:val="00BA1A85"/>
    <w:rPr>
      <w:rFonts w:ascii="Arial" w:hAnsi="Arial" w:cs="Arial"/>
      <w:b/>
      <w:sz w:val="44"/>
      <w:szCs w:val="44"/>
    </w:rPr>
  </w:style>
  <w:style w:type="character" w:customStyle="1" w:styleId="ClosingChar">
    <w:name w:val="Closing Char"/>
    <w:link w:val="Closing"/>
    <w:rsid w:val="00BA1A85"/>
    <w:rPr>
      <w:rFonts w:ascii="Arial" w:hAnsi="Arial" w:cs="Arial"/>
    </w:rPr>
  </w:style>
  <w:style w:type="character" w:customStyle="1" w:styleId="MessageHeaderChar">
    <w:name w:val="Message Header Char"/>
    <w:link w:val="MessageHeader"/>
    <w:rsid w:val="00BA1A85"/>
    <w:rPr>
      <w:rFonts w:ascii="Arial" w:hAnsi="Arial" w:cs="Arial"/>
      <w:shd w:val="solid" w:color="CCCCCC" w:fill="auto"/>
    </w:rPr>
  </w:style>
  <w:style w:type="character" w:customStyle="1" w:styleId="SubtitleChar">
    <w:name w:val="Subtitle Char"/>
    <w:link w:val="Subtitle"/>
    <w:rsid w:val="00BA1A85"/>
    <w:rPr>
      <w:rFonts w:ascii="Arial" w:hAnsi="Arial" w:cs="Arial"/>
      <w:b/>
      <w:sz w:val="32"/>
      <w:szCs w:val="32"/>
    </w:rPr>
  </w:style>
  <w:style w:type="character" w:customStyle="1" w:styleId="SalutationChar">
    <w:name w:val="Salutation Char"/>
    <w:link w:val="Salutation"/>
    <w:rsid w:val="00BA1A85"/>
    <w:rPr>
      <w:rFonts w:ascii="Arial" w:hAnsi="Arial" w:cs="Arial"/>
    </w:rPr>
  </w:style>
  <w:style w:type="character" w:customStyle="1" w:styleId="BodyTextFirstIndentChar">
    <w:name w:val="Body Text First Indent Char"/>
    <w:link w:val="BodyTextFirstIndent"/>
    <w:rsid w:val="00BA1A85"/>
    <w:rPr>
      <w:rFonts w:ascii="Arial" w:hAnsi="Arial" w:cs="Arial"/>
    </w:rPr>
  </w:style>
  <w:style w:type="character" w:customStyle="1" w:styleId="BodyTextFirstIndent2Char">
    <w:name w:val="Body Text First Indent 2 Char"/>
    <w:link w:val="BodyTextFirstIndent2"/>
    <w:rsid w:val="00BA1A85"/>
    <w:rPr>
      <w:rFonts w:ascii="Arial" w:hAnsi="Arial" w:cs="Arial"/>
    </w:rPr>
  </w:style>
  <w:style w:type="character" w:customStyle="1" w:styleId="NoteHeadingChar">
    <w:name w:val="Note Heading Char"/>
    <w:link w:val="NoteHeading"/>
    <w:rsid w:val="00BA1A85"/>
    <w:rPr>
      <w:rFonts w:ascii="Arial" w:hAnsi="Arial" w:cs="Arial"/>
    </w:rPr>
  </w:style>
  <w:style w:type="character" w:customStyle="1" w:styleId="BodyText3Char">
    <w:name w:val="Body Text 3 Char"/>
    <w:link w:val="BodyText3"/>
    <w:rsid w:val="00BA1A85"/>
    <w:rPr>
      <w:rFonts w:ascii="Arial" w:hAnsi="Arial" w:cs="Arial"/>
    </w:rPr>
  </w:style>
  <w:style w:type="character" w:customStyle="1" w:styleId="BodyTextIndent2Char">
    <w:name w:val="Body Text Indent 2 Char"/>
    <w:link w:val="BodyTextIndent2"/>
    <w:rsid w:val="00BA1A85"/>
    <w:rPr>
      <w:rFonts w:ascii="Arial" w:hAnsi="Arial" w:cs="Arial"/>
    </w:rPr>
  </w:style>
  <w:style w:type="character" w:customStyle="1" w:styleId="BodyTextIndent3Char">
    <w:name w:val="Body Text Indent 3 Char"/>
    <w:link w:val="BodyTextIndent3"/>
    <w:rsid w:val="00BA1A85"/>
    <w:rPr>
      <w:rFonts w:ascii="Arial" w:hAnsi="Arial" w:cs="Arial"/>
    </w:rPr>
  </w:style>
  <w:style w:type="character" w:customStyle="1" w:styleId="PlainTextChar">
    <w:name w:val="Plain Text Char"/>
    <w:link w:val="PlainText"/>
    <w:rsid w:val="00BA1A85"/>
    <w:rPr>
      <w:rFonts w:ascii="Courier New" w:hAnsi="Courier New" w:cs="Courier New"/>
    </w:rPr>
  </w:style>
  <w:style w:type="character" w:customStyle="1" w:styleId="E-mailSignatureChar">
    <w:name w:val="E-mail Signature Char"/>
    <w:link w:val="E-mailSignature"/>
    <w:rsid w:val="00BA1A85"/>
    <w:rPr>
      <w:rFonts w:ascii="Arial" w:hAnsi="Arial" w:cs="Arial"/>
    </w:rPr>
  </w:style>
  <w:style w:type="character" w:customStyle="1" w:styleId="CommentSubjectChar">
    <w:name w:val="Comment Subject Char"/>
    <w:link w:val="CommentSubject"/>
    <w:rsid w:val="00BA1A85"/>
    <w:rPr>
      <w:rFonts w:ascii="Arial" w:hAnsi="Arial"/>
      <w:b/>
      <w:bCs/>
    </w:rPr>
  </w:style>
  <w:style w:type="paragraph" w:styleId="ListParagraph">
    <w:name w:val="List Paragraph"/>
    <w:basedOn w:val="Normal"/>
    <w:uiPriority w:val="34"/>
    <w:qFormat/>
    <w:rsid w:val="00CD42E8"/>
    <w:pPr>
      <w:ind w:left="720"/>
      <w:contextualSpacing/>
    </w:pPr>
  </w:style>
  <w:style w:type="character" w:styleId="PlaceholderText">
    <w:name w:val="Placeholder Text"/>
    <w:basedOn w:val="DefaultParagraphFont"/>
    <w:uiPriority w:val="99"/>
    <w:semiHidden/>
    <w:rsid w:val="001920FF"/>
    <w:rPr>
      <w:color w:val="808080"/>
    </w:rPr>
  </w:style>
  <w:style w:type="character" w:customStyle="1" w:styleId="Body2Char">
    <w:name w:val="Body 2 Char"/>
    <w:link w:val="Body2"/>
    <w:rsid w:val="00A41A8D"/>
    <w:rPr>
      <w:rFonts w:ascii="Arial"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71875">
      <w:bodyDiv w:val="1"/>
      <w:marLeft w:val="0"/>
      <w:marRight w:val="0"/>
      <w:marTop w:val="0"/>
      <w:marBottom w:val="0"/>
      <w:divBdr>
        <w:top w:val="none" w:sz="0" w:space="0" w:color="auto"/>
        <w:left w:val="none" w:sz="0" w:space="0" w:color="auto"/>
        <w:bottom w:val="none" w:sz="0" w:space="0" w:color="auto"/>
        <w:right w:val="none" w:sz="0" w:space="0" w:color="auto"/>
      </w:divBdr>
    </w:div>
    <w:div w:id="277611136">
      <w:bodyDiv w:val="1"/>
      <w:marLeft w:val="0"/>
      <w:marRight w:val="0"/>
      <w:marTop w:val="0"/>
      <w:marBottom w:val="0"/>
      <w:divBdr>
        <w:top w:val="none" w:sz="0" w:space="0" w:color="auto"/>
        <w:left w:val="none" w:sz="0" w:space="0" w:color="auto"/>
        <w:bottom w:val="none" w:sz="0" w:space="0" w:color="auto"/>
        <w:right w:val="none" w:sz="0" w:space="0" w:color="auto"/>
      </w:divBdr>
    </w:div>
    <w:div w:id="309017515">
      <w:bodyDiv w:val="1"/>
      <w:marLeft w:val="0"/>
      <w:marRight w:val="0"/>
      <w:marTop w:val="0"/>
      <w:marBottom w:val="0"/>
      <w:divBdr>
        <w:top w:val="none" w:sz="0" w:space="0" w:color="auto"/>
        <w:left w:val="none" w:sz="0" w:space="0" w:color="auto"/>
        <w:bottom w:val="none" w:sz="0" w:space="0" w:color="auto"/>
        <w:right w:val="none" w:sz="0" w:space="0" w:color="auto"/>
      </w:divBdr>
    </w:div>
    <w:div w:id="570501543">
      <w:bodyDiv w:val="1"/>
      <w:marLeft w:val="0"/>
      <w:marRight w:val="0"/>
      <w:marTop w:val="0"/>
      <w:marBottom w:val="0"/>
      <w:divBdr>
        <w:top w:val="none" w:sz="0" w:space="0" w:color="auto"/>
        <w:left w:val="none" w:sz="0" w:space="0" w:color="auto"/>
        <w:bottom w:val="none" w:sz="0" w:space="0" w:color="auto"/>
        <w:right w:val="none" w:sz="0" w:space="0" w:color="auto"/>
      </w:divBdr>
    </w:div>
    <w:div w:id="1095243985">
      <w:bodyDiv w:val="1"/>
      <w:marLeft w:val="0"/>
      <w:marRight w:val="0"/>
      <w:marTop w:val="0"/>
      <w:marBottom w:val="0"/>
      <w:divBdr>
        <w:top w:val="none" w:sz="0" w:space="0" w:color="auto"/>
        <w:left w:val="none" w:sz="0" w:space="0" w:color="auto"/>
        <w:bottom w:val="none" w:sz="0" w:space="0" w:color="auto"/>
        <w:right w:val="none" w:sz="0" w:space="0" w:color="auto"/>
      </w:divBdr>
    </w:div>
    <w:div w:id="1134522809">
      <w:bodyDiv w:val="1"/>
      <w:marLeft w:val="0"/>
      <w:marRight w:val="0"/>
      <w:marTop w:val="0"/>
      <w:marBottom w:val="0"/>
      <w:divBdr>
        <w:top w:val="none" w:sz="0" w:space="0" w:color="auto"/>
        <w:left w:val="none" w:sz="0" w:space="0" w:color="auto"/>
        <w:bottom w:val="none" w:sz="0" w:space="0" w:color="auto"/>
        <w:right w:val="none" w:sz="0" w:space="0" w:color="auto"/>
      </w:divBdr>
    </w:div>
    <w:div w:id="1412459772">
      <w:bodyDiv w:val="1"/>
      <w:marLeft w:val="0"/>
      <w:marRight w:val="0"/>
      <w:marTop w:val="0"/>
      <w:marBottom w:val="0"/>
      <w:divBdr>
        <w:top w:val="none" w:sz="0" w:space="0" w:color="auto"/>
        <w:left w:val="none" w:sz="0" w:space="0" w:color="auto"/>
        <w:bottom w:val="none" w:sz="0" w:space="0" w:color="auto"/>
        <w:right w:val="none" w:sz="0" w:space="0" w:color="auto"/>
      </w:divBdr>
      <w:divsChild>
        <w:div w:id="2007316942">
          <w:marLeft w:val="0"/>
          <w:marRight w:val="0"/>
          <w:marTop w:val="0"/>
          <w:marBottom w:val="0"/>
          <w:divBdr>
            <w:top w:val="none" w:sz="0" w:space="0" w:color="auto"/>
            <w:left w:val="none" w:sz="0" w:space="0" w:color="auto"/>
            <w:bottom w:val="none" w:sz="0" w:space="0" w:color="auto"/>
            <w:right w:val="none" w:sz="0" w:space="0" w:color="auto"/>
          </w:divBdr>
        </w:div>
        <w:div w:id="517697676">
          <w:marLeft w:val="0"/>
          <w:marRight w:val="0"/>
          <w:marTop w:val="0"/>
          <w:marBottom w:val="0"/>
          <w:divBdr>
            <w:top w:val="none" w:sz="0" w:space="0" w:color="auto"/>
            <w:left w:val="none" w:sz="0" w:space="0" w:color="auto"/>
            <w:bottom w:val="none" w:sz="0" w:space="0" w:color="auto"/>
            <w:right w:val="none" w:sz="0" w:space="0" w:color="auto"/>
          </w:divBdr>
        </w:div>
        <w:div w:id="1655984515">
          <w:marLeft w:val="0"/>
          <w:marRight w:val="0"/>
          <w:marTop w:val="0"/>
          <w:marBottom w:val="0"/>
          <w:divBdr>
            <w:top w:val="none" w:sz="0" w:space="0" w:color="auto"/>
            <w:left w:val="none" w:sz="0" w:space="0" w:color="auto"/>
            <w:bottom w:val="none" w:sz="0" w:space="0" w:color="auto"/>
            <w:right w:val="none" w:sz="0" w:space="0" w:color="auto"/>
          </w:divBdr>
        </w:div>
        <w:div w:id="1003511359">
          <w:marLeft w:val="0"/>
          <w:marRight w:val="0"/>
          <w:marTop w:val="0"/>
          <w:marBottom w:val="0"/>
          <w:divBdr>
            <w:top w:val="none" w:sz="0" w:space="0" w:color="auto"/>
            <w:left w:val="none" w:sz="0" w:space="0" w:color="auto"/>
            <w:bottom w:val="none" w:sz="0" w:space="0" w:color="auto"/>
            <w:right w:val="none" w:sz="0" w:space="0" w:color="auto"/>
          </w:divBdr>
        </w:div>
        <w:div w:id="1049843726">
          <w:marLeft w:val="0"/>
          <w:marRight w:val="0"/>
          <w:marTop w:val="0"/>
          <w:marBottom w:val="0"/>
          <w:divBdr>
            <w:top w:val="none" w:sz="0" w:space="0" w:color="auto"/>
            <w:left w:val="none" w:sz="0" w:space="0" w:color="auto"/>
            <w:bottom w:val="none" w:sz="0" w:space="0" w:color="auto"/>
            <w:right w:val="none" w:sz="0" w:space="0" w:color="auto"/>
          </w:divBdr>
        </w:div>
        <w:div w:id="1063135257">
          <w:marLeft w:val="0"/>
          <w:marRight w:val="0"/>
          <w:marTop w:val="0"/>
          <w:marBottom w:val="0"/>
          <w:divBdr>
            <w:top w:val="none" w:sz="0" w:space="0" w:color="auto"/>
            <w:left w:val="none" w:sz="0" w:space="0" w:color="auto"/>
            <w:bottom w:val="none" w:sz="0" w:space="0" w:color="auto"/>
            <w:right w:val="none" w:sz="0" w:space="0" w:color="auto"/>
          </w:divBdr>
        </w:div>
        <w:div w:id="1657756499">
          <w:marLeft w:val="0"/>
          <w:marRight w:val="0"/>
          <w:marTop w:val="0"/>
          <w:marBottom w:val="0"/>
          <w:divBdr>
            <w:top w:val="none" w:sz="0" w:space="0" w:color="auto"/>
            <w:left w:val="none" w:sz="0" w:space="0" w:color="auto"/>
            <w:bottom w:val="none" w:sz="0" w:space="0" w:color="auto"/>
            <w:right w:val="none" w:sz="0" w:space="0" w:color="auto"/>
          </w:divBdr>
        </w:div>
        <w:div w:id="859585540">
          <w:marLeft w:val="0"/>
          <w:marRight w:val="0"/>
          <w:marTop w:val="0"/>
          <w:marBottom w:val="0"/>
          <w:divBdr>
            <w:top w:val="none" w:sz="0" w:space="0" w:color="auto"/>
            <w:left w:val="none" w:sz="0" w:space="0" w:color="auto"/>
            <w:bottom w:val="none" w:sz="0" w:space="0" w:color="auto"/>
            <w:right w:val="none" w:sz="0" w:space="0" w:color="auto"/>
          </w:divBdr>
        </w:div>
        <w:div w:id="35857054">
          <w:marLeft w:val="0"/>
          <w:marRight w:val="0"/>
          <w:marTop w:val="0"/>
          <w:marBottom w:val="0"/>
          <w:divBdr>
            <w:top w:val="none" w:sz="0" w:space="0" w:color="auto"/>
            <w:left w:val="none" w:sz="0" w:space="0" w:color="auto"/>
            <w:bottom w:val="none" w:sz="0" w:space="0" w:color="auto"/>
            <w:right w:val="none" w:sz="0" w:space="0" w:color="auto"/>
          </w:divBdr>
        </w:div>
        <w:div w:id="644627641">
          <w:marLeft w:val="0"/>
          <w:marRight w:val="0"/>
          <w:marTop w:val="0"/>
          <w:marBottom w:val="0"/>
          <w:divBdr>
            <w:top w:val="none" w:sz="0" w:space="0" w:color="auto"/>
            <w:left w:val="none" w:sz="0" w:space="0" w:color="auto"/>
            <w:bottom w:val="none" w:sz="0" w:space="0" w:color="auto"/>
            <w:right w:val="none" w:sz="0" w:space="0" w:color="auto"/>
          </w:divBdr>
        </w:div>
        <w:div w:id="606273573">
          <w:marLeft w:val="0"/>
          <w:marRight w:val="0"/>
          <w:marTop w:val="0"/>
          <w:marBottom w:val="0"/>
          <w:divBdr>
            <w:top w:val="none" w:sz="0" w:space="0" w:color="auto"/>
            <w:left w:val="none" w:sz="0" w:space="0" w:color="auto"/>
            <w:bottom w:val="none" w:sz="0" w:space="0" w:color="auto"/>
            <w:right w:val="none" w:sz="0" w:space="0" w:color="auto"/>
          </w:divBdr>
        </w:div>
        <w:div w:id="81219225">
          <w:marLeft w:val="0"/>
          <w:marRight w:val="0"/>
          <w:marTop w:val="0"/>
          <w:marBottom w:val="0"/>
          <w:divBdr>
            <w:top w:val="none" w:sz="0" w:space="0" w:color="auto"/>
            <w:left w:val="none" w:sz="0" w:space="0" w:color="auto"/>
            <w:bottom w:val="none" w:sz="0" w:space="0" w:color="auto"/>
            <w:right w:val="none" w:sz="0" w:space="0" w:color="auto"/>
          </w:divBdr>
        </w:div>
      </w:divsChild>
    </w:div>
    <w:div w:id="1490368667">
      <w:bodyDiv w:val="1"/>
      <w:marLeft w:val="0"/>
      <w:marRight w:val="0"/>
      <w:marTop w:val="0"/>
      <w:marBottom w:val="0"/>
      <w:divBdr>
        <w:top w:val="none" w:sz="0" w:space="0" w:color="auto"/>
        <w:left w:val="none" w:sz="0" w:space="0" w:color="auto"/>
        <w:bottom w:val="none" w:sz="0" w:space="0" w:color="auto"/>
        <w:right w:val="none" w:sz="0" w:space="0" w:color="auto"/>
      </w:divBdr>
    </w:div>
    <w:div w:id="1692872854">
      <w:bodyDiv w:val="1"/>
      <w:marLeft w:val="0"/>
      <w:marRight w:val="0"/>
      <w:marTop w:val="0"/>
      <w:marBottom w:val="0"/>
      <w:divBdr>
        <w:top w:val="none" w:sz="0" w:space="0" w:color="auto"/>
        <w:left w:val="none" w:sz="0" w:space="0" w:color="auto"/>
        <w:bottom w:val="none" w:sz="0" w:space="0" w:color="auto"/>
        <w:right w:val="none" w:sz="0" w:space="0" w:color="auto"/>
      </w:divBdr>
    </w:div>
    <w:div w:id="2133942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5.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A6C7C-00A9-4E98-AACA-E2E675D3B529}">
  <ds:schemaRefs>
    <ds:schemaRef ds:uri="http://schemas.openxmlformats.org/officeDocument/2006/bibliography"/>
  </ds:schemaRefs>
</ds:datastoreItem>
</file>

<file path=customXml/itemProps2.xml><?xml version="1.0" encoding="utf-8"?>
<ds:datastoreItem xmlns:ds="http://schemas.openxmlformats.org/officeDocument/2006/customXml" ds:itemID="{86AC2934-66B0-4BB0-97FB-51648E97C0BC}">
  <ds:schemaRefs>
    <ds:schemaRef ds:uri="http://schemas.openxmlformats.org/officeDocument/2006/bibliography"/>
  </ds:schemaRefs>
</ds:datastoreItem>
</file>

<file path=customXml/itemProps3.xml><?xml version="1.0" encoding="utf-8"?>
<ds:datastoreItem xmlns:ds="http://schemas.openxmlformats.org/officeDocument/2006/customXml" ds:itemID="{A7B02B46-3C97-4748-A551-6A20208D8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22109</Words>
  <Characters>126024</Characters>
  <Application>Microsoft Office Word</Application>
  <DocSecurity>0</DocSecurity>
  <PresentationFormat/>
  <Lines>1050</Lines>
  <Paragraphs>295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147838</CharactersWithSpaces>
  <SharedDoc>false</SharedDoc>
  <HyperlinkBase/>
  <HLinks>
    <vt:vector size="6" baseType="variant">
      <vt:variant>
        <vt:i4>3407909</vt:i4>
      </vt:variant>
      <vt:variant>
        <vt:i4>42</vt:i4>
      </vt:variant>
      <vt:variant>
        <vt:i4>0</vt:i4>
      </vt:variant>
      <vt:variant>
        <vt:i4>5</vt:i4>
      </vt:variant>
      <vt:variant>
        <vt:lpwstr>http://www.gwmgroupinc.com/iacapitalstructures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1901-01-01T04:00:00Z</cp:lastPrinted>
  <dcterms:created xsi:type="dcterms:W3CDTF">2015-08-07T21:21:00Z</dcterms:created>
  <dcterms:modified xsi:type="dcterms:W3CDTF">2016-07-28T19:00:00Z</dcterms:modified>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WFooter">
    <vt:lpwstr>MHC-9494841-2</vt:lpwstr>
  </property>
</Properties>
</file>