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Cs/>
          <w:b/>
        </w:rPr>
        <w:t xml:space="preserve">Title:</w:t>
      </w:r>
      <w:r>
        <w:t xml:space="preserve"> </w:t>
      </w:r>
      <w:r>
        <w:t xml:space="preserve">(Understanding the decoupling of CO</w:t>
      </w:r>
      <w:r>
        <w:rPr>
          <w:vertAlign w:val="subscript"/>
        </w:rPr>
        <w:t xml:space="preserve">2</w:t>
      </w:r>
      <w:r>
        <w:t xml:space="preserve"> </w:t>
      </w:r>
      <w:r>
        <w:t xml:space="preserve">uptake and woody production)</w:t>
      </w:r>
    </w:p>
    <w:p>
      <w:pPr>
        <w:pStyle w:val="BodyText"/>
      </w:pPr>
      <w:r>
        <w:rPr>
          <w:bCs/>
          <w:b/>
        </w:rPr>
        <w:t xml:space="preserve">Authors:</w:t>
      </w:r>
    </w:p>
    <w:p>
      <w:pPr>
        <w:pStyle w:val="BodyText"/>
      </w:pPr>
      <w:r>
        <w:t xml:space="preserve">Kristina J. Anderson-Teixeira</w:t>
      </w:r>
      <w:r>
        <w:rPr>
          <w:vertAlign w:val="superscript"/>
        </w:rPr>
        <w:t xml:space="preserve">1,2</w:t>
      </w:r>
      <w:r>
        <w:t xml:space="preserve">* ( Orcid ID : 0000-0001-8461-9713)</w:t>
      </w:r>
    </w:p>
    <w:p>
      <w:pPr>
        <w:pStyle w:val="BodyText"/>
      </w:pPr>
      <w:r>
        <w:rPr>
          <w:bCs/>
          <w:b/>
        </w:rPr>
        <w:t xml:space="preserve">Author Affiliations:</w:t>
      </w:r>
    </w:p>
    <w:p>
      <w:pPr>
        <w:numPr>
          <w:ilvl w:val="0"/>
          <w:numId w:val="1001"/>
        </w:numPr>
      </w:pPr>
      <w:r>
        <w:t xml:space="preserve">Conservation Ecology Center; Smithsonian Conservation Biology Institute; Front Royal, Virginia 22630, USA</w:t>
      </w:r>
    </w:p>
    <w:p>
      <w:pPr>
        <w:numPr>
          <w:ilvl w:val="0"/>
          <w:numId w:val="1001"/>
        </w:numPr>
      </w:pPr>
      <w:r>
        <w:t xml:space="preserve">Forest Global Earth Observatory; Smithsonian Tropical Research Institute; Panama, Republic of Panama</w:t>
      </w:r>
    </w:p>
    <w:p>
      <w:pPr>
        <w:pStyle w:val="FirstParagraph"/>
      </w:pPr>
      <w:r>
        <w:t xml:space="preserve">*corresponding author:</w:t>
      </w:r>
      <w:r>
        <w:t xml:space="preserve"> </w:t>
      </w:r>
      <w:hyperlink r:id="rId20">
        <w:r>
          <w:rPr>
            <w:rStyle w:val="Hyperlink"/>
          </w:rPr>
          <w:t xml:space="preserve">teixeirak@si.edu</w:t>
        </w:r>
      </w:hyperlink>
      <w:r>
        <w:t xml:space="preserve">; +1 540 635 6546</w:t>
      </w:r>
    </w:p>
    <w:p>
      <w:r>
        <w:br w:type="page"/>
      </w:r>
    </w:p>
    <w:p>
      <w:pPr>
        <w:pStyle w:val="BodyText"/>
      </w:pPr>
      <w:r>
        <w:t xml:space="preserve">Martínez-Sancho et al. use an innovate approach to …</w:t>
      </w:r>
    </w:p>
    <w:p>
      <w:pPr>
        <w:pStyle w:val="BodyText"/>
      </w:pPr>
      <w:r>
        <w:t xml:space="preserve">There is growing evidence that CO</w:t>
      </w:r>
      <w:r>
        <w:rPr>
          <w:vertAlign w:val="subscript"/>
        </w:rPr>
        <w:t xml:space="preserve">2</w:t>
      </w:r>
      <w:r>
        <w:t xml:space="preserve"> </w:t>
      </w:r>
      <w:r>
        <w:t xml:space="preserve">uptake and woody production are decoupled.</w:t>
      </w:r>
      <w:r>
        <w:t xml:space="preserve"> </w:t>
      </w:r>
      <w:r>
        <w:t xml:space="preserve">…</w:t>
      </w:r>
      <w:r>
        <w:t xml:space="preserve">(Jiang</w:t>
      </w:r>
      <w:r>
        <w:t xml:space="preserve"> </w:t>
      </w:r>
      <w:r>
        <w:rPr>
          <w:iCs/>
          <w:i/>
        </w:rPr>
        <w:t xml:space="preserve">et al.</w:t>
      </w:r>
      <w:r>
        <w:t xml:space="preserve">, 2020)</w:t>
      </w:r>
      <w:r>
        <w:t xml:space="preserve"> </w:t>
      </w:r>
      <w:r>
        <w:t xml:space="preserve">…</w:t>
      </w:r>
      <w:r>
        <w:t xml:space="preserve">(Dow</w:t>
      </w:r>
      <w:r>
        <w:t xml:space="preserve"> </w:t>
      </w:r>
      <w:r>
        <w:rPr>
          <w:iCs/>
          <w:i/>
        </w:rPr>
        <w:t xml:space="preserve">et al.</w:t>
      </w:r>
      <w:r>
        <w:t xml:space="preserve">, in press)</w:t>
      </w:r>
      <w:r>
        <w:t xml:space="preserve"> </w:t>
      </w:r>
      <w:r>
        <w:t xml:space="preserve">…</w:t>
      </w:r>
      <w:r>
        <w:t xml:space="preserve">(Cabon</w:t>
      </w:r>
      <w:r>
        <w:t xml:space="preserve"> </w:t>
      </w:r>
      <w:r>
        <w:rPr>
          <w:iCs/>
          <w:i/>
        </w:rPr>
        <w:t xml:space="preserve">et al.</w:t>
      </w:r>
      <w:r>
        <w:t xml:space="preserve">, 2022)</w:t>
      </w:r>
      <w:r>
        <w:t xml:space="preserve"> </w:t>
      </w:r>
      <w:r>
        <w:t xml:space="preserve">….</w:t>
      </w:r>
      <w:r>
        <w:t xml:space="preserve"> </w:t>
      </w:r>
      <w:r>
        <w:t xml:space="preserve">(Kannenberg</w:t>
      </w:r>
      <w:r>
        <w:t xml:space="preserve"> </w:t>
      </w:r>
      <w:r>
        <w:rPr>
          <w:iCs/>
          <w:i/>
        </w:rPr>
        <w:t xml:space="preserve">et al.</w:t>
      </w:r>
      <w:r>
        <w:t xml:space="preserve">, 2022)</w:t>
      </w:r>
      <w:r>
        <w:t xml:space="preserve"> </w:t>
      </w:r>
      <w:r>
        <w:t xml:space="preserve">Of course, these observations of decoupling do not imply that</w:t>
      </w:r>
      <w:r>
        <w:t xml:space="preserve"> </w:t>
      </w:r>
      <w:r>
        <w:rPr>
          <w:iCs/>
          <w:i/>
        </w:rPr>
        <w:t xml:space="preserve">ANPP</w:t>
      </w:r>
      <w:r>
        <w:rPr>
          <w:vertAlign w:val="subscript"/>
          <w:iCs/>
          <w:i/>
        </w:rPr>
        <w:t xml:space="preserve">woody</w:t>
      </w:r>
      <w:r>
        <w:t xml:space="preserve"> </w:t>
      </w:r>
      <w:r>
        <w:t xml:space="preserve">is completely decoupled from</w:t>
      </w:r>
      <w:r>
        <w:t xml:space="preserve"> </w:t>
      </w:r>
      <w:r>
        <w:rPr>
          <w:iCs/>
          <w:i/>
        </w:rPr>
        <w:t xml:space="preserve">GPP</w:t>
      </w:r>
      <w:r>
        <w:t xml:space="preserve">; rather, the two show some level of correlation both in relation to interannual climatic variation at a single site</w:t>
      </w:r>
      <w:r>
        <w:t xml:space="preserve"> </w:t>
      </w:r>
      <w:r>
        <w:t xml:space="preserve">(Cabon</w:t>
      </w:r>
      <w:r>
        <w:t xml:space="preserve"> </w:t>
      </w:r>
      <w:r>
        <w:rPr>
          <w:iCs/>
          <w:i/>
        </w:rPr>
        <w:t xml:space="preserve">et al.</w:t>
      </w:r>
      <w:r>
        <w:t xml:space="preserve">, 2022)</w:t>
      </w:r>
      <w:r>
        <w:t xml:space="preserve"> </w:t>
      </w:r>
      <w:r>
        <w:t xml:space="preserve">and across broad climatic gradients</w:t>
      </w:r>
      <w:r>
        <w:t xml:space="preserve"> </w:t>
      </w:r>
      <w:r>
        <w:t xml:space="preserve">(Banbury Morgan</w:t>
      </w:r>
      <w:r>
        <w:t xml:space="preserve"> </w:t>
      </w:r>
      <w:r>
        <w:rPr>
          <w:iCs/>
          <w:i/>
        </w:rPr>
        <w:t xml:space="preserve">et al.</w:t>
      </w:r>
      <w:r>
        <w:t xml:space="preserve">, 2021)</w:t>
      </w:r>
      <w:r>
        <w:t xml:space="preserve">.</w:t>
      </w:r>
      <w:r>
        <w:t xml:space="preserve"> </w:t>
      </w:r>
      <w:r>
        <w:t xml:space="preserve">However, we now have clear evidence that we cannot expect that a constant allocation of photosynthate will be coupled to woody growth, on either intraanuual or interannual time scales.</w:t>
      </w:r>
    </w:p>
    <w:p>
      <w:pPr>
        <w:pStyle w:val="BodyText"/>
      </w:pPr>
      <w:r>
        <w:t xml:space="preserve">C allocation to woody growth is an important parameter in models, yet models get it wrong.</w:t>
      </w:r>
      <w:r>
        <w:t xml:space="preserve"> </w:t>
      </w:r>
      <w:r>
        <w:t xml:space="preserve">Therefore, this is an important uncertainty.</w:t>
      </w:r>
      <w:r>
        <w:br/>
      </w:r>
      <w:r>
        <w:t xml:space="preserve">To get models right, we need to understand seasonal patterns of C allocation to woody growth and how they are influenced by climate variation (and change)</w:t>
      </w:r>
    </w:p>
    <w:p>
      <w:pPr>
        <w:pStyle w:val="BodyText"/>
      </w:pPr>
      <w:r>
        <w:t xml:space="preserve">(describe typical seasonal patterns, including what was known and what Martinez-Sancho contributed.)</w:t>
      </w:r>
    </w:p>
    <w:p>
      <w:pPr>
        <w:pStyle w:val="BodyText"/>
      </w:pPr>
      <w:r>
        <w:t xml:space="preserve">(talk about drought impacts)</w:t>
      </w:r>
    </w:p>
    <w:p>
      <w:r>
        <w:br w:type="page"/>
      </w:r>
    </w:p>
    <w:bookmarkStart w:id="27" w:name="References"/>
    <w:p>
      <w:pPr>
        <w:pStyle w:val="Heading1"/>
      </w:pPr>
      <w:r>
        <w:t xml:space="preserve">References</w:t>
      </w:r>
    </w:p>
    <w:bookmarkStart w:id="26" w:name="refs"/>
    <w:bookmarkStart w:id="21" w:name="ref-banburymorgan_global_2021"/>
    <w:p>
      <w:pPr>
        <w:pStyle w:val="Bibliography"/>
      </w:pPr>
      <w:r>
        <w:rPr>
          <w:bCs/>
          <w:b/>
          <w:bCs/>
          <w:b/>
        </w:rPr>
        <w:t xml:space="preserve">Banbury Morgan R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Herrmann V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Kunert N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Bond-Lamberty B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Muller-Landau HC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Anderson-Teixeira KJ</w:t>
      </w:r>
      <w:r>
        <w:t xml:space="preserve">.</w:t>
      </w:r>
      <w:r>
        <w:t xml:space="preserve"> </w:t>
      </w:r>
      <w:r>
        <w:rPr>
          <w:bCs/>
          <w:b/>
        </w:rPr>
        <w:t xml:space="preserve">2021</w:t>
      </w:r>
      <w:r>
        <w:t xml:space="preserve">. Global patterns of forest autotrophic carbon fluxes.</w:t>
      </w:r>
      <w:r>
        <w:t xml:space="preserve"> </w:t>
      </w:r>
      <w:r>
        <w:rPr>
          <w:iCs/>
          <w:i/>
        </w:rPr>
        <w:t xml:space="preserve">Global Change Biology</w:t>
      </w:r>
      <w:r>
        <w:t xml:space="preserve"> </w:t>
      </w:r>
      <w:r>
        <w:rPr>
          <w:bCs/>
          <w:b/>
        </w:rPr>
        <w:t xml:space="preserve">27</w:t>
      </w:r>
      <w:r>
        <w:t xml:space="preserve">: 2840–2855.</w:t>
      </w:r>
    </w:p>
    <w:bookmarkEnd w:id="21"/>
    <w:bookmarkStart w:id="22" w:name="ref-cabon_crossbiome_2022"/>
    <w:p>
      <w:pPr>
        <w:pStyle w:val="Bibliography"/>
      </w:pPr>
      <w:r>
        <w:rPr>
          <w:bCs/>
          <w:b/>
          <w:bCs/>
          <w:b/>
        </w:rPr>
        <w:t xml:space="preserve">Cabon A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Kannenberg SA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Arain A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Babst F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Baldocchi D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Belmecheri S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Delpierre N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Guerrieri R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Maxwell JT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McKenzie S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iCs/>
          <w:i/>
          <w:bCs/>
          <w:b/>
        </w:rPr>
        <w:t xml:space="preserve">et al.</w:t>
      </w:r>
      <w:r>
        <w:t xml:space="preserve"> </w:t>
      </w:r>
      <w:r>
        <w:rPr>
          <w:bCs/>
          <w:b/>
        </w:rPr>
        <w:t xml:space="preserve">2022</w:t>
      </w:r>
      <w:r>
        <w:t xml:space="preserve">. Cross-biome synthesis of source versus sink limits to tree growth.</w:t>
      </w:r>
      <w:r>
        <w:t xml:space="preserve"> </w:t>
      </w:r>
      <w:r>
        <w:rPr>
          <w:iCs/>
          <w:i/>
        </w:rPr>
        <w:t xml:space="preserve">Science</w:t>
      </w:r>
      <w:r>
        <w:t xml:space="preserve"> </w:t>
      </w:r>
      <w:r>
        <w:rPr>
          <w:bCs/>
          <w:b/>
        </w:rPr>
        <w:t xml:space="preserve">376</w:t>
      </w:r>
      <w:r>
        <w:t xml:space="preserve">: 758–761.</w:t>
      </w:r>
    </w:p>
    <w:bookmarkEnd w:id="22"/>
    <w:bookmarkStart w:id="23" w:name="ref-dow_warm_inpress"/>
    <w:p>
      <w:pPr>
        <w:pStyle w:val="Bibliography"/>
      </w:pPr>
      <w:r>
        <w:rPr>
          <w:bCs/>
          <w:b/>
          <w:bCs/>
          <w:b/>
        </w:rPr>
        <w:t xml:space="preserve">Dow C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Kim A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Loïc D’Orangeville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Gonzalez-Akre E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Helcoski R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Herrmann V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Harley G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Maxwell J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McGregor I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McShea W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iCs/>
          <w:i/>
          <w:bCs/>
          <w:b/>
        </w:rPr>
        <w:t xml:space="preserve">et al.</w:t>
      </w:r>
      <w:r>
        <w:t xml:space="preserve"> </w:t>
      </w:r>
      <w:r>
        <w:rPr>
          <w:bCs/>
          <w:b/>
        </w:rPr>
        <w:t xml:space="preserve">in press</w:t>
      </w:r>
      <w:r>
        <w:t xml:space="preserve">. Warm springs alter timing but not total growth of temperate deciduous trees.</w:t>
      </w:r>
      <w:r>
        <w:t xml:space="preserve"> </w:t>
      </w:r>
      <w:r>
        <w:rPr>
          <w:iCs/>
          <w:i/>
        </w:rPr>
        <w:t xml:space="preserve">Nature</w:t>
      </w:r>
      <w:r>
        <w:t xml:space="preserve">.</w:t>
      </w:r>
    </w:p>
    <w:bookmarkEnd w:id="23"/>
    <w:bookmarkStart w:id="24" w:name="ref-jiang_fate_2020"/>
    <w:p>
      <w:pPr>
        <w:pStyle w:val="Bibliography"/>
      </w:pPr>
      <w:r>
        <w:rPr>
          <w:bCs/>
          <w:b/>
          <w:bCs/>
          <w:b/>
        </w:rPr>
        <w:t xml:space="preserve">Jiang M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Medlyn BE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Drake JE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Duursma RA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Anderson IC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Barton CVM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Boer MM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Carrillo Y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Castañeda-Gómez L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Collins L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iCs/>
          <w:i/>
          <w:bCs/>
          <w:b/>
        </w:rPr>
        <w:t xml:space="preserve">et al.</w:t>
      </w:r>
      <w:r>
        <w:t xml:space="preserve"> </w:t>
      </w:r>
      <w:r>
        <w:rPr>
          <w:bCs/>
          <w:b/>
        </w:rPr>
        <w:t xml:space="preserve">2020</w:t>
      </w:r>
      <w:r>
        <w:t xml:space="preserve">. The fate of carbon in a mature forest under carbon dioxide enrichment.</w:t>
      </w:r>
      <w:r>
        <w:t xml:space="preserve"> </w:t>
      </w:r>
      <w:r>
        <w:rPr>
          <w:iCs/>
          <w:i/>
        </w:rPr>
        <w:t xml:space="preserve">Nature</w:t>
      </w:r>
      <w:r>
        <w:t xml:space="preserve"> </w:t>
      </w:r>
      <w:r>
        <w:rPr>
          <w:bCs/>
          <w:b/>
        </w:rPr>
        <w:t xml:space="preserve">580</w:t>
      </w:r>
      <w:r>
        <w:t xml:space="preserve">: 227–231.</w:t>
      </w:r>
    </w:p>
    <w:bookmarkEnd w:id="24"/>
    <w:bookmarkStart w:id="25" w:name="ref-kannenberg_droughtinduced_2022"/>
    <w:p>
      <w:pPr>
        <w:pStyle w:val="Bibliography"/>
      </w:pPr>
      <w:r>
        <w:rPr>
          <w:bCs/>
          <w:b/>
          <w:bCs/>
          <w:b/>
        </w:rPr>
        <w:t xml:space="preserve">Kannenberg SA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Cabon A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Babst F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Belmecheri S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Delpierre N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Guerrieri R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Maxwell JT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Meinzer FC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Moore DJP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Pappas C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iCs/>
          <w:i/>
          <w:bCs/>
          <w:b/>
        </w:rPr>
        <w:t xml:space="preserve">et al.</w:t>
      </w:r>
      <w:r>
        <w:t xml:space="preserve"> </w:t>
      </w:r>
      <w:r>
        <w:rPr>
          <w:bCs/>
          <w:b/>
        </w:rPr>
        <w:t xml:space="preserve">2022</w:t>
      </w:r>
      <w:r>
        <w:t xml:space="preserve">. Drought-induced decoupling between carbon uptake and tree growth impacts forest carbon turnover time.</w:t>
      </w:r>
      <w:r>
        <w:t xml:space="preserve"> </w:t>
      </w:r>
      <w:r>
        <w:rPr>
          <w:iCs/>
          <w:i/>
        </w:rPr>
        <w:t xml:space="preserve">Agricultural and Forest Meteorology</w:t>
      </w:r>
      <w:r>
        <w:t xml:space="preserve"> </w:t>
      </w:r>
      <w:r>
        <w:rPr>
          <w:bCs/>
          <w:b/>
        </w:rPr>
        <w:t xml:space="preserve">322</w:t>
      </w:r>
      <w:r>
        <w:t xml:space="preserve">: 108996.</w:t>
      </w:r>
    </w:p>
    <w:bookmarkEnd w:id="25"/>
    <w:bookmarkEnd w:id="26"/>
    <w:bookmarkEnd w:id="27"/>
    <w:sectPr w:rsidR="00300462" w:rsidSect="00F93C6A">
      <w:footerReference w:type="even" r:id="rId10"/>
      <w:footerReference w:type="default" r:id="rId9"/>
      <w:pgSz w:w="12240" w:h="15840"/>
      <w:pgMar w:top="1440" w:right="1440" w:bottom="1440" w:left="1440" w:header="720" w:footer="720" w:gutter="0"/>
      <w:lnNumType w:countBy="1" w:restart="continuous"/>
      <w:cols w:space="720"/>
      <w:docGrid w:linePitch="299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1069534609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57CDBF3" w14:textId="0060D992" w:rsidR="00F93C6A" w:rsidRDefault="00F93C6A" w:rsidP="00F93C6A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47E1F1F" w14:textId="77777777" w:rsidR="00F93C6A" w:rsidRDefault="00F93C6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152374224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0316D01" w14:textId="5F070589" w:rsidR="00F93C6A" w:rsidRDefault="00F93C6A" w:rsidP="00F93C6A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30E444D5" w14:textId="77777777" w:rsidR="00F93C6A" w:rsidRDefault="00F93C6A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A454B4C"/>
    <w:multiLevelType w:val="multilevel"/>
    <w:tmpl w:val="9B9AE3D4"/>
    <w:lvl w:ilvl="0">
      <w:start w:val="1"/>
      <w:numFmt w:val="decimal"/>
      <w:lvlText w:val="%1."/>
      <w:lvlJc w:val="left"/>
      <w:pPr>
        <w:ind w:left="360" w:hanging="36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FFDAFAC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71315DCA"/>
    <w:multiLevelType w:val="multilevel"/>
    <w:tmpl w:val="724A05B8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>
    <w:abstractNumId w:val="1"/>
  </w:num>
  <w:num w:numId="2">
    <w:abstractNumId w:val="0"/>
  </w:num>
  <w:num w:numId="3">
    <w:abstractNumId w:val="0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0"/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9171D"/>
    <w:rPr>
      <w:rFonts w:ascii="Palatino Linotype" w:hAnsi="Palatino Linotype"/>
      <w:sz w:val="22"/>
      <w:szCs w:val="22"/>
    </w:rPr>
  </w:style>
  <w:style w:type="paragraph" w:styleId="Heading1">
    <w:name w:val="heading 1"/>
    <w:basedOn w:val="Normal"/>
    <w:next w:val="BodyText"/>
    <w:uiPriority w:val="9"/>
    <w:qFormat/>
    <w:rsid w:val="00536FDD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000000" w:themeColor="text1"/>
      <w:sz w:val="24"/>
      <w:szCs w:val="24"/>
    </w:rPr>
  </w:style>
  <w:style w:type="paragraph" w:styleId="Heading2">
    <w:name w:val="heading 2"/>
    <w:basedOn w:val="Normal"/>
    <w:next w:val="BodyText"/>
    <w:uiPriority w:val="9"/>
    <w:unhideWhenUsed/>
    <w:qFormat/>
    <w:rsid w:val="00ED0677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000000" w:themeColor="text1"/>
    </w:rPr>
  </w:style>
  <w:style w:type="paragraph" w:styleId="Heading3">
    <w:name w:val="heading 3"/>
    <w:basedOn w:val="Normal"/>
    <w:next w:val="BodyText"/>
    <w:uiPriority w:val="9"/>
    <w:unhideWhenUsed/>
    <w:qFormat/>
    <w:rsid w:val="00ED0677"/>
    <w:pPr>
      <w:keepNext/>
      <w:keepLines/>
      <w:spacing w:before="200" w:after="0"/>
      <w:outlineLvl w:val="2"/>
    </w:pPr>
    <w:rPr>
      <w:rFonts w:eastAsiaTheme="majorEastAsia" w:cstheme="majorBidi"/>
      <w:i/>
      <w:iCs/>
      <w:color w:val="000000" w:themeColor="text1"/>
    </w:rPr>
  </w:style>
  <w:style w:type="paragraph" w:styleId="Heading4">
    <w:name w:val="heading 4"/>
    <w:basedOn w:val="Normal"/>
    <w:next w:val="BodyText"/>
    <w:uiPriority w:val="9"/>
    <w:unhideWhenUsed/>
    <w:qFormat/>
    <w:rsid w:val="003B551E"/>
    <w:pPr>
      <w:keepNext/>
      <w:keepLines/>
      <w:spacing w:before="200" w:after="0"/>
      <w:outlineLvl w:val="3"/>
    </w:pPr>
    <w:rPr>
      <w:rFonts w:eastAsiaTheme="majorEastAsia" w:cstheme="majorBidi"/>
      <w:bCs/>
      <w:i/>
      <w:color w:val="000000" w:themeColor="tex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29171D"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Heading2"/>
    <w:next w:val="BodyText"/>
    <w:qFormat/>
    <w:rsid w:val="003B551E"/>
    <w:rPr>
      <w:sz w:val="24"/>
      <w:szCs w:val="24"/>
    </w:rPr>
  </w:style>
  <w:style w:type="paragraph" w:styleId="Subtitle">
    <w:name w:val="Subtitle"/>
    <w:basedOn w:val="Title"/>
    <w:next w:val="BodyText"/>
    <w:qFormat/>
    <w:pPr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BalloonText">
    <w:name w:val="Balloon Text"/>
    <w:basedOn w:val="Normal"/>
    <w:link w:val="BalloonTextChar"/>
    <w:semiHidden/>
    <w:unhideWhenUsed/>
    <w:rsid w:val="00C169C3"/>
    <w:pPr>
      <w:spacing w:after="0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C169C3"/>
    <w:rPr>
      <w:rFonts w:ascii="Times New Roman" w:hAnsi="Times New Roman" w:cs="Times New Roman"/>
      <w:sz w:val="18"/>
      <w:szCs w:val="18"/>
    </w:rPr>
  </w:style>
  <w:style w:type="paragraph" w:styleId="Footer">
    <w:name w:val="footer"/>
    <w:basedOn w:val="Normal"/>
    <w:link w:val="FooterChar"/>
    <w:unhideWhenUsed/>
    <w:rsid w:val="00F93C6A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F93C6A"/>
    <w:rPr>
      <w:rFonts w:ascii="Palatino Linotype" w:hAnsi="Palatino Linotype"/>
      <w:sz w:val="22"/>
      <w:szCs w:val="22"/>
    </w:rPr>
  </w:style>
  <w:style w:type="character" w:styleId="PageNumber">
    <w:name w:val="page number"/>
    <w:basedOn w:val="DefaultParagraphFont"/>
    <w:semiHidden/>
    <w:unhideWhenUsed/>
    <w:rsid w:val="00F93C6A"/>
  </w:style>
  <w:style w:type="character" w:styleId="LineNumber">
    <w:name w:val="line number"/>
    <w:basedOn w:val="DefaultParagraphFont"/>
    <w:semiHidden/>
    <w:unhideWhenUsed/>
    <w:rsid w:val="00F93C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ype="http://schemas.openxmlformats.org/officeDocument/2006/relationships/footer" Target="footer2.xml" /><Relationship Id="rId10" Type="http://schemas.openxmlformats.org/officeDocument/2006/relationships/footer" Target="footer1.xml" /><Relationship Type="http://schemas.openxmlformats.org/officeDocument/2006/relationships/hyperlink" Id="rId20" Target="mailto:teixeirak@si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mailto:teixeirak@si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149</Words>
  <Characters>851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Smithsonian</Company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2022-05-30T11:33:13Z</dcterms:created>
  <dcterms:modified xsi:type="dcterms:W3CDTF">2022-05-30T11:33:13Z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references.bib</vt:lpwstr>
  </property>
  <property fmtid="{D5CDD505-2E9C-101B-9397-08002B2CF9AE}" pid="3" name="csl">
    <vt:lpwstr>new-phytologist.csl</vt:lpwstr>
  </property>
  <property fmtid="{D5CDD505-2E9C-101B-9397-08002B2CF9AE}" pid="4" name="output">
    <vt:lpwstr/>
  </property>
</Properties>
</file>