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rPr>
          <w:iCs/>
          <w:i/>
        </w:rPr>
        <w:t xml:space="preserve">What drives forest carbon storage? The ramifications of source-sink decoupling</w:t>
      </w:r>
      <w:r>
        <w:t xml:space="preserve"> </w:t>
      </w:r>
      <w:r>
        <w:t xml:space="preserve">OR</w:t>
      </w:r>
      <w:r>
        <w:t xml:space="preserve"> </w:t>
      </w:r>
      <w:r>
        <w:rPr>
          <w:iCs/>
          <w:i/>
        </w:rPr>
        <w:t xml:space="preserve">Global change drivers have different impacts on CO</w:t>
      </w:r>
      <w:r>
        <w:rPr>
          <w:vertAlign w:val="subscript"/>
          <w:iCs/>
          <w:i/>
        </w:rPr>
        <w:t xml:space="preserve">2</w:t>
      </w:r>
      <w:r>
        <w:rPr>
          <w:iCs/>
          <w:i/>
        </w:rPr>
        <w:t xml:space="preserve"> </w:t>
      </w:r>
      <w:r>
        <w:rPr>
          <w:iCs/>
          <w:i/>
        </w:rPr>
        <w:t xml:space="preserve">uptake and carbon sequestration</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estimate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prioritizing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 enlargement requires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 across a range of time scales (</w:t>
      </w:r>
      <w:r>
        <w:rPr>
          <w:bCs/>
          <w:b/>
        </w:rPr>
        <w:t xml:space="preserve">Fig. 2?</w:t>
      </w:r>
      <w:r>
        <w:t xml:space="preserve">).</w:t>
      </w:r>
      <w:r>
        <w:t xml:space="preserve"> </w:t>
      </w:r>
      <w:r>
        <w:t xml:space="preserve">On time scales of seconds to hours, photosynthesis and stem growth are completely decoupled, with photosynthesis occurring during the day and most stem growth occurring at night when stem hydration is maximized</w:t>
      </w:r>
      <w:r>
        <w:t xml:space="preserve"> </w:t>
      </w:r>
      <w:r>
        <w:t xml:space="preserve">(Zweifel</w:t>
      </w:r>
      <w:r>
        <w:t xml:space="preserve"> </w:t>
      </w:r>
      <w:r>
        <w:rPr>
          <w:iCs/>
          <w:i/>
        </w:rPr>
        <w:t xml:space="preserve">et al.</w:t>
      </w:r>
      <w:r>
        <w:t xml:space="preserve">, 2021)</w:t>
      </w:r>
      <w:r>
        <w:t xml:space="preserve">.</w:t>
      </w:r>
      <w:r>
        <w:t xml:space="preserve"> </w:t>
      </w:r>
      <w:r>
        <w:t xml:space="preserve">On time scales of days to months, stem growth is influenced by photosynthesis, but is strongly constrained by air and soil moisture</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being more sensitive to drought than</w:t>
      </w:r>
      <w:r>
        <w:t xml:space="preserve"> </w:t>
      </w:r>
      <w:r>
        <w:rPr>
          <w:iCs/>
          <w:i/>
        </w:rPr>
        <w:t xml:space="preserve">GPP</w:t>
      </w:r>
      <w:r>
        <w:t xml:space="preserve"> </w:t>
      </w:r>
      <w:r>
        <w:t xml:space="preserve">(Kannenberg</w:t>
      </w:r>
      <w:r>
        <w:t xml:space="preserve"> </w:t>
      </w:r>
      <w:r>
        <w:rPr>
          <w:iCs/>
          <w:i/>
        </w:rPr>
        <w:t xml:space="preserve">et al.</w:t>
      </w:r>
      <w:r>
        <w:t xml:space="preserve">, 2022)</w:t>
      </w:r>
      <w:r>
        <w:t xml:space="preserve">.</w:t>
      </w:r>
      <w:r>
        <w:t xml:space="preserve"> </w:t>
      </w:r>
      <w:r>
        <w:t xml:space="preserve">On an annual time scale, woody aboveground net primary productivity (</w:t>
      </w:r>
      <w:r>
        <w:rPr>
          <w:iCs/>
          <w:i/>
        </w:rPr>
        <w:t xml:space="preserve">ANPP</w:t>
      </w:r>
      <w:r>
        <w:rPr>
          <w:vertAlign w:val="subscript"/>
          <w:iCs/>
          <w:i/>
        </w:rPr>
        <w:t xml:space="preserve">woody</w:t>
      </w:r>
      <w:r>
        <w:t xml:space="preserve">; stem growth scaled to the ecosystem scale) and</w:t>
      </w:r>
      <w:r>
        <w:t xml:space="preserve"> </w:t>
      </w:r>
      <w:r>
        <w:rPr>
          <w:iCs/>
          <w:i/>
        </w:rPr>
        <w:t xml:space="preserve">GPP</w:t>
      </w:r>
      <w:r>
        <w:t xml:space="preserve"> </w:t>
      </w:r>
      <w:r>
        <w:t xml:space="preserve">can be completely uncorrelated</w:t>
      </w:r>
      <w:r>
        <w:t xml:space="preserve"> </w:t>
      </w:r>
      <w:r>
        <w:t xml:space="preserve">(e.g., Delpierre</w:t>
      </w:r>
      <w:r>
        <w:t xml:space="preserve"> </w:t>
      </w:r>
      <w:r>
        <w:rPr>
          <w:iCs/>
          <w:i/>
        </w:rPr>
        <w:t xml:space="preserve">et al.</w:t>
      </w:r>
      <w:r>
        <w:t xml:space="preserve">, 2016)</w:t>
      </w:r>
      <w:r>
        <w:t xml:space="preserve">.</w:t>
      </w:r>
      <w:r>
        <w:t xml:space="preserve"> </w:t>
      </w:r>
      <w:r>
        <w:t xml:space="preserve">In a cross-biome synthesis of available data, tree-ring widths were weakly correlated with</w:t>
      </w:r>
      <w:r>
        <w:t xml:space="preserve"> </w:t>
      </w:r>
      <w:r>
        <w:rPr>
          <w:iCs/>
          <w:i/>
        </w:rPr>
        <w:t xml:space="preserve">GPP</w:t>
      </w:r>
      <w:r>
        <w:t xml:space="preserve"> </w:t>
      </w:r>
      <w:r>
        <w:t xml:space="preserve">(</w:t>
      </w:r>
      <w:r>
        <w:rPr>
          <w:bCs/>
          <w:b/>
        </w:rPr>
        <w:t xml:space="preserve">r&lt; 0.3</w:t>
      </w:r>
      <w:r>
        <w:t xml:space="preserve">), generally with strongest correlation for time windows covering all or part of the period between the summer solstices of the previous and current years</w:t>
      </w:r>
      <w:r>
        <w:t xml:space="preserve"> </w:t>
      </w:r>
      <w:r>
        <w:t xml:space="preserve">(Cabon</w:t>
      </w:r>
      <w:r>
        <w:t xml:space="preserve"> </w:t>
      </w:r>
      <w:r>
        <w:rPr>
          <w:iCs/>
          <w:i/>
        </w:rPr>
        <w:t xml:space="preserve">et al.</w:t>
      </w:r>
      <w:r>
        <w:t xml:space="preserve">, 2022)</w:t>
      </w:r>
      <w:r>
        <w:t xml:space="preserve">.</w:t>
      </w:r>
      <w:r>
        <w:t xml:space="preserve"> </w:t>
      </w:r>
      <w:r>
        <w:t xml:space="preserve">Yet, …</w:t>
      </w:r>
      <w:r>
        <w:rPr>
          <w:iCs/>
          <w:i/>
        </w:rPr>
        <w:t xml:space="preserve">(another sentence on Cabon, focused on decoupling)</w:t>
      </w:r>
      <w:r>
        <w:t xml:space="preserve">…</w:t>
      </w:r>
      <w:r>
        <w:t xml:space="preserve"> </w:t>
      </w:r>
      <w:r>
        <w:t xml:space="preserve">In temperate deciduous forests, warm springs increase</w:t>
      </w:r>
      <w:r>
        <w:t xml:space="preserve"> </w:t>
      </w:r>
      <w:r>
        <w:rPr>
          <w:iCs/>
          <w:i/>
        </w:rPr>
        <w:t xml:space="preserve">GPP</w:t>
      </w:r>
      <w:r>
        <w:t xml:space="preserve"> </w:t>
      </w:r>
      <w:r>
        <w:t xml:space="preserve">but this does not translate into increased stem growth</w:t>
      </w:r>
      <w:r>
        <w:t xml:space="preserve"> </w:t>
      </w:r>
      <w:r>
        <w:t xml:space="preserve">(Dow</w:t>
      </w:r>
      <w:r>
        <w:t xml:space="preserve"> </w:t>
      </w:r>
      <w:r>
        <w:rPr>
          <w:iCs/>
          <w:i/>
        </w:rPr>
        <w:t xml:space="preserve">et al.</w:t>
      </w:r>
      <w:r>
        <w:t xml:space="preserve">, in press)</w:t>
      </w:r>
      <w:r>
        <w:t xml:space="preserve">.</w:t>
      </w:r>
      <w:r>
        <w:t xml:space="preserve"> </w:t>
      </w:r>
      <w:r>
        <w:t xml:space="preserve">Thus,</w:t>
      </w:r>
      <w:r>
        <w:t xml:space="preserve"> </w:t>
      </w:r>
      <w:r>
        <w:rPr>
          <w:bCs/>
          <w:b/>
        </w:rPr>
        <w:t xml:space="preserve">the preponderance of evidence demonstrates that CO</w:t>
      </w:r>
      <w:r>
        <w:rPr>
          <w:vertAlign w:val="subscript"/>
          <w:bCs/>
          <w:b/>
        </w:rPr>
        <w:t xml:space="preserve">2</w:t>
      </w:r>
      <w:r>
        <w:rPr>
          <w:bCs/>
          <w:b/>
        </w:rPr>
        <w:t xml:space="preserve"> </w:t>
      </w:r>
      <w:r>
        <w:rPr>
          <w:bCs/>
          <w:b/>
        </w:rPr>
        <w:t xml:space="preserve">uptake and sequestration are decoupled in forests</w:t>
      </w:r>
      <w:r>
        <w:t xml:space="preserve"> </w:t>
      </w:r>
      <w:r>
        <w:t xml:space="preserve">on time scales of up to a year.</w:t>
      </w:r>
    </w:p>
    <w:p>
      <w:pPr>
        <w:pStyle w:val="BodyText"/>
      </w:pPr>
      <w:r>
        <w:t xml:space="preserve">An important open question is the extent to which</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are coupled on decadal to centennial time scales, and by extension how global change drivers that alter</w:t>
      </w:r>
      <w:r>
        <w:t xml:space="preserve"> </w:t>
      </w:r>
      <w:r>
        <w:rPr>
          <w:iCs/>
          <w:i/>
        </w:rPr>
        <w:t xml:space="preserve">GPP</w:t>
      </w:r>
      <w:r>
        <w:t xml:space="preserve"> </w:t>
      </w:r>
      <w:r>
        <w:t xml:space="preserve">will affect</w:t>
      </w:r>
      <w:r>
        <w:t xml:space="preserve"> </w:t>
      </w:r>
      <w:r>
        <w:rPr>
          <w:iCs/>
          <w:i/>
        </w:rPr>
        <w:t xml:space="preserve">ANPP</w:t>
      </w:r>
      <w:r>
        <w:rPr>
          <w:vertAlign w:val="subscript"/>
          <w:iCs/>
          <w:i/>
        </w:rPr>
        <w:t xml:space="preserve">woody</w:t>
      </w:r>
      <w:r>
        <w:t xml:space="preserve">.</w:t>
      </w:r>
      <w:r>
        <w:t xml:space="preserve"> </w:t>
      </w:r>
      <w:r>
        <w:t xml:space="preserve">Across broad climatic gradients where trees are largely adapted and acclimated to differences in climate,</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vary roughly in proportion to one another</w:t>
      </w:r>
      <w:r>
        <w:t xml:space="preserve"> </w:t>
      </w:r>
      <w:r>
        <w:t xml:space="preserve">(Banbury Morgan</w:t>
      </w:r>
      <w:r>
        <w:t xml:space="preserve"> </w:t>
      </w:r>
      <w:r>
        <w:rPr>
          <w:iCs/>
          <w:i/>
        </w:rPr>
        <w:t xml:space="preserve">et al.</w:t>
      </w:r>
      <w:r>
        <w:t xml:space="preserve">, 2021)</w:t>
      </w:r>
      <w:r>
        <w:t xml:space="preserve">.</w:t>
      </w:r>
      <w:r>
        <w:t xml:space="preserve"> </w:t>
      </w:r>
      <w:r>
        <w:t xml:space="preserve">However, ther decoupling implies that they will respond differently to global change drivers.</w:t>
      </w:r>
      <w:r>
        <w:t xml:space="preserve"> </w:t>
      </w:r>
      <w:r>
        <w:t xml:space="preserve">While sustained decreases in</w:t>
      </w:r>
      <w:r>
        <w:t xml:space="preserve"> </w:t>
      </w:r>
      <w:r>
        <w:rPr>
          <w:iCs/>
          <w:i/>
        </w:rPr>
        <w:t xml:space="preserve">GPP</w:t>
      </w:r>
      <w:r>
        <w:t xml:space="preserve"> </w:t>
      </w:r>
      <w:r>
        <w:t xml:space="preserve">will inevitably decrease</w:t>
      </w:r>
      <w:r>
        <w:t xml:space="preserve"> </w:t>
      </w:r>
      <w:r>
        <w:rPr>
          <w:iCs/>
          <w:i/>
        </w:rPr>
        <w:t xml:space="preserve">ANPP</w:t>
      </w:r>
      <w:r>
        <w:rPr>
          <w:vertAlign w:val="subscript"/>
          <w:iCs/>
          <w:i/>
        </w:rPr>
        <w:t xml:space="preserve">woody</w:t>
      </w:r>
      <w:r>
        <w:t xml:space="preserve">, it remains unclear whether sustained</w:t>
      </w:r>
      <w:r>
        <w:t xml:space="preserve"> </w:t>
      </w:r>
      <w:r>
        <w:rPr>
          <w:iCs/>
          <w:i/>
        </w:rPr>
        <w:t xml:space="preserve">increases</w:t>
      </w:r>
      <w:r>
        <w:t xml:space="preserve"> </w:t>
      </w:r>
      <w:r>
        <w:t xml:space="preserve">in</w:t>
      </w:r>
      <w:r>
        <w:t xml:space="preserve"> </w:t>
      </w:r>
      <w:r>
        <w:rPr>
          <w:iCs/>
          <w:i/>
        </w:rPr>
        <w:t xml:space="preserve">GPP</w:t>
      </w:r>
      <w:r>
        <w:t xml:space="preserve"> </w:t>
      </w:r>
      <w:r>
        <w:t xml:space="preserve">will result in the corresponding increases in</w:t>
      </w:r>
      <w:r>
        <w:t xml:space="preserve"> </w:t>
      </w:r>
      <w:r>
        <w:rPr>
          <w:iCs/>
          <w:i/>
        </w:rPr>
        <w:t xml:space="preserve">ANPP</w:t>
      </w:r>
      <w:r>
        <w:rPr>
          <w:vertAlign w:val="subscript"/>
          <w:iCs/>
          <w:i/>
        </w:rPr>
        <w:t xml:space="preserve">woody</w:t>
      </w:r>
      <w:r>
        <w:t xml:space="preserve"> </w:t>
      </w:r>
      <w:r>
        <w:t xml:space="preserve">that are effectively assumed in models</w:t>
      </w:r>
      <w:r>
        <w:t xml:space="preserve"> </w:t>
      </w:r>
      <w:r>
        <w:t xml:space="preserve">(Körner, 2015;</w:t>
      </w:r>
      <w:r>
        <w:t xml:space="preserve"> </w:t>
      </w:r>
      <w:r>
        <w:rPr>
          <w:bCs/>
          <w:b/>
        </w:rPr>
        <w:t xml:space="preserve">refs?</w:t>
      </w:r>
      <w:r>
        <w:t xml:space="preserve">)</w:t>
      </w:r>
      <w:r>
        <w:t xml:space="preserve">.</w:t>
      </w:r>
      <w:r>
        <w:t xml:space="preserve"> </w:t>
      </w:r>
      <w:r>
        <w:t xml:space="preserve">When</w:t>
      </w:r>
      <w:r>
        <w:t xml:space="preserve"> </w:t>
      </w:r>
      <w:r>
        <w:rPr>
          <w:iCs/>
          <w:i/>
        </w:rPr>
        <w:t xml:space="preserve">GPP</w:t>
      </w:r>
      <w:r>
        <w:t xml:space="preserve"> </w:t>
      </w:r>
      <w:r>
        <w:t xml:space="preserve">was increased in response to four years of experimental CO</w:t>
      </w:r>
      <w:r>
        <w:rPr>
          <w:vertAlign w:val="subscript"/>
        </w:rPr>
        <w:t xml:space="preserve">2</w:t>
      </w:r>
      <w:r>
        <w:t xml:space="preserve"> </w:t>
      </w:r>
      <w:r>
        <w:t xml:space="preserve">fertilization of a mature eucalypt forest,</w:t>
      </w:r>
      <w:r>
        <w:t xml:space="preserve"> </w:t>
      </w:r>
      <w:r>
        <w:rPr>
          <w:iCs/>
          <w:i/>
        </w:rPr>
        <w:t xml:space="preserve">ANPP</w:t>
      </w:r>
      <w:r>
        <w:rPr>
          <w:vertAlign w:val="subscript"/>
          <w:iCs/>
          <w:i/>
        </w:rPr>
        <w:t xml:space="preserve">woody</w:t>
      </w:r>
      <w:r>
        <w:t xml:space="preserve"> </w:t>
      </w:r>
      <w:r>
        <w:t xml:space="preserve">remained unchanged, with extra C being allocated belowground and rapidly respired back to the atmosphere</w:t>
      </w:r>
      <w:r>
        <w:t xml:space="preserve"> </w:t>
      </w:r>
      <w:r>
        <w:t xml:space="preserve">(Jiang</w:t>
      </w:r>
      <w:r>
        <w:t xml:space="preserve"> </w:t>
      </w:r>
      <w:r>
        <w:rPr>
          <w:iCs/>
          <w:i/>
        </w:rPr>
        <w:t xml:space="preserve">et al.</w:t>
      </w:r>
      <w:r>
        <w:t xml:space="preserve">, 2020)</w:t>
      </w:r>
      <w:r>
        <w:t xml:space="preserve">.</w:t>
      </w:r>
      <w:r>
        <w:t xml:space="preserve"> </w:t>
      </w:r>
      <w:r>
        <w:t xml:space="preserve">Additional studies of C allocation under altered environmental conditions are needed to understand the long-term coupling of</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 and by extension how climate change will impact forest C sequestration.</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8" w:name="References"/>
    <w:p>
      <w:pPr>
        <w:pStyle w:val="Heading1"/>
      </w:pPr>
      <w:r>
        <w:t xml:space="preserve">References</w:t>
      </w:r>
    </w:p>
    <w:bookmarkStart w:id="37"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1"/>
    <w:bookmarkStart w:id="32"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2"/>
    <w:bookmarkStart w:id="33"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3"/>
    <w:bookmarkStart w:id="34"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4"/>
    <w:bookmarkStart w:id="35"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5"/>
    <w:bookmarkStart w:id="36"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6"/>
    <w:bookmarkEnd w:id="37"/>
    <w:bookmarkEnd w:id="3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2022-06-27T17:04:34Z</dcterms:created>
  <dcterms:modified xsi:type="dcterms:W3CDTF">2022-06-27T17:04:34Z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