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(Understanding the decoupling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production)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r>
        <w:br w:type="page"/>
      </w:r>
    </w:p>
    <w:p>
      <w:pPr>
        <w:pStyle w:val="BodyText"/>
      </w:pPr>
      <w:r>
        <w:t xml:space="preserve">Martínez-Sancho et al. use an innovate approach to …</w:t>
      </w:r>
    </w:p>
    <w:p>
      <w:pPr>
        <w:pStyle w:val="BodyText"/>
      </w:pPr>
      <w:r>
        <w:t xml:space="preserve">There is growing evidence that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 are decoupled.</w:t>
      </w:r>
      <w:r>
        <w:t xml:space="preserve"> </w:t>
      </w:r>
      <w:r>
        <w:t xml:space="preserve">…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press)</w:t>
      </w:r>
      <w:r>
        <w:t xml:space="preserve"> </w:t>
      </w:r>
      <w:r>
        <w:t xml:space="preserve">…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….</w:t>
      </w:r>
      <w:r>
        <w:t xml:space="preserve"> </w:t>
      </w:r>
      <w:r>
        <w:t xml:space="preserve">(Kannenberg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Of course, these observations of decoupling do not imply that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completely decoupled from</w:t>
      </w:r>
      <w:r>
        <w:t xml:space="preserve"> </w:t>
      </w:r>
      <w:r>
        <w:rPr>
          <w:iCs/>
          <w:i/>
        </w:rPr>
        <w:t xml:space="preserve">GPP</w:t>
      </w:r>
      <w:r>
        <w:t xml:space="preserve">; rather, the two show some level of correlation both in relation to interannual climatic variation at a single site</w:t>
      </w:r>
      <w:r>
        <w:t xml:space="preserve"> 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and across broad climatic gradients</w:t>
      </w:r>
      <w:r>
        <w:t xml:space="preserve"> </w:t>
      </w:r>
      <w:r>
        <w:t xml:space="preserve">(Banbury Morgan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However, we now have clear evidence that we cannot expect that a constant allocation of photosynthate will be coupled to woody growth, on either intraanuual or interannual time scales.</w:t>
      </w:r>
    </w:p>
    <w:p>
      <w:pPr>
        <w:pStyle w:val="BodyText"/>
      </w:pPr>
      <w:r>
        <w:t xml:space="preserve">C allocation to woody growth is an important parameter in models, yet models get it wrong.</w:t>
      </w:r>
      <w:r>
        <w:t xml:space="preserve"> </w:t>
      </w:r>
      <w:r>
        <w:t xml:space="preserve">Therefore, this is an important uncertainty.</w:t>
      </w:r>
      <w:r>
        <w:br/>
      </w:r>
      <w:r>
        <w:t xml:space="preserve">To get models right, we need to understand seasonal patterns of C allocation to woody growth and how they are influenced by climate variation (and change)</w:t>
      </w:r>
    </w:p>
    <w:p>
      <w:pPr>
        <w:pStyle w:val="BodyText"/>
      </w:pPr>
      <w:r>
        <w:t xml:space="preserve">(describe typical seasonal patterns, including what was known and what Martinez-Sancho contributed.)</w:t>
      </w:r>
    </w:p>
    <w:p>
      <w:pPr>
        <w:pStyle w:val="BodyText"/>
      </w:pPr>
      <w:r>
        <w:t xml:space="preserve">(talk about drought impacts)</w:t>
      </w:r>
    </w:p>
    <w:p>
      <w:r>
        <w:br w:type="page"/>
      </w:r>
    </w:p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1" w:name="ref-banburymorgan_global_2021"/>
    <w:p>
      <w:pPr>
        <w:pStyle w:val="Bibliography"/>
      </w:pPr>
      <w:r>
        <w:rPr>
          <w:bCs/>
          <w:b/>
          <w:bCs/>
          <w:b/>
        </w:rPr>
        <w:t xml:space="preserve">Banbury Morgan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Kunert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Global patterns of forest autotrophic carbon fluxes.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27</w:t>
      </w:r>
      <w:r>
        <w:t xml:space="preserve">: 2840–2855.</w:t>
      </w:r>
    </w:p>
    <w:bookmarkEnd w:id="21"/>
    <w:bookmarkStart w:id="22" w:name="ref-cabon_crossbiome_2022"/>
    <w:p>
      <w:pPr>
        <w:pStyle w:val="Bibliography"/>
      </w:pP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Arain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McKenzie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Cross-biome synthesis of source versus sink limits to tree growth.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376</w:t>
      </w:r>
      <w:r>
        <w:t xml:space="preserve">: 758–761.</w:t>
      </w:r>
    </w:p>
    <w:bookmarkEnd w:id="22"/>
    <w:bookmarkStart w:id="23" w:name="ref-dow_warm_inpress"/>
    <w:p>
      <w:pPr>
        <w:pStyle w:val="Bibliography"/>
      </w:pPr>
      <w:r>
        <w:rPr>
          <w:bCs/>
          <w:b/>
          <w:bCs/>
          <w:b/>
        </w:rPr>
        <w:t xml:space="preserve">Dow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Loïc D’Orangeville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Harley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in press</w:t>
      </w:r>
      <w:r>
        <w:t xml:space="preserve">. Warm springs alter timing but not total growth of temperate deciduous trees.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3"/>
    <w:bookmarkStart w:id="24" w:name="ref-kannenberg_droughtinduced_2022"/>
    <w:p>
      <w:pPr>
        <w:pStyle w:val="Bibliography"/>
      </w:pP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Meinzer FC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Moore DJP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Pappas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Drought-induced decoupling between carbon uptake and tree growth impacts forest carbon turnover time.</w:t>
      </w:r>
      <w:r>
        <w:t xml:space="preserve"> </w:t>
      </w:r>
      <w:r>
        <w:rPr>
          <w:iCs/>
          <w:i/>
        </w:rPr>
        <w:t xml:space="preserve">Agricultural and Forest Meteorology</w:t>
      </w:r>
      <w:r>
        <w:t xml:space="preserve"> </w:t>
      </w:r>
      <w:r>
        <w:rPr>
          <w:bCs/>
          <w:b/>
        </w:rPr>
        <w:t xml:space="preserve">322</w:t>
      </w:r>
      <w:r>
        <w:t xml:space="preserve">: 108996.</w:t>
      </w:r>
    </w:p>
    <w:bookmarkEnd w:id="24"/>
    <w:bookmarkEnd w:id="25"/>
    <w:bookmarkEnd w:id="26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2022-05-30T11:30:57Z</dcterms:created>
  <dcterms:modified xsi:type="dcterms:W3CDTF">2022-05-30T11:30:57Z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