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(Understanding the decoupling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production)</w:t>
      </w:r>
      <w:r>
        <w:t xml:space="preserve"> </w:t>
      </w:r>
      <w:r>
        <w:rPr>
          <w:iCs/>
          <w:i/>
        </w:rPr>
        <w:t xml:space="preserve">(many commentaries have clever, catchy, somewhat informal titles)</w:t>
      </w:r>
    </w:p>
    <w:p>
      <w:pPr>
        <w:pStyle w:val="BodyText"/>
      </w:pPr>
      <w:r>
        <w:rPr>
          <w:bCs/>
          <w:b/>
        </w:rPr>
        <w:t xml:space="preserve">Authors: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t xml:space="preserve">Steven A. Kannenberg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(5-8)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quote:</w:t>
      </w:r>
      <w:r>
        <w:t xml:space="preserve"> </w:t>
      </w:r>
      <w:r>
        <w:rPr>
          <w:iCs/>
          <w:i/>
        </w:rPr>
        <w:t xml:space="preserve">(A brief quote extracted from the Commentary should be included after the article title.)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(1500 max)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figures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(1-2 encouraged)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(15 max)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As the climate changes and scientists seek to project its future course, an important uncertainty lies in the response of forests.</w:t>
      </w:r>
      <w:r>
        <w:t xml:space="preserve"> </w:t>
      </w:r>
      <w:r>
        <w:t xml:space="preserve">Will rising atmospheric carbon dioxide (CO</w:t>
      </w:r>
      <w:r>
        <w:rPr>
          <w:vertAlign w:val="subscript"/>
        </w:rPr>
        <w:t xml:space="preserve">2</w:t>
      </w:r>
      <w:r>
        <w:t xml:space="preserve">) and lengthening growing seasons relieve limitations to tree growth, allowing increased carbon (C) sequestration in long-lived woody tissues and providing a negative feedback to climate change?</w:t>
      </w:r>
      <w:r>
        <w:t xml:space="preserve"> </w:t>
      </w:r>
      <w:r>
        <w:t xml:space="preserve">Or will increasing heat and drought stress reduce growth and increase mortality, resulting in a positive feedback to climate change?</w:t>
      </w:r>
      <w:r>
        <w:t xml:space="preserve"> </w:t>
      </w:r>
      <w:r>
        <w:t xml:space="preserve">To answer this question, global C cycle models simulate photosynthesis under future conditions, using simple plant C allocation schemes to determine the amount of C sequestered in woody growth versus that allocated to short-lived pools and rapidly respired back to the atmosphere as CO</w:t>
      </w:r>
      <w:r>
        <w:rPr>
          <w:vertAlign w:val="subscript"/>
        </w:rPr>
        <w:t xml:space="preserve">2</w:t>
      </w:r>
      <w:r>
        <w:t xml:space="preserve"> </w:t>
      </w:r>
      <w:r>
        <w:t xml:space="preserve">(Fatichi</w:t>
      </w:r>
      <w:r>
        <w:t xml:space="preserve"> </w:t>
      </w:r>
      <w:r>
        <w:rPr>
          <w:iCs/>
          <w:i/>
        </w:rPr>
        <w:t xml:space="preserve">et al.</w:t>
      </w:r>
      <w:r>
        <w:t xml:space="preserve">, 2014)</w:t>
      </w:r>
      <w:r>
        <w:t xml:space="preserve">.</w:t>
      </w:r>
      <w:r>
        <w:t xml:space="preserve"> </w:t>
      </w:r>
      <w:r>
        <w:t xml:space="preserve">Yet, there is growing evidence that these schemes are too simplistic, as wood production is in fact decoupled from photosynthesis, being itself directly influenced by climatic drivers</w:t>
      </w:r>
      <w:r>
        <w:t xml:space="preserve"> </w:t>
      </w:r>
      <w:r>
        <w:t xml:space="preserve">(Delpierre</w:t>
      </w:r>
      <w:r>
        <w:t xml:space="preserve"> </w:t>
      </w:r>
      <w:r>
        <w:rPr>
          <w:iCs/>
          <w:i/>
        </w:rPr>
        <w:t xml:space="preserve">et al.</w:t>
      </w:r>
      <w:r>
        <w:t xml:space="preserve">, 2016; Etzold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.</w:t>
      </w:r>
      <w:r>
        <w:t xml:space="preserve"> </w:t>
      </w:r>
      <w:r>
        <w:t xml:space="preserve">Needed, then, is an understanding of how woody growth is jointly shaped by photosynthesis and climate variables under a range of conditions.</w:t>
      </w:r>
      <w:r>
        <w:t xml:space="preserve"> </w:t>
      </w:r>
      <w:r>
        <w:t xml:space="preserve">In this issue of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, Martinez-Sancho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(pp. 000-000) exemplifies the type of research needed to improve our ability to predict forest C sequestration under climate change, using an innovative approach to describe the seasonal course of carbon sequestration in tree stem growth and how this is affected by drought.</w:t>
      </w:r>
    </w:p>
    <w:p>
      <w:pPr>
        <w:pStyle w:val="BodyText"/>
      </w:pPr>
      <w:r>
        <w:rPr>
          <w:iCs/>
          <w:i/>
        </w:rPr>
        <w:t xml:space="preserve">(summarize/ explain Martinez-Sancho method)</w:t>
      </w:r>
      <w:r>
        <w:t xml:space="preserve"> </w:t>
      </w:r>
      <w:r>
        <w:t xml:space="preserve">(Builds on methods pioneered by</w:t>
      </w:r>
      <w:r>
        <w:t xml:space="preserve"> </w:t>
      </w:r>
      <w:r>
        <w:t xml:space="preserve">Cuny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,</w:t>
      </w:r>
      <w:r>
        <w:t xml:space="preserve"> </w:t>
      </w:r>
      <w:r>
        <w:t xml:space="preserve">Pérez-de-Lis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,</w:t>
      </w:r>
      <w:r>
        <w:t xml:space="preserve"> </w:t>
      </w:r>
      <w:r>
        <w:t xml:space="preserve">Cuny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.)</w:t>
      </w:r>
    </w:p>
    <w:p>
      <w:pPr>
        <w:pStyle w:val="BodyText"/>
      </w:pPr>
      <w:r>
        <w:rPr>
          <w:iCs/>
          <w:i/>
        </w:rPr>
        <w:t xml:space="preserve">(describe typical seasonal patterns, including what was known and what Martinez-Sancho contributed.)</w:t>
      </w:r>
    </w:p>
    <w:p>
      <w:pPr>
        <w:pStyle w:val="BodyText"/>
      </w:pPr>
      <w:r>
        <w:rPr>
          <w:iCs/>
          <w:i/>
        </w:rPr>
        <w:t xml:space="preserve">(talk about drought impacts)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showed that C sequestration was reduced 67% during a 41-day period of extreme summer drought in 2015, during which time rates of cell enlargement and thickening were slowed.</w:t>
      </w:r>
      <w:r>
        <w:t xml:space="preserve"> </w:t>
      </w:r>
      <w:r>
        <w:t xml:space="preserve">Meanwhile, ∂</w:t>
      </w:r>
      <w:r>
        <w:rPr>
          <w:vertAlign w:val="superscript"/>
        </w:rPr>
        <w:t xml:space="preserve">13</w:t>
      </w:r>
      <w:r>
        <w:t xml:space="preserve">C isotopes indicated increased C isotope discrimination, indicative of water limitation resulting in higher intrinsic water use efficiency during the drought.</w:t>
      </w:r>
      <w:r>
        <w:t xml:space="preserve"> </w:t>
      </w:r>
      <w:r>
        <w:t xml:space="preserve">However, the total number of cells formed was unchanged, and higher compensatory growth and C sequestration rates after the drought resulted in similar total C sequestration during the drought and reference years</w:t>
      </w:r>
      <w:r>
        <w:t xml:space="preserve"> </w:t>
      </w:r>
      <w:r>
        <w:t xml:space="preserve">(Martínez-Sancho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.</w:t>
      </w:r>
      <w:r>
        <w:t xml:space="preserve"> </w:t>
      </w:r>
      <w:r>
        <w:t xml:space="preserve">Thus, study of intraannual dynamics of wood formation revealed dynamics that would have gone undetected at the annual scale.</w:t>
      </w:r>
    </w:p>
    <w:p>
      <w:pPr>
        <w:pStyle w:val="BodyText"/>
      </w:pPr>
      <w:r>
        <w:t xml:space="preserve">The findings of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point to the importance of the timing of drought.</w:t>
      </w:r>
      <w:r>
        <w:t xml:space="preserve"> </w:t>
      </w:r>
      <w:r>
        <w:rPr>
          <w:iCs/>
          <w:i/>
        </w:rPr>
        <w:t xml:space="preserve">(some content on how drought timing affects annual growth – e.g.,</w:t>
      </w:r>
      <w:r>
        <w:rPr>
          <w:iCs/>
          <w:i/>
        </w:rPr>
        <w:t xml:space="preserve"> </w:t>
      </w:r>
      <w:r>
        <w:rPr>
          <w:iCs/>
          <w:i/>
        </w:rPr>
        <w:t xml:space="preserve">D’Orangeville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et al.</w:t>
      </w:r>
      <w:r>
        <w:rPr>
          <w:iCs/>
          <w:i/>
        </w:rPr>
        <w:t xml:space="preserve"> </w:t>
      </w:r>
      <w:r>
        <w:rPr>
          <w:iCs/>
          <w:i/>
        </w:rPr>
        <w:t xml:space="preserve">(2018)</w:t>
      </w:r>
      <w:r>
        <w:rPr>
          <w:iCs/>
          <w:i/>
        </w:rPr>
        <w:t xml:space="preserve">)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study adds to growing evidence that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 are decoupled.</w:t>
      </w:r>
      <w:r>
        <w:t xml:space="preserve"> </w:t>
      </w:r>
      <w:r>
        <w:t xml:space="preserve">…</w:t>
      </w:r>
      <w:r>
        <w:t xml:space="preserve">(Jiang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 </w:t>
      </w:r>
      <w:r>
        <w:t xml:space="preserve">…</w:t>
      </w:r>
      <w:r>
        <w:t xml:space="preserve">(Dow</w:t>
      </w:r>
      <w:r>
        <w:t xml:space="preserve"> </w:t>
      </w:r>
      <w:r>
        <w:rPr>
          <w:iCs/>
          <w:i/>
        </w:rPr>
        <w:t xml:space="preserve">et al.</w:t>
      </w:r>
      <w:r>
        <w:t xml:space="preserve">, in press)</w:t>
      </w:r>
      <w:r>
        <w:t xml:space="preserve"> </w:t>
      </w:r>
      <w:r>
        <w:t xml:space="preserve">…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….</w:t>
      </w:r>
      <w:r>
        <w:t xml:space="preserve"> </w:t>
      </w:r>
      <w:r>
        <w:t xml:space="preserve">(Kannenberg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Of course, these observations of decoupling do not imply that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completely decoupled from</w:t>
      </w:r>
      <w:r>
        <w:t xml:space="preserve"> </w:t>
      </w:r>
      <w:r>
        <w:rPr>
          <w:iCs/>
          <w:i/>
        </w:rPr>
        <w:t xml:space="preserve">GPP</w:t>
      </w:r>
      <w:r>
        <w:t xml:space="preserve">; rather, the two show some level of correlation both in relation to interannual climatic variation at a single site</w:t>
      </w:r>
      <w:r>
        <w:t xml:space="preserve"> 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and across broad climatic gradients</w:t>
      </w:r>
      <w:r>
        <w:t xml:space="preserve"> </w:t>
      </w:r>
      <w:r>
        <w:t xml:space="preserve">(Banbury Morgan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However, we now have clear evidence that it is not realistic to expect that a constant allocation of photosynthate will be allocated to woody growth on either intraanuual or interannual time scales.</w:t>
      </w:r>
    </w:p>
    <w:p>
      <w:pPr>
        <w:pStyle w:val="BodyText"/>
      </w:pPr>
      <w:r>
        <w:rPr>
          <w:iCs/>
          <w:i/>
        </w:rPr>
        <w:t xml:space="preserve">(active vs passive allocation)</w:t>
      </w:r>
    </w:p>
    <w:p>
      <w:pPr>
        <w:pStyle w:val="BodyText"/>
      </w:pPr>
      <w:r>
        <w:rPr>
          <w:iCs/>
          <w:i/>
        </w:rPr>
        <w:t xml:space="preserve">(implications for tree-ring studies)</w:t>
      </w:r>
    </w:p>
    <w:p>
      <w:pPr>
        <w:pStyle w:val="BodyText"/>
      </w:pPr>
      <w:r>
        <w:rPr>
          <w:iCs/>
          <w:i/>
        </w:rPr>
        <w:t xml:space="preserve">(one paragraph discussing models)</w:t>
      </w:r>
      <w:r>
        <w:t xml:space="preserve"> </w:t>
      </w:r>
      <w:r>
        <w:t xml:space="preserve">C allocation to woody growth is an important parameter in models, yet models get it wrong.</w:t>
      </w:r>
      <w:r>
        <w:t xml:space="preserve"> </w:t>
      </w:r>
      <w:r>
        <w:t xml:space="preserve">Therefore, this is an important uncertainty.</w:t>
      </w:r>
      <w:r>
        <w:br/>
      </w:r>
      <w:r>
        <w:t xml:space="preserve">To get models right, we need to understand seasonal patterns of C allocation to woody growth and how they are influenced by climate variation (and change)</w:t>
      </w:r>
    </w:p>
    <w:p>
      <w:pPr>
        <w:pStyle w:val="BodyText"/>
      </w:pPr>
      <w:r>
        <w:t xml:space="preserve">We need more studies like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– bonus if they also get GPP – to broaden our understanding of how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jointly shaped by climate– both directly and indirectly (through GPP).</w:t>
      </w:r>
    </w:p>
    <w:p>
      <w:r>
        <w:br w:type="page"/>
      </w:r>
    </w:p>
    <w:bookmarkStart w:id="35" w:name="References"/>
    <w:p>
      <w:pPr>
        <w:pStyle w:val="Heading1"/>
      </w:pPr>
      <w:r>
        <w:t xml:space="preserve">References</w:t>
      </w:r>
    </w:p>
    <w:bookmarkStart w:id="34" w:name="refs"/>
    <w:bookmarkStart w:id="21" w:name="ref-banburymorgan_global_2021"/>
    <w:p>
      <w:pPr>
        <w:pStyle w:val="Bibliography"/>
      </w:pPr>
      <w:r>
        <w:rPr>
          <w:bCs/>
          <w:b/>
          <w:bCs/>
          <w:b/>
        </w:rPr>
        <w:t xml:space="preserve">Banbury Morgan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Kunert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Global patterns of forest autotrophic carbon fluxes.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27</w:t>
      </w:r>
      <w:r>
        <w:t xml:space="preserve">: 2840–2855.</w:t>
      </w:r>
    </w:p>
    <w:bookmarkEnd w:id="21"/>
    <w:bookmarkStart w:id="22" w:name="ref-cabon_crossbiome_2022"/>
    <w:p>
      <w:pPr>
        <w:pStyle w:val="Bibliography"/>
      </w:pP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Arain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McKenzie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Cross-biome synthesis of source versus sink limits to tree growth.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376</w:t>
      </w:r>
      <w:r>
        <w:t xml:space="preserve">: 758–761.</w:t>
      </w:r>
    </w:p>
    <w:bookmarkEnd w:id="22"/>
    <w:bookmarkStart w:id="23" w:name="ref-cuny_woody_2015"/>
    <w:p>
      <w:pPr>
        <w:pStyle w:val="Bibliography"/>
      </w:pPr>
      <w:r>
        <w:rPr>
          <w:bCs/>
          <w:b/>
          <w:bCs/>
          <w:b/>
        </w:rPr>
        <w:t xml:space="preserve">Cuny HE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Rathgeber CBK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Frank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Fonti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Mäkinen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Prislan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Rossi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 Castillo EM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Campelo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Vavrčík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2015</w:t>
      </w:r>
      <w:r>
        <w:t xml:space="preserve">. Woody biomass production lags stem-girth increase by over one month in coniferous forests.</w:t>
      </w:r>
      <w:r>
        <w:t xml:space="preserve"> </w:t>
      </w:r>
      <w:r>
        <w:rPr>
          <w:iCs/>
          <w:i/>
        </w:rPr>
        <w:t xml:space="preserve">Nature Plants</w:t>
      </w:r>
      <w:r>
        <w:t xml:space="preserve"> </w:t>
      </w:r>
      <w:r>
        <w:rPr>
          <w:bCs/>
          <w:b/>
        </w:rPr>
        <w:t xml:space="preserve">1</w:t>
      </w:r>
      <w:r>
        <w:t xml:space="preserve">: 15160.</w:t>
      </w:r>
    </w:p>
    <w:bookmarkEnd w:id="23"/>
    <w:bookmarkStart w:id="24" w:name="ref-cuny_generalized_2013"/>
    <w:p>
      <w:pPr>
        <w:pStyle w:val="Bibliography"/>
      </w:pPr>
      <w:r>
        <w:rPr>
          <w:bCs/>
          <w:b/>
          <w:bCs/>
          <w:b/>
        </w:rPr>
        <w:t xml:space="preserve">Cuny HE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Rathgeber CBK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Kiessé TS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Hartmann FP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Barbeito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Fournier M</w:t>
      </w:r>
      <w:r>
        <w:t xml:space="preserve">.</w:t>
      </w:r>
      <w:r>
        <w:t xml:space="preserve"> </w:t>
      </w:r>
      <w:r>
        <w:rPr>
          <w:bCs/>
          <w:b/>
        </w:rPr>
        <w:t xml:space="preserve">2013</w:t>
      </w:r>
      <w:r>
        <w:t xml:space="preserve">. Generalized additive models reveal the intrinsic complexity of wood formation dynamics.</w:t>
      </w:r>
      <w:r>
        <w:t xml:space="preserve"> </w:t>
      </w:r>
      <w:r>
        <w:rPr>
          <w:iCs/>
          <w:i/>
        </w:rPr>
        <w:t xml:space="preserve">Journal of Experimental Botany</w:t>
      </w:r>
      <w:r>
        <w:t xml:space="preserve"> </w:t>
      </w:r>
      <w:r>
        <w:rPr>
          <w:bCs/>
          <w:b/>
        </w:rPr>
        <w:t xml:space="preserve">64</w:t>
      </w:r>
      <w:r>
        <w:t xml:space="preserve">: 1983–1994.</w:t>
      </w:r>
    </w:p>
    <w:bookmarkEnd w:id="24"/>
    <w:bookmarkStart w:id="25" w:name="ref-dorangeville_drought_2018"/>
    <w:p>
      <w:pPr>
        <w:pStyle w:val="Bibliography"/>
      </w:pPr>
      <w:r>
        <w:rPr>
          <w:bCs/>
          <w:b/>
          <w:bCs/>
          <w:b/>
        </w:rPr>
        <w:t xml:space="preserve">D’Orangeville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Kneeshaw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Pederson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Duchesne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Logan 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Houle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Arseneault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Beier CM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Bishop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2018</w:t>
      </w:r>
      <w:r>
        <w:t xml:space="preserve">. Drought timing and local climate determine the sensitivity of eastern temperate forests to drought.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24</w:t>
      </w:r>
      <w:r>
        <w:t xml:space="preserve">: 2339–2351.</w:t>
      </w:r>
    </w:p>
    <w:bookmarkEnd w:id="25"/>
    <w:bookmarkStart w:id="26" w:name="ref-delpierre_wood_2016"/>
    <w:p>
      <w:pPr>
        <w:pStyle w:val="Bibliography"/>
      </w:pP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Berveiller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Granda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Dufrêne E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 Wood phenology, not carbon input, controls the interannual variability of wood growth in a temperate oak forest.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210</w:t>
      </w:r>
      <w:r>
        <w:t xml:space="preserve">: 459–470.</w:t>
      </w:r>
    </w:p>
    <w:bookmarkEnd w:id="26"/>
    <w:bookmarkStart w:id="27" w:name="ref-dow_warm_inpress"/>
    <w:p>
      <w:pPr>
        <w:pStyle w:val="Bibliography"/>
      </w:pPr>
      <w:r>
        <w:rPr>
          <w:bCs/>
          <w:b/>
          <w:bCs/>
          <w:b/>
        </w:rPr>
        <w:t xml:space="preserve">Dow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Loïc D’Orangeville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Harley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in press</w:t>
      </w:r>
      <w:r>
        <w:t xml:space="preserve">. Warm springs alter timing but not total growth of temperate deciduous trees.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7"/>
    <w:bookmarkStart w:id="28" w:name="ref-etzold_number_2022"/>
    <w:p>
      <w:pPr>
        <w:pStyle w:val="Bibliography"/>
      </w:pPr>
      <w:r>
        <w:rPr>
          <w:bCs/>
          <w:b/>
          <w:bCs/>
          <w:b/>
        </w:rPr>
        <w:t xml:space="preserve">Etzold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Sterck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Bose AK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Braun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Buchmann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Eugster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Gessler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Kahmen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Peters RL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Vitasse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Number of growth days and not length of the growth period determines radial stem growth of temperate trees.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25</w:t>
      </w:r>
      <w:r>
        <w:t xml:space="preserve">: 427–439.</w:t>
      </w:r>
    </w:p>
    <w:bookmarkEnd w:id="28"/>
    <w:bookmarkStart w:id="29" w:name="ref-fatichi_moving_2014"/>
    <w:p>
      <w:pPr>
        <w:pStyle w:val="Bibliography"/>
      </w:pPr>
      <w:r>
        <w:rPr>
          <w:bCs/>
          <w:b/>
          <w:bCs/>
          <w:b/>
        </w:rPr>
        <w:t xml:space="preserve">Fatichi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Leuzinger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Körner C</w:t>
      </w:r>
      <w:r>
        <w:t xml:space="preserve">.</w:t>
      </w:r>
      <w:r>
        <w:t xml:space="preserve"> </w:t>
      </w:r>
      <w:r>
        <w:rPr>
          <w:bCs/>
          <w:b/>
        </w:rPr>
        <w:t xml:space="preserve">2014</w:t>
      </w:r>
      <w:r>
        <w:t xml:space="preserve">. Moving beyond photosynthesis: From carbon source to sink-driven vegetation modeling.</w:t>
      </w:r>
      <w:r>
        <w:t xml:space="preserve"> </w:t>
      </w:r>
      <w:r>
        <w:rPr>
          <w:iCs/>
          <w:i/>
        </w:rPr>
        <w:t xml:space="preserve">The New Phytologist</w:t>
      </w:r>
      <w:r>
        <w:t xml:space="preserve"> </w:t>
      </w:r>
      <w:r>
        <w:rPr>
          <w:bCs/>
          <w:b/>
        </w:rPr>
        <w:t xml:space="preserve">201</w:t>
      </w:r>
      <w:r>
        <w:t xml:space="preserve">: 1086–1095.</w:t>
      </w:r>
    </w:p>
    <w:bookmarkEnd w:id="29"/>
    <w:bookmarkStart w:id="30" w:name="ref-jiang_fate_2020"/>
    <w:p>
      <w:pPr>
        <w:pStyle w:val="Bibliography"/>
      </w:pPr>
      <w:r>
        <w:rPr>
          <w:bCs/>
          <w:b/>
          <w:bCs/>
          <w:b/>
        </w:rPr>
        <w:t xml:space="preserve">Jiang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Medlyn BE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Drake JE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Duursma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 IC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Barton CVM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Boer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Carrillo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Castañeda-Gómez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Collins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 The fate of carbon in a mature forest under carbon dioxide enrichment.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580</w:t>
      </w:r>
      <w:r>
        <w:t xml:space="preserve">: 227–231.</w:t>
      </w:r>
    </w:p>
    <w:bookmarkEnd w:id="30"/>
    <w:bookmarkStart w:id="31" w:name="ref-kannenberg_droughtinduced_2022"/>
    <w:p>
      <w:pPr>
        <w:pStyle w:val="Bibliography"/>
      </w:pP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Meinzer FC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Moore DJP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Pappas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Drought-induced decoupling between carbon uptake and tree growth impacts forest carbon turnover time.</w:t>
      </w:r>
      <w:r>
        <w:t xml:space="preserve"> </w:t>
      </w:r>
      <w:r>
        <w:rPr>
          <w:iCs/>
          <w:i/>
        </w:rPr>
        <w:t xml:space="preserve">Agricultural and Forest Meteorology</w:t>
      </w:r>
      <w:r>
        <w:t xml:space="preserve"> </w:t>
      </w:r>
      <w:r>
        <w:rPr>
          <w:bCs/>
          <w:b/>
        </w:rPr>
        <w:t xml:space="preserve">322</w:t>
      </w:r>
      <w:r>
        <w:t xml:space="preserve">: 108996.</w:t>
      </w:r>
    </w:p>
    <w:bookmarkEnd w:id="31"/>
    <w:bookmarkStart w:id="32" w:name="ref-martinez-sancho_drought_2022"/>
    <w:p>
      <w:pPr>
        <w:pStyle w:val="Bibliography"/>
      </w:pPr>
      <w:r>
        <w:rPr>
          <w:bCs/>
          <w:b/>
          <w:bCs/>
          <w:b/>
        </w:rPr>
        <w:t xml:space="preserve">Martínez-Sancho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Treydte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Lehmann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Rigling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Fonti P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 impacts on tree carbon sequestration and water use</w:t>
      </w:r>
      <w:r>
        <w:t xml:space="preserve"> </w:t>
      </w:r>
      <w:r>
        <w:t xml:space="preserve"> </w:t>
      </w:r>
      <w:r>
        <w:t xml:space="preserve">evidence from intra-annual tree-ring characteristics.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: 000–000.</w:t>
      </w:r>
    </w:p>
    <w:bookmarkEnd w:id="32"/>
    <w:bookmarkStart w:id="33" w:name="ref-perez-de-lis_cutting_2022"/>
    <w:p>
      <w:pPr>
        <w:pStyle w:val="Bibliography"/>
      </w:pPr>
      <w:r>
        <w:rPr>
          <w:bCs/>
          <w:b/>
          <w:bCs/>
          <w:b/>
        </w:rPr>
        <w:t xml:space="preserve">Pérez-de-Lis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Rathgeber CBK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Fernández-de-Uña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Ponton S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Cutting tree rings into time slices: How intra-annual dynamics of wood formation help decipher the space-for-time conversion.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233</w:t>
      </w:r>
      <w:r>
        <w:t xml:space="preserve">: 1520–1534.</w:t>
      </w:r>
    </w:p>
    <w:bookmarkEnd w:id="33"/>
    <w:bookmarkEnd w:id="34"/>
    <w:bookmarkEnd w:id="35"/>
    <w:sectPr w:rsidR="00300462" w:rsidSect="00F93C6A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2022-06-06T18:43:22Z</dcterms:created>
  <dcterms:modified xsi:type="dcterms:W3CDTF">2022-06-06T18:43:22Z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nocite">
    <vt:lpwstr>@martinez-sancho_drought_2022</vt:lpwstr>
  </property>
  <property fmtid="{D5CDD505-2E9C-101B-9397-08002B2CF9AE}" pid="5" name="output">
    <vt:lpwstr/>
  </property>
</Properties>
</file>