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(Understanding the decoupling of CO</w:t>
      </w:r>
      <w:r>
        <w:rPr>
          <w:vertAlign w:val="subscript"/>
        </w:rPr>
        <w:t xml:space="preserve">2</w:t>
      </w:r>
      <w:r>
        <w:t xml:space="preserve"> </w:t>
      </w:r>
      <w:r>
        <w:t xml:space="preserve">uptake and woody production)</w:t>
      </w:r>
      <w:r>
        <w:t xml:space="preserve"> </w:t>
      </w:r>
      <w:r>
        <w:rPr>
          <w:iCs/>
          <w:i/>
        </w:rPr>
        <w:t xml:space="preserve">(many commentaries have clever, catchy, somewhat informal titles)</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rPr>
          <w:iCs/>
          <w:i/>
        </w:rPr>
        <w:t xml:space="preserve">(A brief quote extracted from the Commentary should be included after the article title.)</w:t>
      </w:r>
    </w:p>
    <w:tbl>
      <w:tblPr>
        <w:tblStyle w:val="Table"/>
        <w:tblW w:type="pct" w:w="0.0"/>
        <w:tblLook w:firstRow="1" w:lastRow="0" w:firstColumn="0" w:lastColumn="0" w:noHBand="0" w:noVBand="0" w:val="0020"/>
      </w:tblPr>
      <w:tblGrid/>
      <w:tr>
        <w:tc>
          <w:p/>
        </w:tc>
        <w:tc>
          <w:p>
            <w:pPr>
              <w:pStyle w:val="Compact"/>
              <w:jc w:val="left"/>
            </w:pPr>
            <w:r>
              <w:t xml:space="preserve">count</w:t>
            </w:r>
          </w:p>
        </w:tc>
      </w:tr>
      <w:tr>
        <w:tc>
          <w:p>
            <w:pPr>
              <w:pStyle w:val="Compact"/>
              <w:jc w:val="left"/>
            </w:pPr>
            <w:r>
              <w:t xml:space="preserve">words</w:t>
            </w:r>
          </w:p>
        </w:tc>
        <w:tc>
          <w:p>
            <w:pPr>
              <w:pStyle w:val="Compact"/>
              <w:jc w:val="left"/>
            </w:pPr>
            <w:r>
              <w:rPr>
                <w:iCs/>
                <w:i/>
              </w:rPr>
              <w:t xml:space="preserve">(1500 max)</w:t>
            </w:r>
          </w:p>
        </w:tc>
      </w:tr>
      <w:tr>
        <w:tc>
          <w:p>
            <w:pPr>
              <w:pStyle w:val="Compact"/>
              <w:jc w:val="left"/>
            </w:pPr>
            <w:r>
              <w:t xml:space="preserve">figures</w:t>
            </w:r>
          </w:p>
        </w:tc>
        <w:tc>
          <w:p>
            <w:pPr>
              <w:pStyle w:val="Compact"/>
              <w:jc w:val="left"/>
            </w:pPr>
            <w:r>
              <w:rPr>
                <w:iCs/>
                <w:i/>
              </w:rPr>
              <w:t xml:space="preserve">(1-2 encouraged)</w:t>
            </w:r>
          </w:p>
        </w:tc>
      </w:tr>
      <w:tr>
        <w:tc>
          <w:p>
            <w:pPr>
              <w:pStyle w:val="Compact"/>
              <w:jc w:val="left"/>
            </w:pPr>
            <w:r>
              <w:t xml:space="preserve">tables</w:t>
            </w:r>
          </w:p>
        </w:tc>
        <w:tc>
          <w:p>
            <w:pPr>
              <w:pStyle w:val="Compact"/>
              <w:jc w:val="left"/>
            </w:pPr>
            <w:r>
              <w:t xml:space="preserve">0</w:t>
            </w:r>
          </w:p>
        </w:tc>
      </w:tr>
      <w:tr>
        <w:tc>
          <w:p>
            <w:pPr>
              <w:pStyle w:val="Compact"/>
              <w:jc w:val="left"/>
            </w:pPr>
            <w:r>
              <w:t xml:space="preserve">references</w:t>
            </w:r>
          </w:p>
        </w:tc>
        <w:tc>
          <w:p>
            <w:pPr>
              <w:pStyle w:val="Compact"/>
              <w:jc w:val="left"/>
            </w:pPr>
            <w:r>
              <w:rPr>
                <w:iCs/>
                <w:i/>
              </w:rPr>
              <w:t xml:space="preserve">(15 max)</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determine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either through passive limitation of woody tree growth by environmental conditions or active allocation away from woody growth to support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w:t>
      </w:r>
      <w:r>
        <w:rPr>
          <w:bCs/>
          <w:b/>
        </w:rPr>
        <w:t xml:space="preserve">korner_paradigm_2015?</w:t>
      </w:r>
      <w:r>
        <w:t xml:space="preserve">)</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p>
    <w:p>
      <w:pPr>
        <w:pStyle w:val="BodyText"/>
      </w:pPr>
      <w:r>
        <w:t xml:space="preserve">Extreme summer drought in 2015 resulted in dramatically different seasonal patterns of woody growth and C sequestration (</w:t>
      </w:r>
      <w:r>
        <w:rPr>
          <w:bCs/>
          <w:b/>
        </w:rPr>
        <w:t xml:space="preserve">Fig. 1</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indicating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5943600" cy="3711813"/>
            <wp:effectExtent b="0" l="0" r="0" t="0"/>
            <wp:docPr descr="Figure 1. Schematic summarizing seasonal patterns of woody growth and carbon sequestration of spruce trees during drought and non-drought years. Based on Martínez-Sancho et al. (2022). DRAFT FIGURE." title="" id="1" name="Picture"/>
            <a:graphic>
              <a:graphicData uri="http://schemas.openxmlformats.org/drawingml/2006/picture">
                <pic:pic>
                  <pic:nvPicPr>
                    <pic:cNvPr descr="display/figure1.png" id="0" name="Picture"/>
                    <pic:cNvPicPr>
                      <a:picLocks noChangeArrowheads="1" noChangeAspect="1"/>
                    </pic:cNvPicPr>
                  </pic:nvPicPr>
                  <pic:blipFill>
                    <a:blip r:embed="rId21"/>
                    <a:stretch>
                      <a:fillRect/>
                    </a:stretch>
                  </pic:blipFill>
                  <pic:spPr bwMode="auto">
                    <a:xfrm>
                      <a:off x="0" y="0"/>
                      <a:ext cx="5943600" cy="3711813"/>
                    </a:xfrm>
                    <a:prstGeom prst="rect">
                      <a:avLst/>
                    </a:prstGeom>
                    <a:noFill/>
                    <a:ln w="9525">
                      <a:noFill/>
                      <a:headEnd/>
                      <a:tailEnd/>
                    </a:ln>
                  </pic:spPr>
                </pic:pic>
              </a:graphicData>
            </a:graphic>
          </wp:inline>
        </w:drawing>
      </w:r>
    </w:p>
    <w:p>
      <w:pPr>
        <w:pStyle w:val="ImageCaption"/>
      </w:pPr>
      <w:r>
        <w:rPr>
          <w:bCs/>
          <w:b/>
        </w:rPr>
        <w:t xml:space="preserve">Figure 1. Schematic summarizing seasonal patterns of woody growth and carbon sequestration of spruce trees during drought and non-drought years.</w:t>
      </w:r>
      <w:r>
        <w:t xml:space="preserve"> </w:t>
      </w:r>
      <w:r>
        <w:t xml:space="preserve">Based on</w:t>
      </w:r>
      <w:r>
        <w:t xml:space="preserve"> </w:t>
      </w:r>
      <w:r>
        <w:t xml:space="preserve">Martínez-Sancho</w:t>
      </w:r>
      <w:r>
        <w:t xml:space="preserve"> </w:t>
      </w:r>
      <w:r>
        <w:rPr>
          <w:iCs/>
          <w:i/>
        </w:rPr>
        <w:t xml:space="preserve">et al.</w:t>
      </w:r>
      <w:r>
        <w:t xml:space="preserve"> </w:t>
      </w:r>
      <w:r>
        <w:t xml:space="preserve">(2022)</w:t>
      </w:r>
      <w:r>
        <w:t xml:space="preserve">.</w:t>
      </w:r>
      <w:r>
        <w:t xml:space="preserve"> </w:t>
      </w:r>
      <w:r>
        <w:rPr>
          <w:iCs/>
          <w:i/>
        </w:rPr>
        <w:t xml:space="preserve">DRAFT FIGURE.</w:t>
      </w:r>
    </w:p>
    <w:p>
      <w:pPr>
        <w:pStyle w:val="BodyText"/>
      </w:pP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of drought.</w:t>
      </w:r>
      <w:r>
        <w:t xml:space="preserve"> </w:t>
      </w:r>
      <w:r>
        <w:rPr>
          <w:iCs/>
          <w:i/>
        </w:rPr>
        <w:t xml:space="preserve">(some content on how drought timing affects annual growth – e.g.,</w:t>
      </w:r>
      <w:r>
        <w:rPr>
          <w:iCs/>
          <w:i/>
        </w:rPr>
        <w:t xml:space="preserve"> </w:t>
      </w:r>
      <w:r>
        <w:rPr>
          <w:iCs/>
          <w:i/>
        </w:rPr>
        <w:t xml:space="preserve">D’Orangeville</w:t>
      </w:r>
      <w:r>
        <w:rPr>
          <w:iCs/>
          <w:i/>
        </w:rPr>
        <w:t xml:space="preserve"> </w:t>
      </w:r>
      <w:r>
        <w:rPr>
          <w:iCs/>
          <w:i/>
          <w:iCs/>
          <w:i/>
        </w:rPr>
        <w:t xml:space="preserve">et al.</w:t>
      </w:r>
      <w:r>
        <w:rPr>
          <w:iCs/>
          <w:i/>
        </w:rPr>
        <w:t xml:space="preserve"> </w:t>
      </w:r>
      <w:r>
        <w:rPr>
          <w:iCs/>
          <w:i/>
        </w:rPr>
        <w:t xml:space="preserve">(2018)</w:t>
      </w:r>
      <w:r>
        <w:rPr>
          <w:iCs/>
          <w:i/>
        </w:rPr>
        <w:t xml:space="preserve">)</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w:t>
      </w:r>
      <w:r>
        <w:t xml:space="preserve"> </w:t>
      </w:r>
      <w:r>
        <w:t xml:space="preserve">…</w:t>
      </w:r>
      <w:r>
        <w:t xml:space="preserve">(Cabon</w:t>
      </w:r>
      <w:r>
        <w:t xml:space="preserve"> </w:t>
      </w:r>
      <w:r>
        <w:rPr>
          <w:iCs/>
          <w:i/>
        </w:rPr>
        <w:t xml:space="preserve">et al.</w:t>
      </w:r>
      <w:r>
        <w:t xml:space="preserve">, 2022)</w:t>
      </w:r>
      <w:r>
        <w:t xml:space="preserve"> </w:t>
      </w:r>
      <w:r>
        <w:t xml:space="preserve">….</w:t>
      </w:r>
      <w:r>
        <w:rPr>
          <w:iCs/>
          <w:i/>
        </w:rPr>
        <w:t xml:space="preserve">GPP</w:t>
      </w:r>
      <w:r>
        <w:t xml:space="preserve"> </w:t>
      </w:r>
      <w:r>
        <w:t xml:space="preserve">is less sensitive to drought than</w:t>
      </w:r>
      <w:r>
        <w:t xml:space="preserve"> </w:t>
      </w:r>
      <w:r>
        <w:rPr>
          <w:iCs/>
          <w:i/>
        </w:rPr>
        <w:t xml:space="preserve">ANPP</w:t>
      </w:r>
      <w:r>
        <w:rPr>
          <w:vertAlign w:val="subscript"/>
          <w:iCs/>
          <w:i/>
        </w:rPr>
        <w:t xml:space="preserve">woody</w:t>
      </w:r>
      <w:r>
        <w:t xml:space="preserve"> </w:t>
      </w:r>
      <w:r>
        <w:t xml:space="preserve">(Kannenberg</w:t>
      </w:r>
      <w:r>
        <w:t xml:space="preserve"> </w:t>
      </w:r>
      <w:r>
        <w:rPr>
          <w:iCs/>
          <w:i/>
        </w:rPr>
        <w:t xml:space="preserve">et al.</w:t>
      </w:r>
      <w:r>
        <w:t xml:space="preserve">, 2022)</w:t>
      </w:r>
      <w:r>
        <w:t xml:space="preserve">.</w:t>
      </w:r>
      <w:r>
        <w:t xml:space="preserve"> </w:t>
      </w:r>
      <w:r>
        <w:t xml:space="preserve">…</w:t>
      </w:r>
      <w:r>
        <w:t xml:space="preserve">(Dow</w:t>
      </w:r>
      <w:r>
        <w:t xml:space="preserve"> </w:t>
      </w:r>
      <w:r>
        <w:rPr>
          <w:iCs/>
          <w:i/>
        </w:rPr>
        <w:t xml:space="preserve">et al.</w:t>
      </w:r>
      <w:r>
        <w:t xml:space="preserve">, in press)</w:t>
      </w:r>
      <w:r>
        <w:t xml:space="preserve"> </w:t>
      </w:r>
      <w:r>
        <w:t xml:space="preserve">…</w:t>
      </w:r>
      <w:r>
        <w:t xml:space="preserve">(Jiang</w:t>
      </w:r>
      <w:r>
        <w:t xml:space="preserve"> </w:t>
      </w:r>
      <w:r>
        <w:rPr>
          <w:iCs/>
          <w:i/>
        </w:rPr>
        <w:t xml:space="preserve">et al.</w:t>
      </w:r>
      <w:r>
        <w:t xml:space="preserve">, 2020)</w:t>
      </w:r>
      <w:r>
        <w:t xml:space="preserve"> </w:t>
      </w:r>
      <w:r>
        <w:t xml:space="preserve">Of course, these observations of decoupling do not imply that</w:t>
      </w:r>
      <w:r>
        <w:t xml:space="preserve"> </w:t>
      </w:r>
      <w:r>
        <w:rPr>
          <w:iCs/>
          <w:i/>
        </w:rPr>
        <w:t xml:space="preserve">ANPP</w:t>
      </w:r>
      <w:r>
        <w:rPr>
          <w:vertAlign w:val="subscript"/>
          <w:iCs/>
          <w:i/>
        </w:rPr>
        <w:t xml:space="preserve">woody</w:t>
      </w:r>
      <w:r>
        <w:t xml:space="preserve"> </w:t>
      </w:r>
      <w:r>
        <w:t xml:space="preserve">is completely decoupled from</w:t>
      </w:r>
      <w:r>
        <w:t xml:space="preserve"> </w:t>
      </w:r>
      <w:r>
        <w:rPr>
          <w:iCs/>
          <w:i/>
        </w:rPr>
        <w:t xml:space="preserve">GPP</w:t>
      </w:r>
      <w:r>
        <w:t xml:space="preserve">; rather, the two show some level of correlation both in relation to interannual climatic variation at a single site</w:t>
      </w:r>
      <w:r>
        <w:t xml:space="preserve"> </w:t>
      </w:r>
      <w:r>
        <w:t xml:space="preserve">(Cabon</w:t>
      </w:r>
      <w:r>
        <w:t xml:space="preserve"> </w:t>
      </w:r>
      <w:r>
        <w:rPr>
          <w:iCs/>
          <w:i/>
        </w:rPr>
        <w:t xml:space="preserve">et al.</w:t>
      </w:r>
      <w:r>
        <w:t xml:space="preserve">, 2022)</w:t>
      </w:r>
      <w:r>
        <w:t xml:space="preserve"> </w:t>
      </w:r>
      <w:r>
        <w:t xml:space="preserve">and across broad climatic gradients</w:t>
      </w:r>
      <w:r>
        <w:t xml:space="preserve"> </w:t>
      </w:r>
      <w:r>
        <w:t xml:space="preserve">(Banbury Morgan</w:t>
      </w:r>
      <w:r>
        <w:t xml:space="preserve"> </w:t>
      </w:r>
      <w:r>
        <w:rPr>
          <w:iCs/>
          <w:i/>
        </w:rPr>
        <w:t xml:space="preserve">et al.</w:t>
      </w:r>
      <w:r>
        <w:t xml:space="preserve">, 2021)</w:t>
      </w:r>
      <w:r>
        <w:t xml:space="preserve">.</w:t>
      </w:r>
      <w:r>
        <w:t xml:space="preserve"> </w:t>
      </w:r>
      <w:r>
        <w:t xml:space="preserve">However, we now have clear evidence that it is not realistic to expect that a constant allocation of photosynthate will be allocated to woody growth on either intraanuual or interannual time scales.</w:t>
      </w:r>
      <w:r>
        <w:t xml:space="preserve"> </w:t>
      </w:r>
      <w:r>
        <w:t xml:space="preserve">This fact has implications for our understanding of the relationship of annual tree growth to climate – both in the past and in the future.</w:t>
      </w:r>
    </w:p>
    <w:p>
      <w:pPr>
        <w:pStyle w:val="BodyText"/>
      </w:pPr>
      <w:r>
        <w:rPr>
          <w:iCs/>
          <w:i/>
        </w:rPr>
        <w:t xml:space="preserve">(Paragraph on implications for tree-ring studies:)</w:t>
      </w:r>
      <w:r>
        <w:t xml:space="preserve"> </w:t>
      </w:r>
      <w:r>
        <w:t xml:space="preserve">The annual growth records recorded in tree rings are routinely used to understand the climate sensitivity of tree growth and thereby to reconstruct past climates</w:t>
      </w:r>
      <w:r>
        <w:t xml:space="preserve">(</w:t>
      </w:r>
      <w:r>
        <w:rPr>
          <w:bCs/>
          <w:b/>
        </w:rPr>
        <w:t xml:space="preserve">fritts_tree_1976?</w:t>
      </w:r>
      <w:r>
        <w:t xml:space="preserve">)</w:t>
      </w:r>
      <w:r>
        <w:t xml:space="preserve"> </w:t>
      </w:r>
      <w:r>
        <w:t xml:space="preserve">or understand how forest productivity may respond to future climate change</w:t>
      </w:r>
      <w:r>
        <w:t xml:space="preserve"> </w:t>
      </w:r>
      <w:r>
        <w:t xml:space="preserve">(Dow</w:t>
      </w:r>
      <w:r>
        <w:t xml:space="preserve"> </w:t>
      </w:r>
      <w:r>
        <w:rPr>
          <w:iCs/>
          <w:i/>
        </w:rPr>
        <w:t xml:space="preserve">et al.</w:t>
      </w:r>
      <w:r>
        <w:t xml:space="preserve">, in press; e.g., Cabon</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Moreover, as shown by</w:t>
      </w:r>
      <w:r>
        <w:t xml:space="preserve"> </w:t>
      </w:r>
      <w:r>
        <w:t xml:space="preserve">Martínez-Sancho</w:t>
      </w:r>
      <w:r>
        <w:t xml:space="preserve"> </w:t>
      </w:r>
      <w:r>
        <w:rPr>
          <w:iCs/>
          <w:i/>
        </w:rPr>
        <w:t xml:space="preserve">et al.</w:t>
      </w:r>
      <w:r>
        <w:t xml:space="preserve"> </w:t>
      </w:r>
      <w:r>
        <w:t xml:space="preserve">(2022)</w:t>
      </w:r>
      <w:r>
        <w:t xml:space="preserve">, a severe drought might not even register in annual tree-rings if it is short enough that C fixed during the drought [by the less moisture-sensitive process of photosynthesis;</w:t>
      </w:r>
      <w:r>
        <w:t xml:space="preserve"> </w:t>
      </w:r>
      <w:r>
        <w:t xml:space="preserve">(</w:t>
      </w:r>
      <w:r>
        <w:rPr>
          <w:bCs/>
          <w:b/>
        </w:rPr>
        <w:t xml:space="preserve">delpierre_wood_2016_verify?</w:t>
      </w:r>
      <w:r>
        <w:t xml:space="preserve">)</w:t>
      </w:r>
      <w:r>
        <w:t xml:space="preserve">;</w:t>
      </w:r>
      <w:r>
        <w:t xml:space="preserve"> </w:t>
      </w:r>
      <w:r>
        <w:t xml:space="preserve">Kannenberg</w:t>
      </w:r>
      <w:r>
        <w:t xml:space="preserve"> </w:t>
      </w:r>
      <w:r>
        <w:rPr>
          <w:iCs/>
          <w:i/>
        </w:rPr>
        <w:t xml:space="preserve">et al.</w:t>
      </w:r>
      <w:r>
        <w:t xml:space="preserve"> </w:t>
      </w:r>
      <w:r>
        <w:t xml:space="preserve">(2022)</w:t>
      </w:r>
      <w:r>
        <w:t xml:space="preserve">] can bolster late-season wood formation and compensate for missed growth during the drought.</w:t>
      </w:r>
      <w:r>
        <w:t xml:space="preserve"> </w:t>
      </w:r>
      <w:r>
        <w:t xml:space="preserve">The implication is that the ability of annual growth rings to capture drought depends on the timing and nature of the drought.</w:t>
      </w:r>
      <w:r>
        <w:t xml:space="preserve"> </w:t>
      </w:r>
      <w:r>
        <w:rPr>
          <w:iCs/>
          <w:i/>
        </w:rPr>
        <w:t xml:space="preserve">(other implications for tree-ring studies?)</w:t>
      </w:r>
    </w:p>
    <w:p>
      <w:pPr>
        <w:pStyle w:val="BodyText"/>
      </w:pPr>
      <w:r>
        <w:rPr>
          <w:iCs/>
          <w:i/>
        </w:rPr>
        <w:t xml:space="preserve">(one paragraph discussing models:)</w:t>
      </w:r>
      <w:r>
        <w:t xml:space="preserve"> </w:t>
      </w: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also has important implications for global C cycle models.</w:t>
      </w:r>
      <w:r>
        <w:t xml:space="preserve"> </w:t>
      </w:r>
      <w:r>
        <w:t xml:space="preserve">Most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w:t>
      </w:r>
      <w:r>
        <w:rPr>
          <w:bCs/>
          <w:b/>
        </w:rPr>
        <w:t xml:space="preserve">ref?</w:t>
      </w:r>
      <w:r>
        <w:t xml:space="preserve">)</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and represents an important uncertainty in these models.</w:t>
      </w:r>
      <w:r>
        <w:t xml:space="preserve"> </w:t>
      </w:r>
      <w:r>
        <w:t xml:space="preserve">(Models may project over- or under-predict drought sensitivity, depending on the timing and nature of the drought.)</w:t>
      </w:r>
      <w:r>
        <w:t xml:space="preserve"> </w:t>
      </w:r>
      <w:r>
        <w:t xml:space="preserve">To get models right, we need to understand seasonal patterns of C allocation to woody growth and how they are influenced by climate variation (and change)</w:t>
      </w:r>
    </w:p>
    <w:p>
      <w:pPr>
        <w:pStyle w:val="BodyText"/>
      </w:pPr>
      <w:r>
        <w:t xml:space="preserve">We need more studies like</w:t>
      </w:r>
      <w:r>
        <w:t xml:space="preserve"> </w:t>
      </w:r>
      <w:r>
        <w:t xml:space="preserve">Martínez-Sancho</w:t>
      </w:r>
      <w:r>
        <w:t xml:space="preserve"> </w:t>
      </w:r>
      <w:r>
        <w:rPr>
          <w:iCs/>
          <w:i/>
        </w:rPr>
        <w:t xml:space="preserve">et al.</w:t>
      </w:r>
      <w:r>
        <w:t xml:space="preserve"> </w:t>
      </w:r>
      <w:r>
        <w:t xml:space="preserve">(2022)</w:t>
      </w:r>
      <w:r>
        <w:t xml:space="preserve"> </w:t>
      </w:r>
      <w:r>
        <w:t xml:space="preserve">– bonus if they also get GPP – to broaden our understanding of how</w:t>
      </w:r>
      <w:r>
        <w:t xml:space="preserve"> </w:t>
      </w:r>
      <w:r>
        <w:rPr>
          <w:iCs/>
          <w:i/>
        </w:rPr>
        <w:t xml:space="preserve">ANPP</w:t>
      </w:r>
      <w:r>
        <w:rPr>
          <w:vertAlign w:val="subscript"/>
          <w:iCs/>
          <w:i/>
        </w:rPr>
        <w:t xml:space="preserve">woody</w:t>
      </w:r>
      <w:r>
        <w:t xml:space="preserve"> </w:t>
      </w:r>
      <w:r>
        <w:t xml:space="preserve">is jointly shaped by climate– both directly and indirectly (through GPP).</w:t>
      </w:r>
    </w:p>
    <w:p>
      <w:pPr>
        <w:pStyle w:val="BodyText"/>
      </w:pPr>
      <w:r>
        <w:rPr>
          <w:iCs/>
          <w:i/>
        </w:rPr>
        <w:t xml:space="preserve">(active vs passive allocation)</w:t>
      </w:r>
    </w:p>
    <w:bookmarkStart w:id="22" w:name="misc-text-to-incorporate"/>
    <w:p>
      <w:pPr>
        <w:pStyle w:val="Heading1"/>
      </w:pPr>
      <w:r>
        <w:rPr>
          <w:rStyle w:val="SectionNumber"/>
        </w:rPr>
        <w:t xml:space="preserve">1</w:t>
      </w:r>
      <w:r>
        <w:tab/>
      </w:r>
      <w:r>
        <w:t xml:space="preserve">Misc text to incorporate</w:t>
      </w:r>
    </w:p>
    <w:p>
      <w:pPr>
        <w:pStyle w:val="FirstParagraph"/>
      </w:pPr>
      <w:r>
        <w:t xml:space="preserve">This decoupling arises due to either a) passive limitation of woody tree growth by environmental conditions (as cellular division and enlargement ceases sooner than photosynthesis during periods of temperature or water stress), or b) active allocation away from woody growth to support other sinks (e.g., non-woody tissues, reproduction, respiration, root exudation, non-structural carbohydrate pools).</w:t>
      </w:r>
    </w:p>
    <w:p>
      <w:pPr>
        <w:pStyle w:val="BodyText"/>
      </w:pPr>
      <w:r>
        <w:t xml:space="preserve">Despite growing evidence that C uptake and woody growth are frequently decoupled, we lack a comprehensive understanding regarding: 1) when, where, and why this decoupling occurs, 2) the spatial and temporal scales at which it operates, and 3) the implications for how we understand and model the forest C cycle. Given the complexity of tree physiology and forest C cycling, answering these open questions necessitates cross-scale and cross-methodology approaches.</w:t>
      </w:r>
    </w:p>
    <w:p>
      <w:r>
        <w:br w:type="page"/>
      </w:r>
    </w:p>
    <w:bookmarkEnd w:id="22"/>
    <w:bookmarkStart w:id="35" w:name="References"/>
    <w:p>
      <w:pPr>
        <w:pStyle w:val="Heading1"/>
      </w:pPr>
      <w:r>
        <w:t xml:space="preserve">References</w:t>
      </w:r>
    </w:p>
    <w:bookmarkStart w:id="34" w:name="refs"/>
    <w:bookmarkStart w:id="23"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w:t>
      </w:r>
    </w:p>
    <w:bookmarkEnd w:id="23"/>
    <w:bookmarkStart w:id="24"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 Cross-biome synthesis of source versus sink limits to tree growth.</w:t>
      </w:r>
      <w:r>
        <w:t xml:space="preserve"> </w:t>
      </w:r>
      <w:r>
        <w:rPr>
          <w:iCs/>
          <w:i/>
        </w:rPr>
        <w:t xml:space="preserve">Science</w:t>
      </w:r>
      <w:r>
        <w:t xml:space="preserve"> </w:t>
      </w:r>
      <w:r>
        <w:rPr>
          <w:bCs/>
          <w:b/>
        </w:rPr>
        <w:t xml:space="preserve">376</w:t>
      </w:r>
      <w:r>
        <w:t xml:space="preserve">: 758–761.</w:t>
      </w:r>
    </w:p>
    <w:bookmarkEnd w:id="24"/>
    <w:bookmarkStart w:id="25"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w:t>
      </w:r>
    </w:p>
    <w:bookmarkEnd w:id="25"/>
    <w:bookmarkStart w:id="26"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w:t>
      </w:r>
    </w:p>
    <w:bookmarkEnd w:id="26"/>
    <w:bookmarkStart w:id="27"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w:t>
      </w:r>
      <w:r>
        <w:t xml:space="preserv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w:t>
      </w:r>
    </w:p>
    <w:bookmarkEnd w:id="27"/>
    <w:bookmarkStart w:id="28"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 Warm springs alter timing but not total growth of temperate deciduous trees.</w:t>
      </w:r>
      <w:r>
        <w:t xml:space="preserve"> </w:t>
      </w:r>
      <w:r>
        <w:rPr>
          <w:iCs/>
          <w:i/>
        </w:rPr>
        <w:t xml:space="preserve">Nature</w:t>
      </w:r>
      <w:r>
        <w:t xml:space="preserve">.</w:t>
      </w:r>
    </w:p>
    <w:bookmarkEnd w:id="28"/>
    <w:bookmarkStart w:id="29"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w:t>
      </w:r>
    </w:p>
    <w:bookmarkEnd w:id="29"/>
    <w:bookmarkStart w:id="30"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30"/>
    <w:bookmarkStart w:id="31"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w:t>
      </w:r>
    </w:p>
    <w:bookmarkEnd w:id="31"/>
    <w:bookmarkStart w:id="32"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 Drought-induced decoupling between carbon uptake and tree growth impacts forest carbon turnover time.</w:t>
      </w:r>
      <w:r>
        <w:t xml:space="preserve"> </w:t>
      </w:r>
      <w:r>
        <w:rPr>
          <w:iCs/>
          <w:i/>
        </w:rPr>
        <w:t xml:space="preserve">Agricultural and Forest Meteorology</w:t>
      </w:r>
      <w:r>
        <w:t xml:space="preserve"> </w:t>
      </w:r>
      <w:r>
        <w:rPr>
          <w:bCs/>
          <w:b/>
        </w:rPr>
        <w:t xml:space="preserve">322</w:t>
      </w:r>
      <w:r>
        <w:t xml:space="preserve">: 108996.</w:t>
      </w:r>
    </w:p>
    <w:bookmarkEnd w:id="32"/>
    <w:bookmarkStart w:id="33"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 Drought impacts on tree carbon sequestration and water use</w:t>
      </w:r>
      <w:r>
        <w:t xml:space="preserve"> </w:t>
      </w:r>
      <w:r>
        <w:t xml:space="preserve"> </w:t>
      </w:r>
      <w:r>
        <w:t xml:space="preserve">evidence from intra-annual tree-ring characteristics.</w:t>
      </w:r>
      <w:r>
        <w:t xml:space="preserve"> </w:t>
      </w:r>
      <w:r>
        <w:rPr>
          <w:iCs/>
          <w:i/>
        </w:rPr>
        <w:t xml:space="preserve">New Phytologist</w:t>
      </w:r>
      <w:r>
        <w:t xml:space="preserve"> </w:t>
      </w:r>
      <w:r>
        <w:rPr>
          <w:bCs/>
          <w:b/>
        </w:rPr>
        <w:t xml:space="preserve">n/a</w:t>
      </w:r>
      <w:r>
        <w:t xml:space="preserve">: 000–000.</w:t>
      </w:r>
    </w:p>
    <w:bookmarkEnd w:id="33"/>
    <w:bookmarkEnd w:id="34"/>
    <w:bookmarkEnd w:id="3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2022-06-22T15:17:40Z</dcterms:created>
  <dcterms:modified xsi:type="dcterms:W3CDTF">2022-06-22T15:17:40Z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