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5.png" ContentType="image/png"/>
  <Override PartName="/word/media/rId86.png" ContentType="image/png"/>
  <Override PartName="/word/media/rId91.png" ContentType="image/png"/>
  <Override PartName="/word/media/rId22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6beedd955ed9a32377d7b543ee79833bf64abe"/>
    <w:p>
      <w:pPr>
        <w:pStyle w:val="Heading2"/>
      </w:pPr>
      <w:r>
        <w:rPr>
          <w:b/>
          <w:bCs/>
        </w:rPr>
        <w:t xml:space="preserve">Part 1 - Import NVIDIA stock data using quantmod and visualize the closing prices over time.</w:t>
      </w:r>
    </w:p>
    <w:bookmarkStart w:id="20" w:name="load-necessary-packages"/>
    <w:p>
      <w:pPr>
        <w:pStyle w:val="Heading3"/>
      </w:pPr>
      <w:r>
        <w:rPr>
          <w:b/>
          <w:bCs/>
        </w:rPr>
        <w:t xml:space="preserve">Load necessary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(quantmod)</w:t>
      </w:r>
    </w:p>
    <w:bookmarkEnd w:id="20"/>
    <w:bookmarkStart w:id="21" w:name="Xce90fc2e0d147bc1e5863f5bca2c6dc0d5fa05b"/>
    <w:p>
      <w:pPr>
        <w:pStyle w:val="Heading3"/>
      </w:pPr>
      <w:r>
        <w:rPr>
          <w:b/>
          <w:bCs/>
        </w:rPr>
        <w:t xml:space="preserve">Importing NVIDIA stock data using quantmod</w:t>
      </w:r>
    </w:p>
    <w:p>
      <w:pPr>
        <w:pStyle w:val="SourceCode"/>
      </w:pPr>
      <w:r>
        <w:rPr>
          <w:rStyle w:val="FunctionTok"/>
        </w:rPr>
        <w:t xml:space="preserve">getSymbols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"NVDA"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"2023-04-01"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"NVDA"</w:t>
      </w:r>
    </w:p>
    <w:bookmarkEnd w:id="21"/>
    <w:bookmarkStart w:id="26" w:name="X21eeec1f8162693b172e0fb8201dc9a063b0a9d"/>
    <w:p>
      <w:pPr>
        <w:pStyle w:val="Heading3"/>
      </w:pPr>
      <w:r>
        <w:rPr>
          <w:b/>
          <w:bCs/>
        </w:rPr>
        <w:t xml:space="preserve">Visualization of NVIDIA’s Gains &amp; Losses over a period of 1 year</w:t>
      </w:r>
    </w:p>
    <w:bookmarkStart w:id="25" w:name="green-gains-red-losses"/>
    <w:p>
      <w:pPr>
        <w:pStyle w:val="Heading4"/>
      </w:pPr>
      <w:r>
        <w:rPr>
          <w:b/>
          <w:bCs/>
        </w:rPr>
        <w:t xml:space="preserve">Green = gains; Red = losses</w:t>
      </w:r>
    </w:p>
    <w:p>
      <w:pPr>
        <w:pStyle w:val="SourceCode"/>
      </w:pPr>
      <w:r>
        <w:rPr>
          <w:rStyle w:val="FunctionTok"/>
        </w:rPr>
        <w:t xml:space="preserve">chartSeries</w:t>
      </w:r>
      <w:r>
        <w:rPr>
          <w:rStyle w:val="NormalTok"/>
        </w:rPr>
        <w:t xml:space="preserve">(NVDA,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End w:id="27"/>
    <w:bookmarkStart w:id="40" w:name="X729dc3985a0f2a38878010fdeb07f2bb73424d0"/>
    <w:p>
      <w:pPr>
        <w:pStyle w:val="Heading2"/>
      </w:pPr>
      <w:r>
        <w:rPr>
          <w:b/>
          <w:bCs/>
        </w:rPr>
        <w:t xml:space="preserve">Part 2 - Calculate daily and monthly returns for NVIDIA and Create plots showing price trends and returns.</w:t>
      </w:r>
    </w:p>
    <w:bookmarkStart w:id="29" w:name="Xc156cf0e63e933b36d05220e668ee8d36421165"/>
    <w:p>
      <w:pPr>
        <w:pStyle w:val="Heading3"/>
      </w:pPr>
      <w:r>
        <w:rPr>
          <w:b/>
          <w:bCs/>
        </w:rPr>
        <w:t xml:space="preserve">Calculate daily returns using the quantmod package with the function dailyReturn().</w:t>
      </w:r>
    </w:p>
    <w:bookmarkStart w:id="28" w:name="Xd7dea2ffa1ae4a998a2f0e7fb56f15d973c77be"/>
    <w:p>
      <w:pPr>
        <w:pStyle w:val="Heading4"/>
      </w:pPr>
      <w:r>
        <w:rPr>
          <w:b/>
          <w:bCs/>
        </w:rPr>
        <w:t xml:space="preserve">This function computes the percentage change between the closing prices of two consecutive days (y axis = rate of change).</w:t>
      </w:r>
    </w:p>
    <w:p>
      <w:pPr>
        <w:pStyle w:val="SourceCode"/>
      </w:pPr>
      <w:r>
        <w:rPr>
          <w:rStyle w:val="NormalTok"/>
        </w:rPr>
        <w:t xml:space="preserve">NVDA_daily_returns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dailyReturn</w:t>
      </w:r>
      <w:r>
        <w:rPr>
          <w:rStyle w:val="NormalTok"/>
        </w:rPr>
        <w:t xml:space="preserve">(NVDA)</w:t>
      </w:r>
    </w:p>
    <w:bookmarkEnd w:id="28"/>
    <w:bookmarkEnd w:id="29"/>
    <w:bookmarkStart w:id="31" w:name="X0d5eac9261c52e8a8374930a012f00d5a6a7764"/>
    <w:p>
      <w:pPr>
        <w:pStyle w:val="Heading3"/>
      </w:pPr>
      <w:r>
        <w:rPr>
          <w:b/>
          <w:bCs/>
        </w:rPr>
        <w:t xml:space="preserve">Calculate monthly returns using the quantmad package.</w:t>
      </w:r>
    </w:p>
    <w:bookmarkStart w:id="30" w:name="X8e9c9b01330156d1cc6db79cfdba645d9fa62ab"/>
    <w:p>
      <w:pPr>
        <w:pStyle w:val="Heading4"/>
      </w:pPr>
      <w:r>
        <w:rPr>
          <w:b/>
          <w:bCs/>
        </w:rPr>
        <w:t xml:space="preserve">Involves converting daily stock prices to monthly prices and then computing the returns based on these monthly prices.</w:t>
      </w:r>
    </w:p>
    <w:p>
      <w:pPr>
        <w:pStyle w:val="SourceCode"/>
      </w:pPr>
      <w:r>
        <w:rPr>
          <w:rStyle w:val="NormalTok"/>
        </w:rPr>
        <w:t xml:space="preserve">NVDA_monthly_returns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monthlyReturn</w:t>
      </w:r>
      <w:r>
        <w:rPr>
          <w:rStyle w:val="NormalTok"/>
        </w:rPr>
        <w:t xml:space="preserve">(NVDA)</w:t>
      </w:r>
    </w:p>
    <w:bookmarkEnd w:id="30"/>
    <w:bookmarkEnd w:id="31"/>
    <w:bookmarkStart w:id="35" w:name="visualizing-daily-returns-of-nvda"/>
    <w:p>
      <w:pPr>
        <w:pStyle w:val="Heading3"/>
      </w:pPr>
      <w:r>
        <w:rPr>
          <w:b/>
          <w:bCs/>
        </w:rPr>
        <w:t xml:space="preserve">Visualizing daily returns of NVDA</w:t>
      </w:r>
    </w:p>
    <w:p>
      <w:pPr>
        <w:pStyle w:val="SourceCode"/>
      </w:pPr>
      <w:r>
        <w:rPr>
          <w:rStyle w:val="FunctionTok"/>
        </w:rPr>
        <w:t xml:space="preserve">barChart</w:t>
      </w:r>
      <w:r>
        <w:rPr>
          <w:rStyle w:val="NormalTok"/>
        </w:rPr>
        <w:t xml:space="preserve">(NVDA_daily_returns,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grid.col=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"Daily Returns for NVDA"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visualizing-monthly-returns-of-nvda"/>
    <w:p>
      <w:pPr>
        <w:pStyle w:val="Heading3"/>
      </w:pPr>
      <w:r>
        <w:rPr>
          <w:b/>
          <w:bCs/>
        </w:rPr>
        <w:t xml:space="preserve">Visualizing monthly returns of NVDA</w:t>
      </w:r>
    </w:p>
    <w:p>
      <w:pPr>
        <w:pStyle w:val="SourceCode"/>
      </w:pPr>
      <w:r>
        <w:rPr>
          <w:rStyle w:val="FunctionTok"/>
        </w:rPr>
        <w:t xml:space="preserve">barChart</w:t>
      </w:r>
      <w:r>
        <w:rPr>
          <w:rStyle w:val="NormalTok"/>
        </w:rPr>
        <w:t xml:space="preserve">(NVDA_monthly_returns,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Returns for NVDA"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7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73" w:name="X25c9209fb745c89be7421a87c0d61154768bb34"/>
    <w:p>
      <w:pPr>
        <w:pStyle w:val="Heading2"/>
      </w:pPr>
      <w:r>
        <w:rPr>
          <w:b/>
          <w:bCs/>
        </w:rPr>
        <w:t xml:space="preserve">Part 3 - Compute and plot moving averages and volatility for NVIDIA and Apply technical indicators to generate trading signals.</w:t>
      </w:r>
    </w:p>
    <w:bookmarkStart w:id="51" w:name="moving-averages"/>
    <w:p>
      <w:pPr>
        <w:pStyle w:val="Heading3"/>
      </w:pPr>
      <w:r>
        <w:rPr>
          <w:b/>
          <w:bCs/>
        </w:rPr>
        <w:t xml:space="preserve">Moving averages</w:t>
      </w:r>
    </w:p>
    <w:bookmarkStart w:id="41" w:name="Xaaa2ca911c794a0c981a5015211169047c8923e"/>
    <w:p>
      <w:pPr>
        <w:pStyle w:val="Heading4"/>
      </w:pPr>
      <w:r>
        <w:rPr>
          <w:b/>
          <w:bCs/>
        </w:rPr>
        <w:t xml:space="preserve">SMA calculates the arithmetic mean of the series over the past n observations.</w:t>
      </w:r>
    </w:p>
    <w:bookmarkEnd w:id="41"/>
    <w:bookmarkStart w:id="42" w:name="Xf252e18121b5c2da748a95c061b402b6dbd1ca5"/>
    <w:p>
      <w:pPr>
        <w:pStyle w:val="Heading4"/>
      </w:pPr>
      <w:r>
        <w:rPr>
          <w:b/>
          <w:bCs/>
        </w:rPr>
        <w:t xml:space="preserve">Enhanced chart with volume and SMA overlays</w:t>
      </w:r>
    </w:p>
    <w:bookmarkEnd w:id="42"/>
    <w:bookmarkStart w:id="46" w:name="visualization-with-sma-20"/>
    <w:p>
      <w:pPr>
        <w:pStyle w:val="Heading4"/>
      </w:pPr>
      <w:r>
        <w:rPr>
          <w:b/>
          <w:bCs/>
        </w:rPr>
        <w:t xml:space="preserve">Visualization with SMA = 20</w:t>
      </w:r>
    </w:p>
    <w:p>
      <w:pPr>
        <w:pStyle w:val="SourceCode"/>
      </w:pPr>
      <w:r>
        <w:rPr>
          <w:rStyle w:val="FunctionTok"/>
        </w:rPr>
        <w:t xml:space="preserve">chartSeries</w:t>
      </w:r>
      <w:r>
        <w:rPr>
          <w:rStyle w:val="NormalTok"/>
        </w:rPr>
        <w:t xml:space="preserve">(NVDA, </w:t>
      </w:r>
      <w:r>
        <w:rPr>
          <w:rStyle w:val="AttributeTok"/>
        </w:rPr>
        <w:t xml:space="preserve">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"addVo();addSMA(20)"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visualization-with-sma-50"/>
    <w:p>
      <w:pPr>
        <w:pStyle w:val="Heading4"/>
      </w:pPr>
      <w:r>
        <w:rPr>
          <w:b/>
          <w:bCs/>
        </w:rPr>
        <w:t xml:space="preserve">Visualization with SMA = 50</w:t>
      </w:r>
    </w:p>
    <w:p>
      <w:pPr>
        <w:pStyle w:val="SourceCode"/>
      </w:pPr>
      <w:r>
        <w:rPr>
          <w:rStyle w:val="FunctionTok"/>
        </w:rPr>
        <w:t xml:space="preserve">chartSeries</w:t>
      </w:r>
      <w:r>
        <w:rPr>
          <w:rStyle w:val="NormalTok"/>
        </w:rPr>
        <w:t xml:space="preserve">(NVDA, </w:t>
      </w:r>
      <w:r>
        <w:rPr>
          <w:rStyle w:val="AttributeTok"/>
        </w:rPr>
        <w:t xml:space="preserve">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"addVo();addSMA(50)"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7" w:name="X8f386b01eec3b90b5414ffe9f6cea50e0abdca4"/>
    <w:p>
      <w:pPr>
        <w:pStyle w:val="Heading3"/>
      </w:pPr>
      <w:r>
        <w:rPr>
          <w:b/>
          <w:bCs/>
        </w:rPr>
        <w:t xml:space="preserve">Volatility (standard deviation of daily returns)</w:t>
      </w:r>
    </w:p>
    <w:bookmarkStart w:id="52" w:name="X64b86ab11022643b94e7943b5d6b203d8ec1ede"/>
    <w:p>
      <w:pPr>
        <w:pStyle w:val="Heading4"/>
      </w:pPr>
      <w:r>
        <w:rPr>
          <w:b/>
          <w:bCs/>
        </w:rPr>
        <w:t xml:space="preserve">Volatility is a statistical measure of the dispersion of returns for a given security or market index, and it’s typically used to quantify the risk associated with a particular investment.</w:t>
      </w:r>
    </w:p>
    <w:p>
      <w:pPr>
        <w:pStyle w:val="SourceCode"/>
      </w:pPr>
      <w:r>
        <w:rPr>
          <w:rStyle w:val="NormalTok"/>
        </w:rPr>
        <w:t xml:space="preserve">NVDA_volatility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runSD</w:t>
      </w:r>
      <w:r>
        <w:rPr>
          <w:rStyle w:val="NormalTok"/>
        </w:rPr>
        <w:t xml:space="preserve">(NVDA_daily_returns,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bookmarkEnd w:id="52"/>
    <w:bookmarkStart w:id="56" w:name="plotting-volatility"/>
    <w:p>
      <w:pPr>
        <w:pStyle w:val="Heading4"/>
      </w:pPr>
      <w:r>
        <w:rPr>
          <w:b/>
          <w:bCs/>
        </w:rPr>
        <w:t xml:space="preserve">Plotting volatility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(NVDA_volatility,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"20-Day Rolling Volatility of NVDA"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11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72" w:name="technical-indicators"/>
    <w:p>
      <w:pPr>
        <w:pStyle w:val="Heading3"/>
      </w:pPr>
      <w:r>
        <w:rPr>
          <w:b/>
          <w:bCs/>
        </w:rPr>
        <w:t xml:space="preserve">Technical indicators</w:t>
      </w:r>
    </w:p>
    <w:bookmarkStart w:id="59" w:name="X68c306143171f99b810a16c5e271955b2a0aedb"/>
    <w:p>
      <w:pPr>
        <w:pStyle w:val="Heading4"/>
      </w:pPr>
      <w:r>
        <w:rPr>
          <w:b/>
          <w:bCs/>
        </w:rPr>
        <w:t xml:space="preserve">Moving Average Convergence/Divergence (MACD)</w:t>
      </w:r>
    </w:p>
    <w:bookmarkStart w:id="58" w:name="X78a9a353d49348b7b568b7aace0cf133e9fd51a"/>
    <w:p>
      <w:pPr>
        <w:pStyle w:val="Heading5"/>
      </w:pPr>
      <w:r>
        <w:rPr>
          <w:b/>
          <w:bCs/>
        </w:rPr>
        <w:t xml:space="preserve">Relative Strength Index (RSI) calculates a ratio of the recent upward price movements to the absolute price movement.</w:t>
      </w:r>
    </w:p>
    <w:p>
      <w:pPr>
        <w:pStyle w:val="SourceCode"/>
      </w:pPr>
      <w:r>
        <w:rPr>
          <w:rStyle w:val="NormalTok"/>
        </w:rPr>
        <w:t xml:space="preserve">NVDA_macd_vals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(NVDA))</w:t>
      </w:r>
      <w:r>
        <w:br/>
      </w:r>
      <w:r>
        <w:rPr>
          <w:rStyle w:val="NormalTok"/>
        </w:rPr>
        <w:t xml:space="preserve">NVDA_rsi_vals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</w:t>
      </w:r>
      <w:r>
        <w:rPr>
          <w:rStyle w:val="NormalTok"/>
        </w:rPr>
        <w:t xml:space="preserve">(NVDA))</w:t>
      </w:r>
    </w:p>
    <w:bookmarkEnd w:id="58"/>
    <w:bookmarkEnd w:id="59"/>
    <w:bookmarkStart w:id="63" w:name="plotting-macd-of-nvda"/>
    <w:p>
      <w:pPr>
        <w:pStyle w:val="Heading4"/>
      </w:pPr>
      <w:r>
        <w:rPr>
          <w:b/>
          <w:bCs/>
        </w:rPr>
        <w:t xml:space="preserve">Plotting MACD of NVDA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(NVDA_macd_vals,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"MACD NVDA"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13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plotting-rsi-of-nvda"/>
    <w:p>
      <w:pPr>
        <w:pStyle w:val="Heading4"/>
      </w:pPr>
      <w:r>
        <w:rPr>
          <w:b/>
          <w:bCs/>
        </w:rPr>
        <w:t xml:space="preserve">Plotting RSI of NVDA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(NVDA_rsi_vals,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"RSI NVDA"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14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plotting-with-technical-indicators"/>
    <w:p>
      <w:pPr>
        <w:pStyle w:val="Heading4"/>
      </w:pPr>
      <w:r>
        <w:rPr>
          <w:b/>
          <w:bCs/>
        </w:rPr>
        <w:t xml:space="preserve">Plotting with technical indicators</w:t>
      </w:r>
    </w:p>
    <w:p>
      <w:pPr>
        <w:pStyle w:val="SourceCode"/>
      </w:pPr>
      <w:r>
        <w:rPr>
          <w:rStyle w:val="FunctionTok"/>
        </w:rPr>
        <w:t xml:space="preserve">chartSeries</w:t>
      </w:r>
      <w:r>
        <w:rPr>
          <w:rStyle w:val="NormalTok"/>
        </w:rPr>
        <w:t xml:space="preserve">(NVDA, </w:t>
      </w:r>
      <w:r>
        <w:rPr>
          <w:rStyle w:val="AttributeTok"/>
        </w:rPr>
        <w:t xml:space="preserve">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"addVo();addMACD();addRSI();addSMA(20);addVolatility()"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15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bookmarkEnd w:id="73"/>
    <w:bookmarkStart w:id="95" w:name="X1827dddc346fc9b3a8cb91dd41e333e865aafa8"/>
    <w:p>
      <w:pPr>
        <w:pStyle w:val="Heading2"/>
      </w:pPr>
      <w:r>
        <w:rPr>
          <w:b/>
          <w:bCs/>
        </w:rPr>
        <w:t xml:space="preserve">Part 4 - Build a simple ARIMA model to forecast next month’s prices for NVIDIA and Evaluate the model’s accuracy and discuss its implications.</w:t>
      </w:r>
    </w:p>
    <w:bookmarkStart w:id="74" w:name="load-necessary-libraries"/>
    <w:p>
      <w:pPr>
        <w:pStyle w:val="Heading3"/>
      </w:pPr>
      <w:r>
        <w:rPr>
          <w:b/>
          <w:bCs/>
        </w:rPr>
        <w:t xml:space="preserve">Load necessary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bookmarkEnd w:id="74"/>
    <w:bookmarkStart w:id="78" w:name="visualization-without-forecasting"/>
    <w:p>
      <w:pPr>
        <w:pStyle w:val="Heading3"/>
      </w:pPr>
      <w:r>
        <w:rPr>
          <w:b/>
          <w:bCs/>
        </w:rPr>
        <w:t xml:space="preserve">Visualization without forecasting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(NVDA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NVDA.Open,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"NVDA Open Price without forecasting"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17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fit-an-arima-model"/>
    <w:p>
      <w:pPr>
        <w:pStyle w:val="Heading3"/>
      </w:pPr>
      <w:r>
        <w:rPr>
          <w:b/>
          <w:bCs/>
        </w:rPr>
        <w:t xml:space="preserve">Fit an ARIMA model</w:t>
      </w:r>
    </w:p>
    <w:p>
      <w:pPr>
        <w:pStyle w:val="SourceCode"/>
      </w:pPr>
      <w:r>
        <w:rPr>
          <w:rStyle w:val="NormalTok"/>
        </w:rPr>
        <w:t xml:space="preserve">NVDA_OPfit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(NVDA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NVDA.Open)</w:t>
      </w:r>
    </w:p>
    <w:bookmarkEnd w:id="79"/>
    <w:bookmarkStart w:id="85" w:name="model-parameters"/>
    <w:p>
      <w:pPr>
        <w:pStyle w:val="Heading3"/>
      </w:pPr>
      <w:r>
        <w:rPr>
          <w:b/>
          <w:bCs/>
        </w:rPr>
        <w:t xml:space="preserve">Model parameters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(NVDA_OPfit)</w:t>
      </w:r>
    </w:p>
    <w:p>
      <w:pPr>
        <w:pStyle w:val="SourceCode"/>
      </w:pPr>
      <w:r>
        <w:rPr>
          <w:rStyle w:val="VerbatimChar"/>
        </w:rPr>
        <w:t xml:space="preserve">## Series: NVDA$NVDA.Open </w:t>
      </w:r>
      <w:r>
        <w:br/>
      </w:r>
      <w:r>
        <w:rPr>
          <w:rStyle w:val="VerbatimChar"/>
        </w:rPr>
        <w:t xml:space="preserve">## ARIMA(0,1,1) with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ma1   drift</w:t>
      </w:r>
      <w:r>
        <w:br/>
      </w:r>
      <w:r>
        <w:rPr>
          <w:rStyle w:val="VerbatimChar"/>
        </w:rPr>
        <w:t xml:space="preserve">##       -0.1391  0.2541</w:t>
      </w:r>
      <w:r>
        <w:br/>
      </w:r>
      <w:r>
        <w:rPr>
          <w:rStyle w:val="VerbatimChar"/>
        </w:rPr>
        <w:t xml:space="preserve">## s.e.   0.0685  0.0908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2.779:  log likelihood = -477.65</w:t>
      </w:r>
      <w:r>
        <w:br/>
      </w:r>
      <w:r>
        <w:rPr>
          <w:rStyle w:val="VerbatimChar"/>
        </w:rPr>
        <w:t xml:space="preserve">## AIC=961.3   AICc=961.4   BIC=971.84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 set error measures:</w:t>
      </w:r>
      <w:r>
        <w:br/>
      </w:r>
      <w:r>
        <w:rPr>
          <w:rStyle w:val="VerbatimChar"/>
        </w:rPr>
        <w:t xml:space="preserve">##                        ME     RMSE     MAE        MPE     MAPE      MASE</w:t>
      </w:r>
      <w:r>
        <w:br/>
      </w:r>
      <w:r>
        <w:rPr>
          <w:rStyle w:val="VerbatimChar"/>
        </w:rPr>
        <w:t xml:space="preserve">## Training set 9.373656e-05 1.657027 1.11468 -0.1575239 2.177063 0.9824078</w:t>
      </w:r>
      <w:r>
        <w:br/>
      </w:r>
      <w:r>
        <w:rPr>
          <w:rStyle w:val="VerbatimChar"/>
        </w:rPr>
        <w:t xml:space="preserve">##                     ACF1</w:t>
      </w:r>
      <w:r>
        <w:br/>
      </w:r>
      <w:r>
        <w:rPr>
          <w:rStyle w:val="VerbatimChar"/>
        </w:rPr>
        <w:t xml:space="preserve">## Training set 0.008703701</w:t>
      </w:r>
    </w:p>
    <w:bookmarkStart w:id="80" w:name="arima011"/>
    <w:p>
      <w:pPr>
        <w:pStyle w:val="Heading5"/>
      </w:pPr>
      <w:r>
        <w:rPr>
          <w:b/>
          <w:bCs/>
        </w:rPr>
        <w:t xml:space="preserve">ARIMA(0,1,1)</w:t>
      </w:r>
    </w:p>
    <w:bookmarkEnd w:id="80"/>
    <w:bookmarkStart w:id="81" w:name="we-have-an-arima-model-arima011"/>
    <w:p>
      <w:pPr>
        <w:pStyle w:val="Heading5"/>
      </w:pPr>
      <w:r>
        <w:rPr>
          <w:b/>
          <w:bCs/>
        </w:rPr>
        <w:t xml:space="preserve">We have an ARIMA model: ARIMA(0,1,1)</w:t>
      </w:r>
    </w:p>
    <w:bookmarkEnd w:id="81"/>
    <w:bookmarkStart w:id="82" w:name="Xa113360622f16890e4f31c481206b4ccb3645fb"/>
    <w:p>
      <w:pPr>
        <w:pStyle w:val="Heading5"/>
      </w:pPr>
      <w:r>
        <w:rPr>
          <w:b/>
          <w:bCs/>
        </w:rPr>
        <w:t xml:space="preserve">0 for the AR (autoregressive) part, indicating no lagged term of the variable was used.</w:t>
      </w:r>
    </w:p>
    <w:bookmarkEnd w:id="82"/>
    <w:bookmarkStart w:id="83" w:name="Xe46ec5133af234d88903faccd92cc89fa346ba6"/>
    <w:p>
      <w:pPr>
        <w:pStyle w:val="Heading5"/>
      </w:pPr>
      <w:r>
        <w:rPr>
          <w:b/>
          <w:bCs/>
        </w:rPr>
        <w:t xml:space="preserve">1 for the I (integrated) part, meaning the data has been differenced once to achieve stationarity.</w:t>
      </w:r>
    </w:p>
    <w:bookmarkEnd w:id="83"/>
    <w:bookmarkStart w:id="84" w:name="X2989222ba88af07d905c947ba1ea13999cebdcc"/>
    <w:p>
      <w:pPr>
        <w:pStyle w:val="Heading5"/>
      </w:pPr>
      <w:r>
        <w:rPr>
          <w:b/>
          <w:bCs/>
        </w:rPr>
        <w:t xml:space="preserve">1 for the MA (moving average) part, indicating that the model uses one lagged forecast error term.</w:t>
      </w:r>
    </w:p>
    <w:bookmarkEnd w:id="84"/>
    <w:bookmarkEnd w:id="85"/>
    <w:bookmarkStart w:id="89" w:name="check-model-diagnostics"/>
    <w:p>
      <w:pPr>
        <w:pStyle w:val="Heading3"/>
      </w:pPr>
      <w:r>
        <w:rPr>
          <w:b/>
          <w:bCs/>
        </w:rPr>
        <w:t xml:space="preserve">Check model diagnostics</w:t>
      </w:r>
    </w:p>
    <w:p>
      <w:pPr>
        <w:pStyle w:val="SourceCode"/>
      </w:pPr>
      <w:r>
        <w:rPr>
          <w:rStyle w:val="FunctionTok"/>
        </w:rPr>
        <w:t xml:space="preserve">checkresiduals</w:t>
      </w:r>
      <w:r>
        <w:rPr>
          <w:rStyle w:val="NormalTok"/>
        </w:rPr>
        <w:t xml:space="preserve">(NVDA_OPfit)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20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ARIMA(0,1,1) with drift</w:t>
      </w:r>
      <w:r>
        <w:br/>
      </w:r>
      <w:r>
        <w:rPr>
          <w:rStyle w:val="VerbatimChar"/>
        </w:rPr>
        <w:t xml:space="preserve">## Q* = 4.4063, df = 9, p-value = 0.8827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1.   Total lags used: 10</w:t>
      </w:r>
    </w:p>
    <w:bookmarkEnd w:id="89"/>
    <w:bookmarkStart w:id="90" w:name="create-a-forecast"/>
    <w:p>
      <w:pPr>
        <w:pStyle w:val="Heading3"/>
      </w:pPr>
      <w:r>
        <w:rPr>
          <w:b/>
          <w:bCs/>
        </w:rPr>
        <w:t xml:space="preserve">Create a forecast</w:t>
      </w:r>
    </w:p>
    <w:p>
      <w:pPr>
        <w:pStyle w:val="SourceCode"/>
      </w:pPr>
      <w:r>
        <w:rPr>
          <w:rStyle w:val="NormalTok"/>
        </w:rPr>
        <w:t xml:space="preserve">NVDA_OP_future_values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(NVDA_OPfit,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Forecasting next 20 values</w:t>
      </w:r>
    </w:p>
    <w:bookmarkEnd w:id="90"/>
    <w:bookmarkStart w:id="94" w:name="Xe93b201597d3921e37bf43ea259f32cd41776e4"/>
    <w:p>
      <w:pPr>
        <w:pStyle w:val="Heading3"/>
      </w:pPr>
      <w:r>
        <w:rPr>
          <w:b/>
          <w:bCs/>
        </w:rPr>
        <w:t xml:space="preserve">Plot the forecast with historical data, showing 80% &amp; 95% prediction intervals obtained using exponential smoothing state space models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(NVDA_OP_future_values,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"NVDA Open Price with forecasting"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NVIDIA_Stock_Analysis_files/figure-docx/unnamed-chunk-22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End w:id="95"/>
    <w:bookmarkStart w:id="99" w:name="interpretation"/>
    <w:p>
      <w:pPr>
        <w:pStyle w:val="Heading2"/>
      </w:pPr>
      <w:r>
        <w:rPr>
          <w:b/>
          <w:bCs/>
        </w:rPr>
        <w:t xml:space="preserve">Interpretation:</w:t>
      </w:r>
    </w:p>
    <w:bookmarkStart w:id="96" w:name="Xa473b4c540fa864404c081dafb87624513d2a66"/>
    <w:p>
      <w:pPr>
        <w:pStyle w:val="Heading3"/>
      </w:pPr>
      <w:r>
        <w:rPr>
          <w:b/>
          <w:bCs/>
          <w:i/>
          <w:iCs/>
        </w:rPr>
        <w:t xml:space="preserve">As we look at the forecast, we see that the trend is upward, indicating that the model predicts continued growth in NVIDIA’s stock price. It’s not a flat line, which would suggest uncertainty or no clear trend.</w:t>
      </w:r>
    </w:p>
    <w:bookmarkEnd w:id="96"/>
    <w:bookmarkStart w:id="97" w:name="X50978ed857d912ca4f5ffbeaaec502975cb3aba"/>
    <w:p>
      <w:pPr>
        <w:pStyle w:val="Heading3"/>
      </w:pPr>
      <w:r>
        <w:rPr>
          <w:b/>
          <w:bCs/>
          <w:i/>
          <w:iCs/>
        </w:rPr>
        <w:t xml:space="preserve">In this current forecast, the model is confident enough to predict an upward trend. This is shown within the 80% confidence interval, suggesting that while we are fairly certain about the growth, there is still a 20% chance that the actual prices could fall outside this range. The prices are expected to grow, but they could fluctuate within the values outlined by this interval.</w:t>
      </w:r>
    </w:p>
    <w:bookmarkEnd w:id="97"/>
    <w:bookmarkStart w:id="98" w:name="X6e999f43bd413b3e0d9199c0c8cd1c07543f5f7"/>
    <w:p>
      <w:pPr>
        <w:pStyle w:val="Heading3"/>
      </w:pPr>
      <w:r>
        <w:rPr>
          <w:b/>
          <w:bCs/>
          <w:i/>
          <w:iCs/>
        </w:rPr>
        <w:t xml:space="preserve">On the other hand, the 95% confidence interval is wider, accounting for more variability. It implies that while the overall trend suggests little change, the stock price could experience significant volatility within this interval. Essentially, 95% of the time, the price could swing wildly up or down but ultimately lead to a relatively stable trend over the forecast period.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2026-02-28T21:02:07Z</dcterms:created>
  <dcterms:modified xsi:type="dcterms:W3CDTF">2026-02-28T21:02:07Z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