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Title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Chapter 4: Implementation and Results</w:t>
      </w:r>
    </w:p>
    <w:p>
      <w:pPr>
        <w:pStyle w:val="Heading1"/>
        <w:rPr>
          <w:color w:val="000000"/>
          <w:u w:val="single"/>
        </w:rPr>
      </w:pPr>
      <w:r>
        <w:rPr>
          <w:color w:val="000000"/>
          <w:u w:val="single"/>
        </w:rPr>
        <w:t>4.1 Implementation Details and Model Architecture</w:t>
      </w:r>
    </w:p>
    <w:p>
      <w:pPr>
        <w:pStyle w:val="Normal"/>
        <w:rPr>
          <w:color w:val="000000"/>
        </w:rPr>
      </w:pPr>
      <w:r>
        <w:rPr>
          <w:color w:val="000000"/>
        </w:rPr>
        <w:br/>
        <w:t>In this chapter, we present the technical implementation and results of the speaker diarization system. Our approach utilizes a hybrid Convolutional Neural Network (CNN) and Long Short-Term Memory (LSTM) model, targeting both spectral and temporal characteristics of human speech. The goal is to effectively segment and identify speakers in an audio stream.</w:t>
        <w:br/>
        <w:t>We utilized a 174.59-second audio file sampled at 16kHz (mono), which was processed into Mel-Frequency Cepstral Coefficients (MFCCs) with 13 coefficients per frame. The frame length was 512 samples with a hop length of 256, yielding approximately 10,913 frames.</w:t>
        <w:br/>
        <w:t>The model architecture consists of the following layers:</w:t>
        <w:br/>
        <w:t>- A Conv1D layer with 64 filters and kernel size of 3</w:t>
        <w:br/>
        <w:t>- Batch normalization to stabilize training</w:t>
        <w:br/>
        <w:t>- MaxPooling1D with a pool size of 2</w:t>
        <w:br/>
        <w:t>- An LSTM layer with 128 units to capture temporal dependencies</w:t>
        <w:br/>
        <w:t>- Dropout layer (0.3) to reduce overfitting</w:t>
        <w:br/>
        <w:t>- Dense layers with softmax activation for classification</w:t>
        <w:br/>
        <w:t xml:space="preserve">Training was conducted on CPU (CUDA disabled) for broader compatibility. We generated simulated speaker labels </w:t>
        <w:br/>
        <w:t xml:space="preserve">that alternated every 50 frames (i.e., speaker 0 and 1 switching). The model was trained using an 80/20 train-test split with 20-frame sequences, for 10 epochs and a batch size of 16. Adam optimizer and categorical cross-entropy </w:t>
        <w:br/>
        <w:t>loss function were employed.</w:t>
      </w:r>
    </w:p>
    <w:p>
      <w:pPr>
        <w:pStyle w:val="Normal"/>
        <w:rPr>
          <w:color w:val="000000"/>
        </w:rPr>
      </w:pPr>
      <w:r>
        <w:rPr>
          <w:color w:val="000000"/>
        </w:rPr>
        <w:br/>
        <w:t xml:space="preserve">To support diverse hardware capabilities, we developed two interfaces: a Streamlit web application and a Tkinter desktop application. The Streamlit app caters to users with high-performance systems, offering interactivity and </w:t>
        <w:br/>
        <w:t>visualization, while the Tkinter version ensures offline, low-resource usage suitable for less powerful devices.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Training and validation accuracy over 10 epochs: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Epoch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Training Accuracy (%)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Validation Accuracy (%)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56.89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61.36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70.62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71.82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80.23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75.40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85.97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77.65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89.83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87.10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92.00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93.30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93.53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92.98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94.22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94.91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94.88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91.14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95.18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color w:val="000000"/>
              </w:rPr>
            </w:pPr>
            <w:r>
              <w:rPr>
                <w:color w:val="000000"/>
              </w:rPr>
              <w:t>88.48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br/>
        <w:t xml:space="preserve">The model showed consistent improvements through epochs, although a dip in validation accuracy in later epochs </w:t>
        <w:br/>
        <w:t>suggests minor overfitting. Overall, the model demonstrated strong speaker segmentation capabilities.</w:t>
        <w:br/>
        <w:br/>
        <w:t xml:space="preserve">In the next sections, we delve into clustering quality via silhouette score analysis, performance comparisons, </w:t>
        <w:br/>
        <w:t>error assessments, and visualization results across the Streamlit and Tkinter applications.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359</Words>
  <Characters>2073</Characters>
  <CharactersWithSpaces>2404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en-NG</dc:language>
  <cp:lastModifiedBy/>
  <dcterms:modified xsi:type="dcterms:W3CDTF">2025-07-16T03:02:22Z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