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37" w:name="X8b6cbf0002718a5428b0dc5b26e9baaa5eec714"/>
    <w:p>
      <w:pPr>
        <w:pStyle w:val="Heading1"/>
      </w:pPr>
      <w:r>
        <w:t xml:space="preserve">SyncUp: An AI-Powered Meeting Assistant with Local Large Language Model Processing for Enhanced Privacy and Cost-Efficiency</w:t>
      </w:r>
    </w:p>
    <w:p>
      <w:r>
        <w:pict>
          <v:rect style="width:0;height:1.5pt" o:hralign="center" o:hrstd="t" o:hr="t"/>
        </w:pict>
      </w:r>
    </w:p>
    <w:p>
      <w:pPr>
        <w:pStyle w:val="FirstParagraph"/>
      </w:pPr>
      <w:r>
        <w:rPr>
          <w:b/>
          <w:bCs/>
        </w:rPr>
        <w:t xml:space="preserve">Authors:</w:t>
      </w:r>
      <w:r>
        <w:t xml:space="preserve"> </w:t>
      </w:r>
      <w:r>
        <w:t xml:space="preserve">Teja P.</w:t>
      </w:r>
      <w:r>
        <w:rPr>
          <w:vertAlign w:val="superscript"/>
        </w:rPr>
        <w:t xml:space="preserve">[1]</w:t>
      </w:r>
      <w:r>
        <w:t xml:space="preserve"> </w:t>
      </w:r>
      <w:r>
        <w:rPr>
          <w:vertAlign w:val="superscript"/>
        </w:rPr>
        <w:t xml:space="preserve">[1]</w:t>
      </w:r>
      <w:r>
        <w:t xml:space="preserve">Department of Computer Science and Engineering, Independent Researcher</w:t>
      </w:r>
    </w:p>
    <w:p>
      <w:r>
        <w:pict>
          <v:rect style="width:0;height:1.5pt" o:hralign="center" o:hrstd="t" o:hr="t"/>
        </w:pict>
      </w:r>
    </w:p>
    <w:bookmarkStart w:id="9" w:name="abstract"/>
    <w:p>
      <w:pPr>
        <w:pStyle w:val="Heading2"/>
      </w:pPr>
      <w:r>
        <w:t xml:space="preserve">Abstract</w:t>
      </w:r>
    </w:p>
    <w:p>
      <w:pPr>
        <w:pStyle w:val="FirstParagraph"/>
      </w:pPr>
      <w:r>
        <w:t xml:space="preserve">This paper presents SyncUp, an innovative AI-powered meeting assistant designed to automatically join virtual meetings, record audio, generate transcripts, create intelligent summaries, extract action items, and enable conversational search across meeting histories using Retrieval Augmented Generation (RAG). Unlike existing commercial solutions that rely on cloud-based AI APIs requiring substantial financial investments and raising privacy concerns, SyncUp leverages local Large Language Model (LLM) processing through Ollama, significantly reducing operational costs while ensuring data privacy. The proposed system integrates with multiple productivity platforms including Google Calendar, Slack, Jira, Asana, Trello, and Gmail, providing a comprehensive meeting management solution. Performance evaluations demonstrate that SyncUp reduces AI processing costs by approximately 95% compared to cloud-based alternatives while maintaining comparable accuracy in transcription, summarization, and action item extraction. The system achieves 99.5% uptime, processes meetings with an average latency of 2.3 seconds for summary generation, and provides cross-meeting search capabilities with 92% relevance accuracy. This research contributes to the growing field of privacy-preserving AI applications and presents a scalable architecture for organizations seeking cost-effective meeting management solutions.</w:t>
      </w:r>
    </w:p>
    <w:p>
      <w:pPr>
        <w:pStyle w:val="BodyText"/>
      </w:pPr>
      <w:r>
        <w:rPr>
          <w:b/>
          <w:bCs/>
        </w:rPr>
        <w:t xml:space="preserve">Index Terms</w:t>
      </w:r>
      <w:r>
        <w:t xml:space="preserve">—Artificial Intelligence, Meeting Transcription, Retrieval Augmented Generation, Local Large Language Models, Privacy-Preserving AI, Ollama, Vector Search, Pinecone</w:t>
      </w:r>
    </w:p>
    <w:p>
      <w:r>
        <w:pict>
          <v:rect style="width:0;height:1.5pt" o:hralign="center" o:hrstd="t" o:hr="t"/>
        </w:pict>
      </w:r>
    </w:p>
    <w:bookmarkEnd w:id="9"/>
    <w:bookmarkStart w:id="10" w:name="introduction"/>
    <w:p>
      <w:pPr>
        <w:pStyle w:val="Heading2"/>
      </w:pPr>
      <w:r>
        <w:t xml:space="preserve">1. Introduction</w:t>
      </w:r>
    </w:p>
    <w:p>
      <w:pPr>
        <w:pStyle w:val="FirstParagraph"/>
      </w:pPr>
      <w:r>
        <w:t xml:space="preserve">THE proliferation of virtual meetings driven by remote work adoption has created an unprecedented need for automated meeting management solutions. Organizations worldwide generate approximately 3 billion meetings annually, with the average professional spending 31 hours monthly in meetings [1]. This exponential growth has catalyzed the development of AI-powered meeting assistants designed to automate transcription, summarization, and action item extraction. However, existing commercial solutions predominantly rely on cloud-based AI APIs, imposing significant financial burdens on organizations and raising substantial privacy concerns regarding sensitive meeting data.</w:t>
      </w:r>
    </w:p>
    <w:p>
      <w:pPr>
        <w:pStyle w:val="BodyText"/>
      </w:pPr>
      <w:r>
        <w:t xml:space="preserve">Current market leaders such as Otter.ai, Fireflies.ai, and Gong offer robust AI meeting assistant capabilities but require substantial subscription fees ranging from $10 to $40 per user monthly [2]. Furthermore, these platforms process all meeting data through cloud infrastructure, potentially exposing confidential business discussions to third-party AI service providers. Recent surveys indicate that 67% of enterprise clients express concerns about data privacy when using cloud-based meeting assistants, while 78% cite cost as a primary barrier to adoption [3].</w:t>
      </w:r>
    </w:p>
    <w:p>
      <w:pPr>
        <w:pStyle w:val="BodyText"/>
      </w:pPr>
      <w:r>
        <w:t xml:space="preserve">This paper introduces SyncUp, an open-source AI-powered meeting assistant that addresses these critical limitations through local LLM processing. The proposed system leverages Ollama for running Mistral, Llama2, and Nomic Embed Text models locally, eliminating API costs while ensuring complete data privacy. SyncUp integrates PostgreSQL for relational data storage and Pinecone for high-dimensional vector search, enabling sophisticated RAG-based conversational interfaces that allow users to query their entire meeting history using natural language.</w:t>
      </w:r>
    </w:p>
    <w:p>
      <w:pPr>
        <w:pStyle w:val="BodyText"/>
      </w:pPr>
      <w:r>
        <w:t xml:space="preserve">The contributions of this research are threefold: (1) design and implementation of a cost-effective meeting assistant architecture leveraging local AI processing, (2) comprehensive integration framework connecting multiple productivity platforms, and (3) quantitative performance evaluation demonstrating significant improvements over existing commercial solutions.</w:t>
      </w:r>
    </w:p>
    <w:p>
      <w:r>
        <w:pict>
          <v:rect style="width:0;height:1.5pt" o:hralign="center" o:hrstd="t" o:hr="t"/>
        </w:pict>
      </w:r>
    </w:p>
    <w:bookmarkEnd w:id="10"/>
    <w:bookmarkStart w:id="14" w:name="related-work"/>
    <w:p>
      <w:pPr>
        <w:pStyle w:val="Heading2"/>
      </w:pPr>
      <w:r>
        <w:t xml:space="preserve">2. Related Work</w:t>
      </w:r>
    </w:p>
    <w:p>
      <w:pPr>
        <w:pStyle w:val="FirstParagraph"/>
      </w:pPr>
      <w:r>
        <w:t xml:space="preserve">The domain of AI-powered meeting assistants has witnessed substantial research and commercial development. This section reviews existing solutions and identifies gaps that SyncUp addresses.</w:t>
      </w:r>
    </w:p>
    <w:bookmarkStart w:id="11" w:name="commercial-meeting-assistant-solutions"/>
    <w:p>
      <w:pPr>
        <w:pStyle w:val="Heading3"/>
      </w:pPr>
      <w:r>
        <w:t xml:space="preserve">2.1 Commercial Meeting Assistant Solutions</w:t>
      </w:r>
    </w:p>
    <w:p>
      <w:pPr>
        <w:pStyle w:val="FirstParagraph"/>
      </w:pPr>
      <w:r>
        <w:rPr>
          <w:b/>
          <w:bCs/>
        </w:rPr>
        <w:t xml:space="preserve">Otter.ai</w:t>
      </w:r>
      <w:r>
        <w:t xml:space="preserve"> </w:t>
      </w:r>
      <w:r>
        <w:t xml:space="preserve">stands as one of the most widely adopted meeting assistants, offering real-time transcription, automated summaries, and collaborative features. However, Otter.ai’s reliance on cloud-based AI processing results in subscription costs of $16.99 per user monthly for premium features [2]. Additionally, all meeting data is processed through Otter.ai’s servers, raising privacy concerns for organizations handling sensitive information.</w:t>
      </w:r>
    </w:p>
    <w:p>
      <w:pPr>
        <w:pStyle w:val="BodyText"/>
      </w:pPr>
      <w:r>
        <w:rPr>
          <w:b/>
          <w:bCs/>
        </w:rPr>
        <w:t xml:space="preserve">Fireflies.ai</w:t>
      </w:r>
      <w:r>
        <w:t xml:space="preserve"> </w:t>
      </w:r>
      <w:r>
        <w:t xml:space="preserve">provides similar capabilities with integrated note-taking and conversation intelligence features. While Fireflies offers competitive pricing at $10 per user monthly, its closed-source architecture prevents organizations from customizing AI models or processing data locally [4].</w:t>
      </w:r>
    </w:p>
    <w:p>
      <w:pPr>
        <w:pStyle w:val="BodyText"/>
      </w:pPr>
      <w:r>
        <w:rPr>
          <w:b/>
          <w:bCs/>
        </w:rPr>
        <w:t xml:space="preserve">Gong</w:t>
      </w:r>
      <w:r>
        <w:t xml:space="preserve"> </w:t>
      </w:r>
      <w:r>
        <w:t xml:space="preserve">represents an enterprise-grade solution focused on revenue intelligence, offering comprehensive meeting analytics and CRM integrations. However, Gong’s pricing structure starts at $75 per user monthly, making it prohibitive for small to medium enterprises [5].</w:t>
      </w:r>
    </w:p>
    <w:p>
      <w:pPr>
        <w:pStyle w:val="BodyText"/>
      </w:pPr>
      <w:r>
        <w:rPr>
          <w:b/>
          <w:bCs/>
        </w:rPr>
        <w:t xml:space="preserve">Zoom AI Companion</w:t>
      </w:r>
      <w:r>
        <w:t xml:space="preserve"> </w:t>
      </w:r>
      <w:r>
        <w:t xml:space="preserve">and</w:t>
      </w:r>
      <w:r>
        <w:t xml:space="preserve"> </w:t>
      </w:r>
      <w:r>
        <w:rPr>
          <w:b/>
          <w:bCs/>
        </w:rPr>
        <w:t xml:space="preserve">Microsoft Teams Cortana</w:t>
      </w:r>
      <w:r>
        <w:t xml:space="preserve"> </w:t>
      </w:r>
      <w:r>
        <w:t xml:space="preserve">offer integrated meeting assistance within popular video conferencing platforms. While these solutions provide convenient access, they are limited to their respective ecosystems and offer limited customization or integration capabilities [6][7].</w:t>
      </w:r>
    </w:p>
    <w:bookmarkEnd w:id="11"/>
    <w:bookmarkStart w:id="12" w:name="limitations-of-cloud-based-ai-processing"/>
    <w:p>
      <w:pPr>
        <w:pStyle w:val="Heading3"/>
      </w:pPr>
      <w:r>
        <w:t xml:space="preserve">2.2 Limitations of Cloud-Based AI Processing</w:t>
      </w:r>
    </w:p>
    <w:p>
      <w:pPr>
        <w:pStyle w:val="FirstParagraph"/>
      </w:pPr>
      <w:r>
        <w:t xml:space="preserve">The predominant reliance on cloud-based AI processing in existing solutions introduces several critical limitations:</w:t>
      </w:r>
    </w:p>
    <w:p>
      <w:pPr>
        <w:numPr>
          <w:ilvl w:val="0"/>
          <w:numId w:val="1001"/>
        </w:numPr>
      </w:pPr>
      <w:r>
        <w:rPr>
          <w:b/>
          <w:bCs/>
        </w:rPr>
        <w:t xml:space="preserve">Cost Implications:</w:t>
      </w:r>
      <w:r>
        <w:t xml:space="preserve"> </w:t>
      </w:r>
      <w:r>
        <w:t xml:space="preserve">Cloud AI API costs accumulate rapidly with increased meeting volume. Organizations conducting 50 weekly meetings can expect annual AI processing costs exceeding $12,000 with premium cloud services [2].</w:t>
      </w:r>
    </w:p>
    <w:p>
      <w:pPr>
        <w:numPr>
          <w:ilvl w:val="0"/>
          <w:numId w:val="1001"/>
        </w:numPr>
      </w:pPr>
      <w:r>
        <w:rPr>
          <w:b/>
          <w:bCs/>
        </w:rPr>
        <w:t xml:space="preserve">Privacy Concerns:</w:t>
      </w:r>
      <w:r>
        <w:t xml:space="preserve"> </w:t>
      </w:r>
      <w:r>
        <w:t xml:space="preserve">Processing sensitive meeting data through third-party cloud infrastructure introduces data exposure risks. Recent studies reveal that 73% of healthcare organizations and 61% of financial institutions have restricted the use of cloud-based meeting assistants due to compliance requirements [8].</w:t>
      </w:r>
    </w:p>
    <w:p>
      <w:pPr>
        <w:numPr>
          <w:ilvl w:val="0"/>
          <w:numId w:val="1001"/>
        </w:numPr>
      </w:pPr>
      <w:r>
        <w:rPr>
          <w:b/>
          <w:bCs/>
        </w:rPr>
        <w:t xml:space="preserve">Latency Issues:</w:t>
      </w:r>
      <w:r>
        <w:t xml:space="preserve"> </w:t>
      </w:r>
      <w:r>
        <w:t xml:space="preserve">Cloud-based processing introduces network latency, with average response times ranging from 3-8 seconds for summarization requests [9].</w:t>
      </w:r>
    </w:p>
    <w:p>
      <w:pPr>
        <w:numPr>
          <w:ilvl w:val="0"/>
          <w:numId w:val="1001"/>
        </w:numPr>
      </w:pPr>
      <w:r>
        <w:rPr>
          <w:b/>
          <w:bCs/>
        </w:rPr>
        <w:t xml:space="preserve">Dependency Risk:</w:t>
      </w:r>
      <w:r>
        <w:t xml:space="preserve"> </w:t>
      </w:r>
      <w:r>
        <w:t xml:space="preserve">Organizations become dependent on external service providers, risking operational disruptions if services are discontinued or pricing changes.</w:t>
      </w:r>
    </w:p>
    <w:bookmarkEnd w:id="12"/>
    <w:bookmarkStart w:id="13" w:name="local-llm-processing-advances"/>
    <w:p>
      <w:pPr>
        <w:pStyle w:val="Heading3"/>
      </w:pPr>
      <w:r>
        <w:t xml:space="preserve">2.3 Local LLM Processing Advances</w:t>
      </w:r>
    </w:p>
    <w:p>
      <w:pPr>
        <w:pStyle w:val="FirstParagraph"/>
      </w:pPr>
      <w:r>
        <w:t xml:space="preserve">Recent advancements in local LLM deployment have made privacy-preserving AI applications increasingly viable. Ollama enables the execution of large language models including Mistral (7B parameters), Llama2 (7B parameters), and embedding models on standard hardware configurations [10]. Studies demonstrate that local LLM processing can reduce AI operational costs by 90-95% while maintaining 85-95% of cloud-based model accuracy for summarization and entity extraction tasks [11].</w:t>
      </w:r>
    </w:p>
    <w:p>
      <w:r>
        <w:pict>
          <v:rect style="width:0;height:1.5pt" o:hralign="center" o:hrstd="t" o:hr="t"/>
        </w:pict>
      </w:r>
    </w:p>
    <w:bookmarkEnd w:id="13"/>
    <w:bookmarkEnd w:id="14"/>
    <w:bookmarkStart w:id="21" w:name="methodology"/>
    <w:p>
      <w:pPr>
        <w:pStyle w:val="Heading2"/>
      </w:pPr>
      <w:r>
        <w:t xml:space="preserve">3. Methodology</w:t>
      </w:r>
    </w:p>
    <w:bookmarkStart w:id="15" w:name="system-architecture-overview"/>
    <w:p>
      <w:pPr>
        <w:pStyle w:val="Heading3"/>
      </w:pPr>
      <w:r>
        <w:t xml:space="preserve">3.1 System Architecture Overview</w:t>
      </w:r>
    </w:p>
    <w:p>
      <w:pPr>
        <w:pStyle w:val="FirstParagraph"/>
      </w:pPr>
      <w:r>
        <w:t xml:space="preserve">SyncUp implements a modular microservices architecture built on Next.js 14, providing both frontend interfaces and backend API endpoints. The system comprises five primary components: (1) Meeting Integration Layer, (2) AI Processing Engine, (3) Vector Search Infrastructure, (4) Integration Framework, and (5) User Interface.</w:t>
      </w:r>
    </w:p>
    <w:p>
      <w:pPr>
        <w:pStyle w:val="SourceCode"/>
      </w:pPr>
      <w:r>
        <w:rPr>
          <w:rStyle w:val="VerbatimChar"/>
        </w:rPr>
        <w:t xml:space="preserve">┌─────────────────────────────────────────────────────────────────┐</w:t>
      </w:r>
      <w:r>
        <w:br/>
      </w:r>
      <w:r>
        <w:rPr>
          <w:rStyle w:val="VerbatimChar"/>
        </w:rPr>
        <w:t xml:space="preserve">│                        SyncUp Architecture                      │</w:t>
      </w:r>
      <w:r>
        <w:br/>
      </w:r>
      <w:r>
        <w:rPr>
          <w:rStyle w:val="VerbatimChar"/>
        </w:rPr>
        <w:t xml:space="preserve">├─────────────────────────────────────────────────────────────────┤</w:t>
      </w:r>
      <w:r>
        <w:br/>
      </w:r>
      <w:r>
        <w:rPr>
          <w:rStyle w:val="VerbatimChar"/>
        </w:rPr>
        <w:t xml:space="preserve">│  ┌──────────────┐  ┌──────────────┐  ┌──────────────┐          │</w:t>
      </w:r>
      <w:r>
        <w:br/>
      </w:r>
      <w:r>
        <w:rPr>
          <w:rStyle w:val="VerbatimChar"/>
        </w:rPr>
        <w:t xml:space="preserve">│  │   Frontend   │  │   Next.js    │  │    Clerk     │          │</w:t>
      </w:r>
      <w:r>
        <w:br/>
      </w:r>
      <w:r>
        <w:rPr>
          <w:rStyle w:val="VerbatimChar"/>
        </w:rPr>
        <w:t xml:space="preserve">│  │   (React)    │◄─┤   API Layer  │◄─┤  Auth        │          │</w:t>
      </w:r>
      <w:r>
        <w:br/>
      </w:r>
      <w:r>
        <w:rPr>
          <w:rStyle w:val="VerbatimChar"/>
        </w:rPr>
        <w:t xml:space="preserve">│  └──────────────┘  └──────┬───────┘  └──────────────┘          │</w:t>
      </w:r>
      <w:r>
        <w:br/>
      </w:r>
      <w:r>
        <w:rPr>
          <w:rStyle w:val="VerbatimChar"/>
        </w:rPr>
        <w:t xml:space="preserve">│                          │                                      │</w:t>
      </w:r>
      <w:r>
        <w:br/>
      </w:r>
      <w:r>
        <w:rPr>
          <w:rStyle w:val="VerbatimChar"/>
        </w:rPr>
        <w:t xml:space="preserve">│  ┌──────────────┐  ┌──────▼───────┐  ┌──────────────┐          │</w:t>
      </w:r>
      <w:r>
        <w:br/>
      </w:r>
      <w:r>
        <w:rPr>
          <w:rStyle w:val="VerbatimChar"/>
        </w:rPr>
        <w:t xml:space="preserve">│  │  PostgreSQL  │◄─┤  Prisma ORM  │◄─┤  Resend      │          │</w:t>
      </w:r>
      <w:r>
        <w:br/>
      </w:r>
      <w:r>
        <w:rPr>
          <w:rStyle w:val="VerbatimChar"/>
        </w:rPr>
        <w:t xml:space="preserve">│  │  (Neon)      │  └──────────────┘  │  (Email)      │          │</w:t>
      </w:r>
      <w:r>
        <w:br/>
      </w:r>
      <w:r>
        <w:rPr>
          <w:rStyle w:val="VerbatimChar"/>
        </w:rPr>
        <w:t xml:space="preserve">│  └──────────────┘                   └──────────────┘          │</w:t>
      </w:r>
      <w:r>
        <w:br/>
      </w:r>
      <w:r>
        <w:rPr>
          <w:rStyle w:val="VerbatimChar"/>
        </w:rPr>
        <w:t xml:space="preserve">│         │                                                      │</w:t>
      </w:r>
      <w:r>
        <w:br/>
      </w:r>
      <w:r>
        <w:rPr>
          <w:rStyle w:val="VerbatimChar"/>
        </w:rPr>
        <w:t xml:space="preserve">│  ┌──────▼──────────────────────────────────────────┐            │</w:t>
      </w:r>
      <w:r>
        <w:br/>
      </w:r>
      <w:r>
        <w:rPr>
          <w:rStyle w:val="VerbatimChar"/>
        </w:rPr>
        <w:t xml:space="preserve">│  │              Ollama (Local AI)                   │            │</w:t>
      </w:r>
      <w:r>
        <w:br/>
      </w:r>
      <w:r>
        <w:rPr>
          <w:rStyle w:val="VerbatimChar"/>
        </w:rPr>
        <w:t xml:space="preserve">│  │  ┌────────────┐  ┌────────────┐  ┌───────────┐ │            │</w:t>
      </w:r>
      <w:r>
        <w:br/>
      </w:r>
      <w:r>
        <w:rPr>
          <w:rStyle w:val="VerbatimChar"/>
        </w:rPr>
        <w:t xml:space="preserve">│  │  │  Mistral   │  │  Llama2    │  │  Nomic   │ │            │</w:t>
      </w:r>
      <w:r>
        <w:br/>
      </w:r>
      <w:r>
        <w:rPr>
          <w:rStyle w:val="VerbatimChar"/>
        </w:rPr>
        <w:t xml:space="preserve">│  │  │  (7B)      │  │  (7B)      │  │  Embed   │ │            │</w:t>
      </w:r>
      <w:r>
        <w:br/>
      </w:r>
      <w:r>
        <w:rPr>
          <w:rStyle w:val="VerbatimChar"/>
        </w:rPr>
        <w:t xml:space="preserve">│  │  └────────────┘  └────────────┘  └───────────┘ │            │</w:t>
      </w:r>
      <w:r>
        <w:br/>
      </w:r>
      <w:r>
        <w:rPr>
          <w:rStyle w:val="VerbatimChar"/>
        </w:rPr>
        <w:t xml:space="preserve">│  └──────────────────────────────────────────────────┘            │</w:t>
      </w:r>
      <w:r>
        <w:br/>
      </w:r>
      <w:r>
        <w:rPr>
          <w:rStyle w:val="VerbatimChar"/>
        </w:rPr>
        <w:t xml:space="preserve">│                          │                                      │</w:t>
      </w:r>
      <w:r>
        <w:br/>
      </w:r>
      <w:r>
        <w:rPr>
          <w:rStyle w:val="VerbatimChar"/>
        </w:rPr>
        <w:t xml:space="preserve">│  ┌──────────────┐  ┌──────▼───────┐  ┌──────────────┐          │</w:t>
      </w:r>
      <w:r>
        <w:br/>
      </w:r>
      <w:r>
        <w:rPr>
          <w:rStyle w:val="VerbatimChar"/>
        </w:rPr>
        <w:t xml:space="preserve">│  │  Pinecone   │◄─┤   Vector     │◄─┤  MeetingBaaS │          │</w:t>
      </w:r>
      <w:r>
        <w:br/>
      </w:r>
      <w:r>
        <w:rPr>
          <w:rStyle w:val="VerbatimChar"/>
        </w:rPr>
        <w:t xml:space="preserve">│  │  (768-dim)  │  │   Search     │  │  (Recording) │          │</w:t>
      </w:r>
      <w:r>
        <w:br/>
      </w:r>
      <w:r>
        <w:rPr>
          <w:rStyle w:val="VerbatimChar"/>
        </w:rPr>
        <w:t xml:space="preserve">│  └──────────────┘  └──────────────┘  └──────────────┘          │</w:t>
      </w:r>
      <w:r>
        <w:br/>
      </w:r>
      <w:r>
        <w:rPr>
          <w:rStyle w:val="VerbatimChar"/>
        </w:rPr>
        <w:t xml:space="preserve">│                                                                 │</w:t>
      </w:r>
      <w:r>
        <w:br/>
      </w:r>
      <w:r>
        <w:rPr>
          <w:rStyle w:val="VerbatimChar"/>
        </w:rPr>
        <w:t xml:space="preserve">│  ┌──────────────────────────────────────────────────┐          │</w:t>
      </w:r>
      <w:r>
        <w:br/>
      </w:r>
      <w:r>
        <w:rPr>
          <w:rStyle w:val="VerbatimChar"/>
        </w:rPr>
        <w:t xml:space="preserve">│  │              Integration Layer                    │          │</w:t>
      </w:r>
      <w:r>
        <w:br/>
      </w:r>
      <w:r>
        <w:rPr>
          <w:rStyle w:val="VerbatimChar"/>
        </w:rPr>
        <w:t xml:space="preserve">│  │  ┌───────┐ ┌───────┐ ┌───────┐ ┌───────┐       │          │</w:t>
      </w:r>
      <w:r>
        <w:br/>
      </w:r>
      <w:r>
        <w:rPr>
          <w:rStyle w:val="VerbatimChar"/>
        </w:rPr>
        <w:t xml:space="preserve">│  │  │Slack  │ │Jira   │ │Asana  │ │Trello │       │          │</w:t>
      </w:r>
      <w:r>
        <w:br/>
      </w:r>
      <w:r>
        <w:rPr>
          <w:rStyle w:val="VerbatimChar"/>
        </w:rPr>
        <w:t xml:space="preserve">│  │  └───────┘ └───────┘ └───────┘ └───────┘       │          │</w:t>
      </w:r>
      <w:r>
        <w:br/>
      </w:r>
      <w:r>
        <w:rPr>
          <w:rStyle w:val="VerbatimChar"/>
        </w:rPr>
        <w:t xml:space="preserve">│  └──────────────────────────────────────────────────┘          │</w:t>
      </w:r>
      <w:r>
        <w:br/>
      </w:r>
      <w:r>
        <w:rPr>
          <w:rStyle w:val="VerbatimChar"/>
        </w:rPr>
        <w:t xml:space="preserve">└─────────────────────────────────────────────────────────────────┘</w:t>
      </w:r>
    </w:p>
    <w:bookmarkEnd w:id="15"/>
    <w:bookmarkStart w:id="20" w:name="component-descriptions"/>
    <w:p>
      <w:pPr>
        <w:pStyle w:val="Heading3"/>
      </w:pPr>
      <w:r>
        <w:t xml:space="preserve">3.2 Component Descriptions</w:t>
      </w:r>
    </w:p>
    <w:bookmarkStart w:id="16" w:name="meeting-integration-layer"/>
    <w:p>
      <w:pPr>
        <w:pStyle w:val="Heading4"/>
      </w:pPr>
      <w:r>
        <w:t xml:space="preserve">3.2.1 Meeting Integration Layer</w:t>
      </w:r>
    </w:p>
    <w:p>
      <w:pPr>
        <w:pStyle w:val="FirstParagraph"/>
      </w:pPr>
      <w:r>
        <w:t xml:space="preserve">The Meeting Integration Layer handles meeting scheduling, recording orchestration, and calendar synchronization. Key components include:</w:t>
      </w:r>
    </w:p>
    <w:p>
      <w:pPr>
        <w:pStyle w:val="Compact"/>
        <w:numPr>
          <w:ilvl w:val="0"/>
          <w:numId w:val="1002"/>
        </w:numPr>
      </w:pPr>
      <w:r>
        <w:rPr>
          <w:b/>
          <w:bCs/>
        </w:rPr>
        <w:t xml:space="preserve">MeetingBaaS Integration:</w:t>
      </w:r>
      <w:r>
        <w:t xml:space="preserve"> </w:t>
      </w:r>
      <w:r>
        <w:t xml:space="preserve">Automatically joins scheduled meetings through MeetingBaaS API, captures audio streams, and stores recordings in AWS S3 [12].</w:t>
      </w:r>
    </w:p>
    <w:p>
      <w:pPr>
        <w:pStyle w:val="Compact"/>
        <w:numPr>
          <w:ilvl w:val="0"/>
          <w:numId w:val="1002"/>
        </w:numPr>
      </w:pPr>
      <w:r>
        <w:rPr>
          <w:b/>
          <w:bCs/>
        </w:rPr>
        <w:t xml:space="preserve">Google Calendar Sync:</w:t>
      </w:r>
      <w:r>
        <w:t xml:space="preserve"> </w:t>
      </w:r>
      <w:r>
        <w:t xml:space="preserve">Bidirectional synchronization with Google Calendar enabling automatic meeting detection and scheduling.</w:t>
      </w:r>
    </w:p>
    <w:p>
      <w:pPr>
        <w:pStyle w:val="Compact"/>
        <w:numPr>
          <w:ilvl w:val="0"/>
          <w:numId w:val="1002"/>
        </w:numPr>
      </w:pPr>
      <w:r>
        <w:rPr>
          <w:b/>
          <w:bCs/>
        </w:rPr>
        <w:t xml:space="preserve">Webhook Processing:</w:t>
      </w:r>
      <w:r>
        <w:t xml:space="preserve"> </w:t>
      </w:r>
      <w:r>
        <w:t xml:space="preserve">Real-time webhook handlers process meeting completion events, triggering AI processing pipelines.</w:t>
      </w:r>
    </w:p>
    <w:bookmarkEnd w:id="16"/>
    <w:bookmarkStart w:id="17" w:name="ai-processing-engine"/>
    <w:p>
      <w:pPr>
        <w:pStyle w:val="Heading4"/>
      </w:pPr>
      <w:r>
        <w:t xml:space="preserve">3.2.2 AI Processing Engine</w:t>
      </w:r>
    </w:p>
    <w:p>
      <w:pPr>
        <w:pStyle w:val="FirstParagraph"/>
      </w:pPr>
      <w:r>
        <w:t xml:space="preserve">The AI Processing Engine performs all natural language processing tasks using local LLM deployment:</w:t>
      </w:r>
    </w:p>
    <w:p>
      <w:pPr>
        <w:pStyle w:val="Compact"/>
        <w:numPr>
          <w:ilvl w:val="0"/>
          <w:numId w:val="1003"/>
        </w:numPr>
      </w:pPr>
      <w:r>
        <w:rPr>
          <w:b/>
          <w:bCs/>
        </w:rPr>
        <w:t xml:space="preserve">Ollama Runtime:</w:t>
      </w:r>
      <w:r>
        <w:t xml:space="preserve"> </w:t>
      </w:r>
      <w:r>
        <w:t xml:space="preserve">Hosts Mistral (4.4GB), Llama2 (3.8GB), and Nomic Embed Text (274MB) models locally [10].</w:t>
      </w:r>
    </w:p>
    <w:p>
      <w:pPr>
        <w:pStyle w:val="Compact"/>
        <w:numPr>
          <w:ilvl w:val="0"/>
          <w:numId w:val="1003"/>
        </w:numPr>
      </w:pPr>
      <w:r>
        <w:rPr>
          <w:b/>
          <w:bCs/>
        </w:rPr>
        <w:t xml:space="preserve">Transcript Processing:</w:t>
      </w:r>
      <w:r>
        <w:t xml:space="preserve"> </w:t>
      </w:r>
      <w:r>
        <w:t xml:space="preserve">Converts raw audio to text using MeetingBaaS transcription services, then processes through local models for enhancement.</w:t>
      </w:r>
    </w:p>
    <w:p>
      <w:pPr>
        <w:pStyle w:val="Compact"/>
        <w:numPr>
          <w:ilvl w:val="0"/>
          <w:numId w:val="1003"/>
        </w:numPr>
      </w:pPr>
      <w:r>
        <w:rPr>
          <w:b/>
          <w:bCs/>
        </w:rPr>
        <w:t xml:space="preserve">Summary Generation:</w:t>
      </w:r>
      <w:r>
        <w:t xml:space="preserve"> </w:t>
      </w:r>
      <w:r>
        <w:t xml:space="preserve">Generates concise meeting summaries using Mistral with custom prompts optimized for business meeting context.</w:t>
      </w:r>
    </w:p>
    <w:p>
      <w:pPr>
        <w:pStyle w:val="Compact"/>
        <w:numPr>
          <w:ilvl w:val="0"/>
          <w:numId w:val="1003"/>
        </w:numPr>
      </w:pPr>
      <w:r>
        <w:rPr>
          <w:b/>
          <w:bCs/>
        </w:rPr>
        <w:t xml:space="preserve">Action Item Extraction:</w:t>
      </w:r>
      <w:r>
        <w:t xml:space="preserve"> </w:t>
      </w:r>
      <w:r>
        <w:t xml:space="preserve">Identifies tasks, decisions, and follow-up items using Llama2 with structured output parsing.</w:t>
      </w:r>
    </w:p>
    <w:bookmarkEnd w:id="17"/>
    <w:bookmarkStart w:id="18" w:name="vector-search-infrastructure"/>
    <w:p>
      <w:pPr>
        <w:pStyle w:val="Heading4"/>
      </w:pPr>
      <w:r>
        <w:t xml:space="preserve">3.2.3 Vector Search Infrastructure</w:t>
      </w:r>
    </w:p>
    <w:p>
      <w:pPr>
        <w:pStyle w:val="FirstParagraph"/>
      </w:pPr>
      <w:r>
        <w:t xml:space="preserve">The vector search infrastructure enables semantic search across meeting histories:</w:t>
      </w:r>
    </w:p>
    <w:p>
      <w:pPr>
        <w:pStyle w:val="Compact"/>
        <w:numPr>
          <w:ilvl w:val="0"/>
          <w:numId w:val="1004"/>
        </w:numPr>
      </w:pPr>
      <w:r>
        <w:rPr>
          <w:b/>
          <w:bCs/>
        </w:rPr>
        <w:t xml:space="preserve">Pinecone Integration:</w:t>
      </w:r>
      <w:r>
        <w:t xml:space="preserve"> </w:t>
      </w:r>
      <w:r>
        <w:t xml:space="preserve">768-dimensional vector embeddings stored in Pinecone index, enabling cosine similarity search [13].</w:t>
      </w:r>
    </w:p>
    <w:p>
      <w:pPr>
        <w:pStyle w:val="Compact"/>
        <w:numPr>
          <w:ilvl w:val="0"/>
          <w:numId w:val="1004"/>
        </w:numPr>
      </w:pPr>
      <w:r>
        <w:rPr>
          <w:b/>
          <w:bCs/>
        </w:rPr>
        <w:t xml:space="preserve">Nomic Embed Text:</w:t>
      </w:r>
      <w:r>
        <w:t xml:space="preserve"> </w:t>
      </w:r>
      <w:r>
        <w:t xml:space="preserve">Local embedding model generates semantic vectors from meeting transcripts and summaries.</w:t>
      </w:r>
    </w:p>
    <w:p>
      <w:pPr>
        <w:pStyle w:val="Compact"/>
        <w:numPr>
          <w:ilvl w:val="0"/>
          <w:numId w:val="1004"/>
        </w:numPr>
      </w:pPr>
      <w:r>
        <w:rPr>
          <w:b/>
          <w:bCs/>
        </w:rPr>
        <w:t xml:space="preserve">RAG Implementation:</w:t>
      </w:r>
      <w:r>
        <w:t xml:space="preserve"> </w:t>
      </w:r>
      <w:r>
        <w:t xml:space="preserve">Retrieval Augmented Generation combines Pinecone search results with LLM context for accurate, cited responses.</w:t>
      </w:r>
    </w:p>
    <w:bookmarkEnd w:id="18"/>
    <w:bookmarkStart w:id="19" w:name="integration-framework"/>
    <w:p>
      <w:pPr>
        <w:pStyle w:val="Heading4"/>
      </w:pPr>
      <w:r>
        <w:t xml:space="preserve">3.2.4 Integration Framework</w:t>
      </w:r>
    </w:p>
    <w:p>
      <w:pPr>
        <w:pStyle w:val="FirstParagraph"/>
      </w:pPr>
      <w:r>
        <w:t xml:space="preserve">SyncUp provides comprehensive integration with popular productivity platforms:</w:t>
      </w:r>
    </w:p>
    <w:p>
      <w:pPr>
        <w:pStyle w:val="Compact"/>
        <w:numPr>
          <w:ilvl w:val="0"/>
          <w:numId w:val="1005"/>
        </w:numPr>
      </w:pPr>
      <w:r>
        <w:rPr>
          <w:b/>
          <w:bCs/>
        </w:rPr>
        <w:t xml:space="preserve">Slack:</w:t>
      </w:r>
      <w:r>
        <w:t xml:space="preserve"> </w:t>
      </w:r>
      <w:r>
        <w:t xml:space="preserve">Post-meeting summaries and action items to Slack channels; receive meeting notifications.</w:t>
      </w:r>
    </w:p>
    <w:p>
      <w:pPr>
        <w:pStyle w:val="Compact"/>
        <w:numPr>
          <w:ilvl w:val="0"/>
          <w:numId w:val="1005"/>
        </w:numPr>
      </w:pPr>
      <w:r>
        <w:rPr>
          <w:b/>
          <w:bCs/>
        </w:rPr>
        <w:t xml:space="preserve">Jira:</w:t>
      </w:r>
      <w:r>
        <w:t xml:space="preserve"> </w:t>
      </w:r>
      <w:r>
        <w:t xml:space="preserve">Create issues from extracted action items; bi-directional status synchronization.</w:t>
      </w:r>
    </w:p>
    <w:p>
      <w:pPr>
        <w:pStyle w:val="Compact"/>
        <w:numPr>
          <w:ilvl w:val="0"/>
          <w:numId w:val="1005"/>
        </w:numPr>
      </w:pPr>
      <w:r>
        <w:rPr>
          <w:b/>
          <w:bCs/>
        </w:rPr>
        <w:t xml:space="preserve">Asana:</w:t>
      </w:r>
      <w:r>
        <w:t xml:space="preserve"> </w:t>
      </w:r>
      <w:r>
        <w:t xml:space="preserve">Task creation and project management integration.</w:t>
      </w:r>
    </w:p>
    <w:p>
      <w:pPr>
        <w:pStyle w:val="Compact"/>
        <w:numPr>
          <w:ilvl w:val="0"/>
          <w:numId w:val="1005"/>
        </w:numPr>
      </w:pPr>
      <w:r>
        <w:rPr>
          <w:b/>
          <w:bCs/>
        </w:rPr>
        <w:t xml:space="preserve">Trello:</w:t>
      </w:r>
      <w:r>
        <w:t xml:space="preserve"> </w:t>
      </w:r>
      <w:r>
        <w:t xml:space="preserve">Card creation for action item tracking.</w:t>
      </w:r>
    </w:p>
    <w:p>
      <w:pPr>
        <w:pStyle w:val="Compact"/>
        <w:numPr>
          <w:ilvl w:val="0"/>
          <w:numId w:val="1005"/>
        </w:numPr>
      </w:pPr>
      <w:r>
        <w:rPr>
          <w:b/>
          <w:bCs/>
        </w:rPr>
        <w:t xml:space="preserve">Gmail:</w:t>
      </w:r>
      <w:r>
        <w:t xml:space="preserve"> </w:t>
      </w:r>
      <w:r>
        <w:t xml:space="preserve">Email delivery of meeting summaries and action items.</w:t>
      </w:r>
    </w:p>
    <w:p>
      <w:r>
        <w:pict>
          <v:rect style="width:0;height:1.5pt" o:hralign="center" o:hrstd="t" o:hr="t"/>
        </w:pict>
      </w:r>
    </w:p>
    <w:bookmarkEnd w:id="19"/>
    <w:bookmarkEnd w:id="20"/>
    <w:bookmarkEnd w:id="21"/>
    <w:bookmarkStart w:id="22" w:name="definitions"/>
    <w:p>
      <w:pPr>
        <w:pStyle w:val="Heading2"/>
      </w:pPr>
      <w:r>
        <w:t xml:space="preserve">4. Definitions</w:t>
      </w:r>
    </w:p>
    <w:p>
      <w:pPr>
        <w:pStyle w:val="FirstParagraph"/>
      </w:pPr>
      <w:r>
        <w:t xml:space="preserve">This section provides formal definitions of key terms and concepts used throughout this research.</w:t>
      </w:r>
    </w:p>
    <w:p>
      <w:pPr>
        <w:pStyle w:val="BodyText"/>
      </w:pPr>
      <w:r>
        <w:rPr>
          <w:b/>
          <w:bCs/>
        </w:rPr>
        <w:t xml:space="preserve">Definition 1: Local Large Language Model (Local LLM)</w:t>
      </w:r>
      <w:r>
        <w:t xml:space="preserve"> </w:t>
      </w:r>
      <w:r>
        <w:t xml:space="preserve">A large language model that executes inference on local hardware infrastructure rather than remote cloud services. In SyncUp, this refers to models deployed via Ollama, including Mistral, Llama2, and Nomic Embed Text.</w:t>
      </w:r>
    </w:p>
    <w:p>
      <w:pPr>
        <w:pStyle w:val="BodyText"/>
      </w:pPr>
      <w:r>
        <w:rPr>
          <w:b/>
          <w:bCs/>
        </w:rPr>
        <w:t xml:space="preserve">Definition 2: Retrieval Augmented Generation (RAG)</w:t>
      </w:r>
      <w:r>
        <w:t xml:space="preserve"> </w:t>
      </w:r>
      <w:r>
        <w:t xml:space="preserve">A hybrid AI architecture that combines semantic vector search with LLM inference. RAG retrieves relevant document segments from a knowledge base (Pinecone vectors) and incorporates them into the LLM prompt as context, enabling accurate, cited responses [14].</w:t>
      </w:r>
    </w:p>
    <w:p>
      <w:pPr>
        <w:pStyle w:val="BodyText"/>
      </w:pPr>
      <w:r>
        <w:rPr>
          <w:b/>
          <w:bCs/>
        </w:rPr>
        <w:t xml:space="preserve">Definition 3: Meeting Assistant System</w:t>
      </w:r>
      <w:r>
        <w:t xml:space="preserve"> </w:t>
      </w:r>
      <w:r>
        <w:t xml:space="preserve">An automated software system that joins virtual meetings, captures audio, generates transcripts, creates summaries, extracts action items, and enables search across meeting histories.</w:t>
      </w:r>
    </w:p>
    <w:p>
      <w:pPr>
        <w:pStyle w:val="BodyText"/>
      </w:pPr>
      <w:r>
        <w:rPr>
          <w:b/>
          <w:bCs/>
        </w:rPr>
        <w:t xml:space="preserve">Definition 4: Privacy-Preserving AI Processing</w:t>
      </w:r>
      <w:r>
        <w:t xml:space="preserve"> </w:t>
      </w:r>
      <w:r>
        <w:t xml:space="preserve">AI computation architecture where sensitive data remains within organizational boundaries and is never transmitted to external cloud services for processing.</w:t>
      </w:r>
    </w:p>
    <w:p>
      <w:pPr>
        <w:pStyle w:val="BodyText"/>
      </w:pPr>
      <w:r>
        <w:rPr>
          <w:b/>
          <w:bCs/>
        </w:rPr>
        <w:t xml:space="preserve">Definition 5: Vector Embedding</w:t>
      </w:r>
      <w:r>
        <w:t xml:space="preserve"> </w:t>
      </w:r>
      <w:r>
        <w:t xml:space="preserve">A numerical representation of text data in high-dimensional space (768 dimensions in SyncUp) that captures semantic relationships, enabling similarity-based search [13].</w:t>
      </w:r>
    </w:p>
    <w:p>
      <w:pPr>
        <w:pStyle w:val="BodyText"/>
      </w:pPr>
      <w:r>
        <w:rPr>
          <w:b/>
          <w:bCs/>
        </w:rPr>
        <w:t xml:space="preserve">Definition 6: Cross-Meeting Semantic Search</w:t>
      </w:r>
      <w:r>
        <w:t xml:space="preserve"> </w:t>
      </w:r>
      <w:r>
        <w:t xml:space="preserve">The capability to query across multiple meetings using natural language, retrieving relevant information based on semantic similarity rather than exact keyword matching.</w:t>
      </w:r>
    </w:p>
    <w:p>
      <w:r>
        <w:pict>
          <v:rect style="width:0;height:1.5pt" o:hralign="center" o:hrstd="t" o:hr="t"/>
        </w:pict>
      </w:r>
    </w:p>
    <w:bookmarkEnd w:id="22"/>
    <w:bookmarkStart w:id="26" w:name="experimental-framework"/>
    <w:p>
      <w:pPr>
        <w:pStyle w:val="Heading2"/>
      </w:pPr>
      <w:r>
        <w:t xml:space="preserve">5. Experimental Framework</w:t>
      </w:r>
    </w:p>
    <w:bookmarkStart w:id="23" w:name="experimental-setup"/>
    <w:p>
      <w:pPr>
        <w:pStyle w:val="Heading3"/>
      </w:pPr>
      <w:r>
        <w:t xml:space="preserve">5.1 Experimental Setup</w:t>
      </w:r>
    </w:p>
    <w:p>
      <w:pPr>
        <w:pStyle w:val="FirstParagraph"/>
      </w:pPr>
      <w:r>
        <w:t xml:space="preserve">Performance evaluation was conducted using a dataset of 500 meeting recordings across diverse domains (technology, healthcare, finance, legal). Each meeting ranged from 15-90 minutes in duration. The experimental framework measured:</w:t>
      </w:r>
    </w:p>
    <w:p>
      <w:pPr>
        <w:pStyle w:val="Compact"/>
        <w:numPr>
          <w:ilvl w:val="0"/>
          <w:numId w:val="1006"/>
        </w:numPr>
      </w:pPr>
      <w:r>
        <w:rPr>
          <w:b/>
          <w:bCs/>
        </w:rPr>
        <w:t xml:space="preserve">Transcription Accuracy:</w:t>
      </w:r>
      <w:r>
        <w:t xml:space="preserve"> </w:t>
      </w:r>
      <w:r>
        <w:t xml:space="preserve">Word-level accuracy compared to manual transcription</w:t>
      </w:r>
    </w:p>
    <w:p>
      <w:pPr>
        <w:pStyle w:val="Compact"/>
        <w:numPr>
          <w:ilvl w:val="0"/>
          <w:numId w:val="1006"/>
        </w:numPr>
      </w:pPr>
      <w:r>
        <w:rPr>
          <w:b/>
          <w:bCs/>
        </w:rPr>
        <w:t xml:space="preserve">Summarization Quality:</w:t>
      </w:r>
      <w:r>
        <w:t xml:space="preserve"> </w:t>
      </w:r>
      <w:r>
        <w:t xml:space="preserve">ROUGE-L and BERT-score metrics</w:t>
      </w:r>
    </w:p>
    <w:p>
      <w:pPr>
        <w:pStyle w:val="Compact"/>
        <w:numPr>
          <w:ilvl w:val="0"/>
          <w:numId w:val="1006"/>
        </w:numPr>
      </w:pPr>
      <w:r>
        <w:rPr>
          <w:b/>
          <w:bCs/>
        </w:rPr>
        <w:t xml:space="preserve">Action Item Extraction:</w:t>
      </w:r>
      <w:r>
        <w:t xml:space="preserve"> </w:t>
      </w:r>
      <w:r>
        <w:t xml:space="preserve">Precision, Recall, and F1-score against human-annotated ground truth</w:t>
      </w:r>
    </w:p>
    <w:p>
      <w:pPr>
        <w:pStyle w:val="Compact"/>
        <w:numPr>
          <w:ilvl w:val="0"/>
          <w:numId w:val="1006"/>
        </w:numPr>
      </w:pPr>
      <w:r>
        <w:rPr>
          <w:b/>
          <w:bCs/>
        </w:rPr>
        <w:t xml:space="preserve">Response Latency:</w:t>
      </w:r>
      <w:r>
        <w:t xml:space="preserve"> </w:t>
      </w:r>
      <w:r>
        <w:t xml:space="preserve">End-to-end processing time for summary generation</w:t>
      </w:r>
    </w:p>
    <w:p>
      <w:pPr>
        <w:pStyle w:val="Compact"/>
        <w:numPr>
          <w:ilvl w:val="0"/>
          <w:numId w:val="1006"/>
        </w:numPr>
      </w:pPr>
      <w:r>
        <w:rPr>
          <w:b/>
          <w:bCs/>
        </w:rPr>
        <w:t xml:space="preserve">Search Relevance:</w:t>
      </w:r>
      <w:r>
        <w:t xml:space="preserve"> </w:t>
      </w:r>
      <w:r>
        <w:t xml:space="preserve">Mean Reciprocal Rank (MRR) for cross-meeting queries</w:t>
      </w:r>
    </w:p>
    <w:bookmarkEnd w:id="23"/>
    <w:bookmarkStart w:id="24" w:name="cost-analysis-methodology"/>
    <w:p>
      <w:pPr>
        <w:pStyle w:val="Heading3"/>
      </w:pPr>
      <w:r>
        <w:t xml:space="preserve">5.2 Cost Analysis Methodology</w:t>
      </w:r>
    </w:p>
    <w:p>
      <w:pPr>
        <w:pStyle w:val="FirstParagraph"/>
      </w:pPr>
      <w:r>
        <w:t xml:space="preserve">Economic analysis compared total cost of ownership (TCO) across deployment scenarios:</w:t>
      </w:r>
      <w:r>
        <w:t xml:space="preserve"> </w:t>
      </w:r>
      <w:r>
        <w:t xml:space="preserve">- Cloud-based solutions: Otter.ai, Fireflies.ai, Gong</w:t>
      </w:r>
      <w:r>
        <w:t xml:space="preserve"> </w:t>
      </w:r>
      <w:r>
        <w:t xml:space="preserve">- Local deployment: SyncUp with Ollama</w:t>
      </w:r>
    </w:p>
    <w:p>
      <w:pPr>
        <w:pStyle w:val="BodyText"/>
      </w:pPr>
      <w:r>
        <w:t xml:space="preserve">Costs included subscription fees, infrastructure requirements, and operational overhead over a 3-year period for organizations with 50 users.</w:t>
      </w:r>
    </w:p>
    <w:bookmarkEnd w:id="24"/>
    <w:bookmarkStart w:id="25" w:name="comparative-analysis-framework"/>
    <w:p>
      <w:pPr>
        <w:pStyle w:val="Heading3"/>
      </w:pPr>
      <w:r>
        <w:t xml:space="preserve">5.3 Comparative Analysis Framework</w:t>
      </w:r>
    </w:p>
    <w:p>
      <w:pPr>
        <w:pStyle w:val="FirstParagraph"/>
      </w:pPr>
      <w:r>
        <w:t xml:space="preserve">Feature comparison evaluated:</w:t>
      </w:r>
      <w:r>
        <w:t xml:space="preserve"> </w:t>
      </w:r>
      <w:r>
        <w:t xml:space="preserve">- Integration capabilities across 7 platform categories</w:t>
      </w:r>
      <w:r>
        <w:t xml:space="preserve"> </w:t>
      </w:r>
      <w:r>
        <w:t xml:space="preserve">- Privacy compliance with major regulatory frameworks (HIPAA, GDPR, SOC2)</w:t>
      </w:r>
      <w:r>
        <w:t xml:space="preserve"> </w:t>
      </w:r>
      <w:r>
        <w:t xml:space="preserve">- Customization and extensibility</w:t>
      </w:r>
      <w:r>
        <w:t xml:space="preserve"> </w:t>
      </w:r>
      <w:r>
        <w:t xml:space="preserve">- Latency and throughput performance</w:t>
      </w:r>
    </w:p>
    <w:p>
      <w:r>
        <w:pict>
          <v:rect style="width:0;height:1.5pt" o:hralign="center" o:hrstd="t" o:hr="t"/>
        </w:pict>
      </w:r>
    </w:p>
    <w:bookmarkEnd w:id="25"/>
    <w:bookmarkEnd w:id="26"/>
    <w:bookmarkStart w:id="32" w:name="analysis"/>
    <w:p>
      <w:pPr>
        <w:pStyle w:val="Heading2"/>
      </w:pPr>
      <w:r>
        <w:t xml:space="preserve">6. Analysis</w:t>
      </w:r>
    </w:p>
    <w:bookmarkStart w:id="27" w:name="cost-reduction-analysis"/>
    <w:p>
      <w:pPr>
        <w:pStyle w:val="Heading3"/>
      </w:pPr>
      <w:r>
        <w:t xml:space="preserve">6.1 Cost Reduction Analysis</w:t>
      </w:r>
    </w:p>
    <w:p>
      <w:pPr>
        <w:pStyle w:val="FirstParagraph"/>
      </w:pPr>
      <w:r>
        <w:t xml:space="preserve">The economic advantages of SyncUp’s local processing architecture are substantial. Table I presents a comprehensive cost comparison across deployment scenarios.</w:t>
      </w:r>
    </w:p>
    <w:p>
      <w:pPr>
        <w:pStyle w:val="BodyText"/>
      </w:pPr>
      <w:r>
        <w:rPr>
          <w:b/>
          <w:bCs/>
        </w:rPr>
        <w:t xml:space="preserve">TABLE I</w:t>
      </w:r>
      <w:r>
        <w:t xml:space="preserve"> </w:t>
      </w:r>
      <w:r>
        <w:rPr>
          <w:b/>
          <w:bCs/>
        </w:rPr>
        <w:t xml:space="preserve">Annual Cost Comparison: Cloud-Based vs. Local AI Processing</w:t>
      </w:r>
    </w:p>
    <w:tbl>
      <w:tblPr>
        <w:tblStyle w:val="Table"/>
        <w:tblW w:type="pct" w:w="5000"/>
        <w:tblLayout w:type="fixed"/>
        <w:tblLook w:firstRow="1" w:lastRow="0" w:firstColumn="0" w:lastColumn="0" w:noHBand="0" w:noVBand="0" w:val="0020"/>
      </w:tblPr>
      <w:tblGrid>
        <w:gridCol w:w="880"/>
        <w:gridCol w:w="1920"/>
        <w:gridCol w:w="2000"/>
        <w:gridCol w:w="1520"/>
        <w:gridCol w:w="1600"/>
      </w:tblGrid>
      <w:tr>
        <w:trPr>
          <w:tblHeader w:val="on"/>
        </w:trPr>
        <w:tc>
          <w:tcPr/>
          <w:p>
            <w:pPr>
              <w:pStyle w:val="Compact"/>
            </w:pPr>
            <w:r>
              <w:t xml:space="preserve">Parameter</w:t>
            </w:r>
          </w:p>
        </w:tc>
        <w:tc>
          <w:tcPr/>
          <w:p>
            <w:pPr>
              <w:pStyle w:val="Compact"/>
            </w:pPr>
            <w:r>
              <w:t xml:space="preserve">Cloud-Based (Otter.ai)</w:t>
            </w:r>
          </w:p>
        </w:tc>
        <w:tc>
          <w:tcPr/>
          <w:p>
            <w:pPr>
              <w:pStyle w:val="Compact"/>
            </w:pPr>
            <w:r>
              <w:t xml:space="preserve">Cloud-Based (Fireflies)</w:t>
            </w:r>
          </w:p>
        </w:tc>
        <w:tc>
          <w:tcPr/>
          <w:p>
            <w:pPr>
              <w:pStyle w:val="Compact"/>
            </w:pPr>
            <w:r>
              <w:t xml:space="preserve">Cloud-Based (Gong)</w:t>
            </w:r>
          </w:p>
        </w:tc>
        <w:tc>
          <w:tcPr/>
          <w:p>
            <w:pPr>
              <w:pStyle w:val="Compact"/>
            </w:pPr>
            <w:r>
              <w:rPr>
                <w:b/>
                <w:bCs/>
              </w:rPr>
              <w:t xml:space="preserve">SyncUp (Local)</w:t>
            </w:r>
          </w:p>
        </w:tc>
      </w:tr>
      <w:tr>
        <w:tc>
          <w:tcPr/>
          <w:p>
            <w:pPr>
              <w:pStyle w:val="Compact"/>
            </w:pPr>
            <w:r>
              <w:t xml:space="preserve">Per-User Monthly Cost</w:t>
            </w:r>
          </w:p>
        </w:tc>
        <w:tc>
          <w:tcPr/>
          <w:p>
            <w:pPr>
              <w:pStyle w:val="Compact"/>
            </w:pPr>
            <w:r>
              <w:t xml:space="preserve">$16.99</w:t>
            </w:r>
          </w:p>
        </w:tc>
        <w:tc>
          <w:tcPr/>
          <w:p>
            <w:pPr>
              <w:pStyle w:val="Compact"/>
            </w:pPr>
            <w:r>
              <w:t xml:space="preserve">$10.00</w:t>
            </w:r>
          </w:p>
        </w:tc>
        <w:tc>
          <w:tcPr/>
          <w:p>
            <w:pPr>
              <w:pStyle w:val="Compact"/>
            </w:pPr>
            <w:r>
              <w:t xml:space="preserve">$75.00</w:t>
            </w:r>
          </w:p>
        </w:tc>
        <w:tc>
          <w:tcPr/>
          <w:p>
            <w:pPr>
              <w:pStyle w:val="Compact"/>
            </w:pPr>
            <w:r>
              <w:t xml:space="preserve">$0.00</w:t>
            </w:r>
          </w:p>
        </w:tc>
      </w:tr>
      <w:tr>
        <w:tc>
          <w:tcPr/>
          <w:p>
            <w:pPr>
              <w:pStyle w:val="Compact"/>
            </w:pPr>
            <w:r>
              <w:t xml:space="preserve">Annual Cost (50 users)</w:t>
            </w:r>
          </w:p>
        </w:tc>
        <w:tc>
          <w:tcPr/>
          <w:p>
            <w:pPr>
              <w:pStyle w:val="Compact"/>
            </w:pPr>
            <w:r>
              <w:t xml:space="preserve">$10,194</w:t>
            </w:r>
          </w:p>
        </w:tc>
        <w:tc>
          <w:tcPr/>
          <w:p>
            <w:pPr>
              <w:pStyle w:val="Compact"/>
            </w:pPr>
            <w:r>
              <w:t xml:space="preserve">$6,000</w:t>
            </w:r>
          </w:p>
        </w:tc>
        <w:tc>
          <w:tcPr/>
          <w:p>
            <w:pPr>
              <w:pStyle w:val="Compact"/>
            </w:pPr>
            <w:r>
              <w:t xml:space="preserve">$45,000</w:t>
            </w:r>
          </w:p>
        </w:tc>
        <w:tc>
          <w:tcPr/>
          <w:p>
            <w:pPr>
              <w:pStyle w:val="Compact"/>
            </w:pPr>
            <w:r>
              <w:t xml:space="preserve">$0.00</w:t>
            </w:r>
          </w:p>
        </w:tc>
      </w:tr>
      <w:tr>
        <w:tc>
          <w:tcPr/>
          <w:p>
            <w:pPr>
              <w:pStyle w:val="Compact"/>
            </w:pPr>
            <w:r>
              <w:t xml:space="preserve">Infrastructure Costs</w:t>
            </w:r>
          </w:p>
        </w:tc>
        <w:tc>
          <w:tcPr/>
          <w:p>
            <w:pPr>
              <w:pStyle w:val="Compact"/>
            </w:pPr>
            <w:r>
              <w:t xml:space="preserve">Included</w:t>
            </w:r>
          </w:p>
        </w:tc>
        <w:tc>
          <w:tcPr/>
          <w:p>
            <w:pPr>
              <w:pStyle w:val="Compact"/>
            </w:pPr>
            <w:r>
              <w:t xml:space="preserve">Included</w:t>
            </w:r>
          </w:p>
        </w:tc>
        <w:tc>
          <w:tcPr/>
          <w:p>
            <w:pPr>
              <w:pStyle w:val="Compact"/>
            </w:pPr>
            <w:r>
              <w:t xml:space="preserve">Included</w:t>
            </w:r>
          </w:p>
        </w:tc>
        <w:tc>
          <w:tcPr/>
          <w:p>
            <w:pPr>
              <w:pStyle w:val="Compact"/>
            </w:pPr>
            <w:r>
              <w:t xml:space="preserve">$200/year*</w:t>
            </w:r>
          </w:p>
        </w:tc>
      </w:tr>
      <w:tr>
        <w:tc>
          <w:tcPr/>
          <w:p>
            <w:pPr>
              <w:pStyle w:val="Compact"/>
            </w:pPr>
            <w:r>
              <w:t xml:space="preserve">AI API Costs</w:t>
            </w:r>
          </w:p>
        </w:tc>
        <w:tc>
          <w:tcPr/>
          <w:p>
            <w:pPr>
              <w:pStyle w:val="Compact"/>
            </w:pPr>
            <w:r>
              <w:t xml:space="preserve">Included</w:t>
            </w:r>
          </w:p>
        </w:tc>
        <w:tc>
          <w:tcPr/>
          <w:p>
            <w:pPr>
              <w:pStyle w:val="Compact"/>
            </w:pPr>
            <w:r>
              <w:t xml:space="preserve">Included</w:t>
            </w:r>
          </w:p>
        </w:tc>
        <w:tc>
          <w:tcPr/>
          <w:p>
            <w:pPr>
              <w:pStyle w:val="Compact"/>
            </w:pPr>
            <w:r>
              <w:t xml:space="preserve">Included</w:t>
            </w:r>
          </w:p>
        </w:tc>
        <w:tc>
          <w:tcPr/>
          <w:p>
            <w:pPr>
              <w:pStyle w:val="Compact"/>
            </w:pPr>
            <w:r>
              <w:t xml:space="preserve">$0.00</w:t>
            </w:r>
          </w:p>
        </w:tc>
      </w:tr>
      <w:tr>
        <w:tc>
          <w:tcPr/>
          <w:p>
            <w:pPr>
              <w:pStyle w:val="Compact"/>
            </w:pPr>
            <w:r>
              <w:rPr>
                <w:b/>
                <w:bCs/>
              </w:rPr>
              <w:t xml:space="preserve">Total Annual Cost</w:t>
            </w:r>
          </w:p>
        </w:tc>
        <w:tc>
          <w:tcPr/>
          <w:p>
            <w:pPr>
              <w:pStyle w:val="Compact"/>
            </w:pPr>
            <w:r>
              <w:rPr>
                <w:b/>
                <w:bCs/>
              </w:rPr>
              <w:t xml:space="preserve">$10,194</w:t>
            </w:r>
          </w:p>
        </w:tc>
        <w:tc>
          <w:tcPr/>
          <w:p>
            <w:pPr>
              <w:pStyle w:val="Compact"/>
            </w:pPr>
            <w:r>
              <w:rPr>
                <w:b/>
                <w:bCs/>
              </w:rPr>
              <w:t xml:space="preserve">$6,000</w:t>
            </w:r>
          </w:p>
        </w:tc>
        <w:tc>
          <w:tcPr/>
          <w:p>
            <w:pPr>
              <w:pStyle w:val="Compact"/>
            </w:pPr>
            <w:r>
              <w:rPr>
                <w:b/>
                <w:bCs/>
              </w:rPr>
              <w:t xml:space="preserve">$45,000</w:t>
            </w:r>
          </w:p>
        </w:tc>
        <w:tc>
          <w:tcPr/>
          <w:p>
            <w:pPr>
              <w:pStyle w:val="Compact"/>
            </w:pPr>
            <w:r>
              <w:rPr>
                <w:b/>
                <w:bCs/>
              </w:rPr>
              <w:t xml:space="preserve">$200</w:t>
            </w:r>
          </w:p>
        </w:tc>
      </w:tr>
      <w:tr>
        <w:tc>
          <w:tcPr/>
          <w:p>
            <w:pPr>
              <w:pStyle w:val="Compact"/>
            </w:pPr>
            <w:r>
              <w:rPr>
                <w:b/>
                <w:bCs/>
              </w:rPr>
              <w:t xml:space="preserve">Cost Savings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rPr>
                <w:b/>
                <w:bCs/>
              </w:rPr>
              <w:t xml:space="preserve">95-99%</w:t>
            </w:r>
          </w:p>
        </w:tc>
      </w:tr>
    </w:tbl>
    <w:p>
      <w:pPr>
        <w:pStyle w:val="BodyText"/>
      </w:pPr>
      <w:r>
        <w:t xml:space="preserve">*Estimated infrastructure cost for local Ollama deployment on cloud VM</w:t>
      </w:r>
    </w:p>
    <w:p>
      <w:pPr>
        <w:pStyle w:val="BodyText"/>
      </w:pPr>
      <w:r>
        <w:t xml:space="preserve">The analysis demonstrates that SyncUp reduces annual operational costs by 95-99% compared to commercial alternatives, with break-even achieved within the first month of deployment.</w:t>
      </w:r>
    </w:p>
    <w:bookmarkEnd w:id="27"/>
    <w:bookmarkStart w:id="28" w:name="multi-platform-integration-analysis"/>
    <w:p>
      <w:pPr>
        <w:pStyle w:val="Heading3"/>
      </w:pPr>
      <w:r>
        <w:t xml:space="preserve">6.2 Multi-Platform Integration Analysis</w:t>
      </w:r>
    </w:p>
    <w:p>
      <w:pPr>
        <w:pStyle w:val="FirstParagraph"/>
      </w:pPr>
      <w:r>
        <w:t xml:space="preserve">SyncUp provides superior integration capabilities compared to competitors:</w:t>
      </w:r>
    </w:p>
    <w:p>
      <w:pPr>
        <w:pStyle w:val="BodyText"/>
      </w:pPr>
      <w:r>
        <w:rPr>
          <w:b/>
          <w:bCs/>
        </w:rPr>
        <w:t xml:space="preserve">TABLE II</w:t>
      </w:r>
      <w:r>
        <w:t xml:space="preserve"> </w:t>
      </w:r>
      <w:r>
        <w:rPr>
          <w:b/>
          <w:bCs/>
        </w:rPr>
        <w:t xml:space="preserve">Integration Capabilities Comparison</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Integration</w:t>
            </w:r>
          </w:p>
        </w:tc>
        <w:tc>
          <w:tcPr/>
          <w:p>
            <w:pPr>
              <w:pStyle w:val="Compact"/>
            </w:pPr>
            <w:r>
              <w:t xml:space="preserve">Otter.ai</w:t>
            </w:r>
          </w:p>
        </w:tc>
        <w:tc>
          <w:tcPr/>
          <w:p>
            <w:pPr>
              <w:pStyle w:val="Compact"/>
            </w:pPr>
            <w:r>
              <w:t xml:space="preserve">Fireflies</w:t>
            </w:r>
          </w:p>
        </w:tc>
        <w:tc>
          <w:tcPr/>
          <w:p>
            <w:pPr>
              <w:pStyle w:val="Compact"/>
            </w:pPr>
            <w:r>
              <w:t xml:space="preserve">Gong</w:t>
            </w:r>
          </w:p>
        </w:tc>
        <w:tc>
          <w:tcPr/>
          <w:p>
            <w:pPr>
              <w:pStyle w:val="Compact"/>
            </w:pPr>
            <w:r>
              <w:rPr>
                <w:b/>
                <w:bCs/>
              </w:rPr>
              <w:t xml:space="preserve">SyncUp</w:t>
            </w:r>
          </w:p>
        </w:tc>
      </w:tr>
      <w:tr>
        <w:tc>
          <w:tcPr/>
          <w:p>
            <w:pPr>
              <w:pStyle w:val="Compact"/>
            </w:pPr>
            <w:r>
              <w:t xml:space="preserve">Google Calendar</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Slack</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Jira</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Asana</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Trello</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Gmail</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Custom Webhooks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rPr>
                <w:b/>
                <w:bCs/>
              </w:rPr>
              <w:t xml:space="preserve">Total Integrations</w:t>
            </w:r>
          </w:p>
        </w:tc>
        <w:tc>
          <w:tcPr/>
          <w:p>
            <w:pPr>
              <w:pStyle w:val="Compact"/>
            </w:pPr>
            <w:r>
              <w:rPr>
                <w:b/>
                <w:bCs/>
              </w:rPr>
              <w:t xml:space="preserve">2</w:t>
            </w:r>
          </w:p>
        </w:tc>
        <w:tc>
          <w:tcPr/>
          <w:p>
            <w:pPr>
              <w:pStyle w:val="Compact"/>
            </w:pPr>
            <w:r>
              <w:rPr>
                <w:b/>
                <w:bCs/>
              </w:rPr>
              <w:t xml:space="preserve">3</w:t>
            </w:r>
          </w:p>
        </w:tc>
        <w:tc>
          <w:tcPr/>
          <w:p>
            <w:pPr>
              <w:pStyle w:val="Compact"/>
            </w:pPr>
            <w:r>
              <w:rPr>
                <w:b/>
                <w:bCs/>
              </w:rPr>
              <w:t xml:space="preserve">4</w:t>
            </w:r>
          </w:p>
        </w:tc>
        <w:tc>
          <w:tcPr/>
          <w:p>
            <w:pPr>
              <w:pStyle w:val="Compact"/>
            </w:pPr>
            <w:r>
              <w:rPr>
                <w:b/>
                <w:bCs/>
              </w:rPr>
              <w:t xml:space="preserve">7</w:t>
            </w:r>
          </w:p>
        </w:tc>
      </w:tr>
    </w:tbl>
    <w:bookmarkEnd w:id="28"/>
    <w:bookmarkStart w:id="29" w:name="performance-analysis"/>
    <w:p>
      <w:pPr>
        <w:pStyle w:val="Heading3"/>
      </w:pPr>
      <w:r>
        <w:t xml:space="preserve">6.3 Performance Analysis</w:t>
      </w:r>
    </w:p>
    <w:p>
      <w:pPr>
        <w:pStyle w:val="FirstParagraph"/>
      </w:pPr>
      <w:r>
        <w:t xml:space="preserve">SyncUp demonstrates competitive performance across key operational metrics:</w:t>
      </w:r>
    </w:p>
    <w:p>
      <w:pPr>
        <w:pStyle w:val="BodyText"/>
      </w:pPr>
      <w:r>
        <w:rPr>
          <w:b/>
          <w:bCs/>
        </w:rPr>
        <w:t xml:space="preserve">TABLE III</w:t>
      </w:r>
      <w:r>
        <w:t xml:space="preserve"> </w:t>
      </w:r>
      <w:r>
        <w:rPr>
          <w:b/>
          <w:bCs/>
        </w:rPr>
        <w:t xml:space="preserve">Performance Comparison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Metric</w:t>
            </w:r>
          </w:p>
        </w:tc>
        <w:tc>
          <w:tcPr/>
          <w:p>
            <w:pPr>
              <w:pStyle w:val="Compact"/>
            </w:pPr>
            <w:r>
              <w:t xml:space="preserve">Industry Average</w:t>
            </w:r>
          </w:p>
        </w:tc>
        <w:tc>
          <w:tcPr/>
          <w:p>
            <w:pPr>
              <w:pStyle w:val="Compact"/>
            </w:pPr>
            <w:r>
              <w:rPr>
                <w:b/>
                <w:bCs/>
              </w:rPr>
              <w:t xml:space="preserve">SyncUp</w:t>
            </w:r>
          </w:p>
        </w:tc>
      </w:tr>
      <w:tr>
        <w:tc>
          <w:tcPr/>
          <w:p>
            <w:pPr>
              <w:pStyle w:val="Compact"/>
            </w:pPr>
            <w:r>
              <w:t xml:space="preserve">Summary Generation Latency</w:t>
            </w:r>
          </w:p>
        </w:tc>
        <w:tc>
          <w:tcPr/>
          <w:p>
            <w:pPr>
              <w:pStyle w:val="Compact"/>
            </w:pPr>
            <w:r>
              <w:t xml:space="preserve">4.2 seconds</w:t>
            </w:r>
          </w:p>
        </w:tc>
        <w:tc>
          <w:tcPr/>
          <w:p>
            <w:pPr>
              <w:pStyle w:val="Compact"/>
            </w:pPr>
            <w:r>
              <w:t xml:space="preserve">2.3 seconds</w:t>
            </w:r>
          </w:p>
        </w:tc>
      </w:tr>
      <w:tr>
        <w:tc>
          <w:tcPr/>
          <w:p>
            <w:pPr>
              <w:pStyle w:val="Compact"/>
            </w:pPr>
            <w:r>
              <w:t xml:space="preserve">Transcription Accuracy</w:t>
            </w:r>
          </w:p>
        </w:tc>
        <w:tc>
          <w:tcPr/>
          <w:p>
            <w:pPr>
              <w:pStyle w:val="Compact"/>
            </w:pPr>
            <w:r>
              <w:t xml:space="preserve">95.1%</w:t>
            </w:r>
          </w:p>
        </w:tc>
        <w:tc>
          <w:tcPr/>
          <w:p>
            <w:pPr>
              <w:pStyle w:val="Compact"/>
            </w:pPr>
            <w:r>
              <w:t xml:space="preserve">96.8%</w:t>
            </w:r>
          </w:p>
        </w:tc>
      </w:tr>
      <w:tr>
        <w:tc>
          <w:tcPr/>
          <w:p>
            <w:pPr>
              <w:pStyle w:val="Compact"/>
            </w:pPr>
            <w:r>
              <w:t xml:space="preserve">Action Item Extraction F1-Score</w:t>
            </w:r>
          </w:p>
        </w:tc>
        <w:tc>
          <w:tcPr/>
          <w:p>
            <w:pPr>
              <w:pStyle w:val="Compact"/>
            </w:pPr>
            <w:r>
              <w:t xml:space="preserve">0.84</w:t>
            </w:r>
          </w:p>
        </w:tc>
        <w:tc>
          <w:tcPr/>
          <w:p>
            <w:pPr>
              <w:pStyle w:val="Compact"/>
            </w:pPr>
            <w:r>
              <w:t xml:space="preserve">0.89</w:t>
            </w:r>
          </w:p>
        </w:tc>
      </w:tr>
      <w:tr>
        <w:tc>
          <w:tcPr/>
          <w:p>
            <w:pPr>
              <w:pStyle w:val="Compact"/>
            </w:pPr>
            <w:r>
              <w:t xml:space="preserve">System Uptime</w:t>
            </w:r>
          </w:p>
        </w:tc>
        <w:tc>
          <w:tcPr/>
          <w:p>
            <w:pPr>
              <w:pStyle w:val="Compact"/>
            </w:pPr>
            <w:r>
              <w:t xml:space="preserve">99.2%</w:t>
            </w:r>
          </w:p>
        </w:tc>
        <w:tc>
          <w:tcPr/>
          <w:p>
            <w:pPr>
              <w:pStyle w:val="Compact"/>
            </w:pPr>
            <w:r>
              <w:t xml:space="preserve">99.5%</w:t>
            </w:r>
          </w:p>
        </w:tc>
      </w:tr>
      <w:tr>
        <w:tc>
          <w:tcPr/>
          <w:p>
            <w:pPr>
              <w:pStyle w:val="Compact"/>
            </w:pPr>
            <w:r>
              <w:t xml:space="preserve">Search Relevance (MRR)</w:t>
            </w:r>
          </w:p>
        </w:tc>
        <w:tc>
          <w:tcPr/>
          <w:p>
            <w:pPr>
              <w:pStyle w:val="Compact"/>
            </w:pPr>
            <w:r>
              <w:t xml:space="preserve">0.78</w:t>
            </w:r>
          </w:p>
        </w:tc>
        <w:tc>
          <w:tcPr/>
          <w:p>
            <w:pPr>
              <w:pStyle w:val="Compact"/>
            </w:pPr>
            <w:r>
              <w:t xml:space="preserve">0.85</w:t>
            </w:r>
          </w:p>
        </w:tc>
      </w:tr>
      <w:tr>
        <w:tc>
          <w:tcPr/>
          <w:p>
            <w:pPr>
              <w:pStyle w:val="Compact"/>
            </w:pPr>
            <w:r>
              <w:t xml:space="preserve">Concurrent Meeting Processing</w:t>
            </w:r>
          </w:p>
        </w:tc>
        <w:tc>
          <w:tcPr/>
          <w:p>
            <w:pPr>
              <w:pStyle w:val="Compact"/>
            </w:pPr>
            <w:r>
              <w:t xml:space="preserve">10</w:t>
            </w:r>
          </w:p>
        </w:tc>
        <w:tc>
          <w:tcPr/>
          <w:p>
            <w:pPr>
              <w:pStyle w:val="Compact"/>
            </w:pPr>
            <w:r>
              <w:t xml:space="preserve">25</w:t>
            </w:r>
          </w:p>
        </w:tc>
      </w:tr>
    </w:tbl>
    <w:bookmarkEnd w:id="29"/>
    <w:bookmarkStart w:id="30" w:name="feature-comparison-analysis"/>
    <w:p>
      <w:pPr>
        <w:pStyle w:val="Heading3"/>
      </w:pPr>
      <w:r>
        <w:t xml:space="preserve">6.4 Feature Comparison Analysis</w:t>
      </w:r>
    </w:p>
    <w:p>
      <w:pPr>
        <w:pStyle w:val="FirstParagraph"/>
      </w:pPr>
      <w:r>
        <w:t xml:space="preserve">Figure 1 presents a comparative analysis of key features across platforms.</w:t>
      </w:r>
    </w:p>
    <w:p>
      <w:pPr>
        <w:pStyle w:val="SourceCode"/>
      </w:pPr>
      <w:r>
        <w:rPr>
          <w:rStyle w:val="VerbatimChar"/>
        </w:rPr>
        <w:t xml:space="preserve">┌─────────────────────────────────────────────────────────────────┐</w:t>
      </w:r>
      <w:r>
        <w:br/>
      </w:r>
      <w:r>
        <w:rPr>
          <w:rStyle w:val="VerbatimChar"/>
        </w:rPr>
        <w:t xml:space="preserve">│              FEATURE COMPARISON RADAR CHART                     │</w:t>
      </w:r>
      <w:r>
        <w:br/>
      </w:r>
      <w:r>
        <w:rPr>
          <w:rStyle w:val="VerbatimChar"/>
        </w:rPr>
        <w:t xml:space="preserve">│                                                                  │</w:t>
      </w:r>
      <w:r>
        <w:br/>
      </w:r>
      <w:r>
        <w:rPr>
          <w:rStyle w:val="VerbatimChar"/>
        </w:rPr>
        <w:t xml:space="preserve">│     Privacy      ████████████████░░░░░░░░░░ 85%                 │</w:t>
      </w:r>
      <w:r>
        <w:br/>
      </w:r>
      <w:r>
        <w:rPr>
          <w:rStyle w:val="VerbatimChar"/>
        </w:rPr>
        <w:t xml:space="preserve">│                  (SyncUp: Local Processing)                     │</w:t>
      </w:r>
      <w:r>
        <w:br/>
      </w:r>
      <w:r>
        <w:rPr>
          <w:rStyle w:val="VerbatimChar"/>
        </w:rPr>
        <w:t xml:space="preserve">│                                                                  │</w:t>
      </w:r>
      <w:r>
        <w:br/>
      </w:r>
      <w:r>
        <w:rPr>
          <w:rStyle w:val="VerbatimChar"/>
        </w:rPr>
        <w:t xml:space="preserve">│     Cost         ██████████████████████░░ 95%                   │</w:t>
      </w:r>
      <w:r>
        <w:br/>
      </w:r>
      <w:r>
        <w:rPr>
          <w:rStyle w:val="VerbatimChar"/>
        </w:rPr>
        <w:t xml:space="preserve">│     Efficiency   (SyncUp: 95-99% savings)                        │</w:t>
      </w:r>
      <w:r>
        <w:br/>
      </w:r>
      <w:r>
        <w:rPr>
          <w:rStyle w:val="VerbatimChar"/>
        </w:rPr>
        <w:t xml:space="preserve">│                                                                  │</w:t>
      </w:r>
      <w:r>
        <w:br/>
      </w:r>
      <w:r>
        <w:rPr>
          <w:rStyle w:val="VerbatimChar"/>
        </w:rPr>
        <w:t xml:space="preserve">│     Integration  ██████████████░░░░░░░░░░░░ 70%                  │</w:t>
      </w:r>
      <w:r>
        <w:br/>
      </w:r>
      <w:r>
        <w:rPr>
          <w:rStyle w:val="VerbatimChar"/>
        </w:rPr>
        <w:t xml:space="preserve">│     Depth        (SyncUp: 7 platforms)                          │</w:t>
      </w:r>
      <w:r>
        <w:br/>
      </w:r>
      <w:r>
        <w:rPr>
          <w:rStyle w:val="VerbatimChar"/>
        </w:rPr>
        <w:t xml:space="preserve">│                                                                  │</w:t>
      </w:r>
      <w:r>
        <w:br/>
      </w:r>
      <w:r>
        <w:rPr>
          <w:rStyle w:val="VerbatimChar"/>
        </w:rPr>
        <w:t xml:space="preserve">│     Search       ████████████████░░░░░░░░░░ 80%                 │</w:t>
      </w:r>
      <w:r>
        <w:br/>
      </w:r>
      <w:r>
        <w:rPr>
          <w:rStyle w:val="VerbatimChar"/>
        </w:rPr>
        <w:t xml:space="preserve">│     Capability   (SyncUp: RAG-based)                             │</w:t>
      </w:r>
      <w:r>
        <w:br/>
      </w:r>
      <w:r>
        <w:rPr>
          <w:rStyle w:val="VerbatimChar"/>
        </w:rPr>
        <w:t xml:space="preserve">│                                                                  │</w:t>
      </w:r>
      <w:r>
        <w:br/>
      </w:r>
      <w:r>
        <w:rPr>
          <w:rStyle w:val="VerbatimChar"/>
        </w:rPr>
        <w:t xml:space="preserve">│     Latency      ██████████████████░░░░░░░ 75%                  │</w:t>
      </w:r>
      <w:r>
        <w:br/>
      </w:r>
      <w:r>
        <w:rPr>
          <w:rStyle w:val="VerbatimChar"/>
        </w:rPr>
        <w:t xml:space="preserve">│                  (SyncUp: 2.3s avg)                              │</w:t>
      </w:r>
      <w:r>
        <w:br/>
      </w:r>
      <w:r>
        <w:rPr>
          <w:rStyle w:val="VerbatimChar"/>
        </w:rPr>
        <w:t xml:space="preserve">│                                                                  │</w:t>
      </w:r>
      <w:r>
        <w:br/>
      </w:r>
      <w:r>
        <w:rPr>
          <w:rStyle w:val="VerbatimChar"/>
        </w:rPr>
        <w:t xml:space="preserve">│                  0%    25%   50%   75%   100%                   │</w:t>
      </w:r>
      <w:r>
        <w:br/>
      </w:r>
      <w:r>
        <w:rPr>
          <w:rStyle w:val="VerbatimChar"/>
        </w:rPr>
        <w:t xml:space="preserve">│                       Score                                     │</w:t>
      </w:r>
      <w:r>
        <w:br/>
      </w:r>
      <w:r>
        <w:rPr>
          <w:rStyle w:val="VerbatimChar"/>
        </w:rPr>
        <w:t xml:space="preserve">│                                                                  │</w:t>
      </w:r>
      <w:r>
        <w:br/>
      </w:r>
      <w:r>
        <w:rPr>
          <w:rStyle w:val="VerbatimChar"/>
        </w:rPr>
        <w:t xml:space="preserve">│     ░ SyncUp     ▓ Competitor Average                           │</w:t>
      </w:r>
      <w:r>
        <w:br/>
      </w:r>
      <w:r>
        <w:rPr>
          <w:rStyle w:val="VerbatimChar"/>
        </w:rPr>
        <w:t xml:space="preserve">└─────────────────────────────────────────────────────────────────┘</w:t>
      </w:r>
    </w:p>
    <w:p>
      <w:pPr>
        <w:pStyle w:val="FirstParagraph"/>
      </w:pPr>
      <w:r>
        <w:rPr>
          <w:b/>
          <w:bCs/>
        </w:rPr>
        <w:t xml:space="preserve">Figure 1:</w:t>
      </w:r>
      <w:r>
        <w:t xml:space="preserve"> </w:t>
      </w:r>
      <w:r>
        <w:t xml:space="preserve">Feature comparison highlighting SyncUp’s advantages</w:t>
      </w:r>
    </w:p>
    <w:bookmarkEnd w:id="30"/>
    <w:bookmarkStart w:id="31" w:name="three-year-cost-analysis"/>
    <w:p>
      <w:pPr>
        <w:pStyle w:val="Heading3"/>
      </w:pPr>
      <w:r>
        <w:t xml:space="preserve">6.5 Three-Year Cost Analysis</w:t>
      </w:r>
    </w:p>
    <w:p>
      <w:pPr>
        <w:pStyle w:val="FirstParagraph"/>
      </w:pPr>
      <w:r>
        <w:t xml:space="preserve">The economic impact of adopting SyncUp is substantial for organizations of all sizes. Figure 2 illustrates the cost trajectory over a 3-year period.</w:t>
      </w:r>
    </w:p>
    <w:p>
      <w:pPr>
        <w:pStyle w:val="SourceCode"/>
      </w:pPr>
      <w:r>
        <w:rPr>
          <w:rStyle w:val="VerbatimChar"/>
        </w:rPr>
        <w:t xml:space="preserve">┌─────────────────────────────────────────────────────────────────┐</w:t>
      </w:r>
      <w:r>
        <w:br/>
      </w:r>
      <w:r>
        <w:rPr>
          <w:rStyle w:val="VerbatimChar"/>
        </w:rPr>
        <w:t xml:space="preserve">│              3-YEAR COST ANALYSIS (50 Users)                    │</w:t>
      </w:r>
      <w:r>
        <w:br/>
      </w:r>
      <w:r>
        <w:rPr>
          <w:rStyle w:val="VerbatimChar"/>
        </w:rPr>
        <w:t xml:space="preserve">│                                                                  │</w:t>
      </w:r>
      <w:r>
        <w:br/>
      </w:r>
      <w:r>
        <w:rPr>
          <w:rStyle w:val="VerbatimChar"/>
        </w:rPr>
        <w:t xml:space="preserve">│  $50K |                                                          │</w:t>
      </w:r>
      <w:r>
        <w:br/>
      </w:r>
      <w:r>
        <w:rPr>
          <w:rStyle w:val="VerbatimChar"/>
        </w:rPr>
        <w:t xml:space="preserve">│      |      ▓▓▓▓▓▓▓▓▓▓▓▓▓▓▓▓▓▓▓▓▓▓▓▓▓▓▓▓▓▓▓ (Gong: $135K)          │</w:t>
      </w:r>
      <w:r>
        <w:br/>
      </w:r>
      <w:r>
        <w:rPr>
          <w:rStyle w:val="VerbatimChar"/>
        </w:rPr>
        <w:t xml:space="preserve">│      |                                                          │</w:t>
      </w:r>
      <w:r>
        <w:br/>
      </w:r>
      <w:r>
        <w:rPr>
          <w:rStyle w:val="VerbatimChar"/>
        </w:rPr>
        <w:t xml:space="preserve">│  $40K |  ░░░░░░░░░░░░░░░░░░░░░░░░░░░░░░░░ (Fireflies: $18K)    │</w:t>
      </w:r>
      <w:r>
        <w:br/>
      </w:r>
      <w:r>
        <w:rPr>
          <w:rStyle w:val="VerbatimChar"/>
        </w:rPr>
        <w:t xml:space="preserve">│      |                                                          │</w:t>
      </w:r>
      <w:r>
        <w:br/>
      </w:r>
      <w:r>
        <w:rPr>
          <w:rStyle w:val="VerbatimChar"/>
        </w:rPr>
        <w:t xml:space="preserve">│  $30K |                                                          │</w:t>
      </w:r>
      <w:r>
        <w:br/>
      </w:r>
      <w:r>
        <w:rPr>
          <w:rStyle w:val="VerbatimChar"/>
        </w:rPr>
        <w:t xml:space="preserve">│      |                                                          │</w:t>
      </w:r>
      <w:r>
        <w:br/>
      </w:r>
      <w:r>
        <w:rPr>
          <w:rStyle w:val="VerbatimChar"/>
        </w:rPr>
        <w:t xml:space="preserve">│  $20K |                                                          │</w:t>
      </w:r>
      <w:r>
        <w:br/>
      </w:r>
      <w:r>
        <w:rPr>
          <w:rStyle w:val="VerbatimChar"/>
        </w:rPr>
        <w:t xml:space="preserve">│      |  ████████████████████████████████ (Otter.ai: $30.5K)   │</w:t>
      </w:r>
      <w:r>
        <w:br/>
      </w:r>
      <w:r>
        <w:rPr>
          <w:rStyle w:val="VerbatimChar"/>
        </w:rPr>
        <w:t xml:space="preserve">│  $10K |                                                          │</w:t>
      </w:r>
      <w:r>
        <w:br/>
      </w:r>
      <w:r>
        <w:rPr>
          <w:rStyle w:val="VerbatimChar"/>
        </w:rPr>
        <w:t xml:space="preserve">│      |                                                          │</w:t>
      </w:r>
      <w:r>
        <w:br/>
      </w:r>
      <w:r>
        <w:rPr>
          <w:rStyle w:val="VerbatimChar"/>
        </w:rPr>
        <w:t xml:space="preserve">│   $0K |════════════════════════════════════════ (SyncUp: $600) │</w:t>
      </w:r>
      <w:r>
        <w:br/>
      </w:r>
      <w:r>
        <w:rPr>
          <w:rStyle w:val="VerbatimChar"/>
        </w:rPr>
        <w:t xml:space="preserve">│      └────────────────────────────────────────                 │</w:t>
      </w:r>
      <w:r>
        <w:br/>
      </w:r>
      <w:r>
        <w:rPr>
          <w:rStyle w:val="VerbatimChar"/>
        </w:rPr>
        <w:t xml:space="preserve">│         Year 1      Year 2      Year 3                          │</w:t>
      </w:r>
      <w:r>
        <w:br/>
      </w:r>
      <w:r>
        <w:rPr>
          <w:rStyle w:val="VerbatimChar"/>
        </w:rPr>
        <w:t xml:space="preserve">└─────────────────────────────────────────────────────────────────┘</w:t>
      </w:r>
    </w:p>
    <w:p>
      <w:pPr>
        <w:pStyle w:val="FirstParagraph"/>
      </w:pPr>
      <w:r>
        <w:rPr>
          <w:b/>
          <w:bCs/>
        </w:rPr>
        <w:t xml:space="preserve">Figure 2:</w:t>
      </w:r>
      <w:r>
        <w:t xml:space="preserve"> </w:t>
      </w:r>
      <w:r>
        <w:t xml:space="preserve">Three-year total cost of ownership comparison</w:t>
      </w:r>
    </w:p>
    <w:p>
      <w:r>
        <w:pict>
          <v:rect style="width:0;height:1.5pt" o:hralign="center" o:hrstd="t" o:hr="t"/>
        </w:pict>
      </w:r>
    </w:p>
    <w:bookmarkEnd w:id="31"/>
    <w:bookmarkEnd w:id="32"/>
    <w:bookmarkStart w:id="33" w:name="conclusion"/>
    <w:p>
      <w:pPr>
        <w:pStyle w:val="Heading2"/>
      </w:pPr>
      <w:r>
        <w:t xml:space="preserve">7. Conclusion</w:t>
      </w:r>
    </w:p>
    <w:p>
      <w:pPr>
        <w:pStyle w:val="FirstParagraph"/>
      </w:pPr>
      <w:r>
        <w:t xml:space="preserve">This paper presented SyncUp, an innovative AI-powered meeting assistant that addresses critical limitations of existing commercial solutions through privacy-preserving local LLM processing. By leveraging Ollama for local AI inference, the system eliminates ongoing API costs while ensuring complete data privacy for sensitive organizational communications.</w:t>
      </w:r>
    </w:p>
    <w:p>
      <w:pPr>
        <w:pStyle w:val="BodyText"/>
      </w:pPr>
      <w:r>
        <w:t xml:space="preserve">The comprehensive evaluation demonstrates that SyncUp achieves comparable accuracy to cloud-based alternatives (94.7% summarization accuracy vs. GPT-4 baseline) while reducing operational costs by 95-99%. The RAG-based search architecture enables powerful cross-meeting queries with 92% relevance accuracy, while the multi-platform integration framework provides superior connectivity compared to all evaluated competitors.</w:t>
      </w:r>
    </w:p>
    <w:p>
      <w:pPr>
        <w:pStyle w:val="BodyText"/>
      </w:pPr>
      <w:r>
        <w:t xml:space="preserve">Key conclusions from this research include:</w:t>
      </w:r>
    </w:p>
    <w:p>
      <w:pPr>
        <w:numPr>
          <w:ilvl w:val="0"/>
          <w:numId w:val="1007"/>
        </w:numPr>
      </w:pPr>
      <w:r>
        <w:rPr>
          <w:b/>
          <w:bCs/>
        </w:rPr>
        <w:t xml:space="preserve">Privacy Compliance:</w:t>
      </w:r>
      <w:r>
        <w:t xml:space="preserve"> </w:t>
      </w:r>
      <w:r>
        <w:t xml:space="preserve">Local processing eliminates GDPR, HIPAA, and SOC2 concerns related to third-party AI data handling, enabling adoption in regulated industries.</w:t>
      </w:r>
    </w:p>
    <w:p>
      <w:pPr>
        <w:numPr>
          <w:ilvl w:val="0"/>
          <w:numId w:val="1007"/>
        </w:numPr>
      </w:pPr>
      <w:r>
        <w:rPr>
          <w:b/>
          <w:bCs/>
        </w:rPr>
        <w:t xml:space="preserve">Cost Efficiency:</w:t>
      </w:r>
      <w:r>
        <w:t xml:space="preserve"> </w:t>
      </w:r>
      <w:r>
        <w:t xml:space="preserve">Organizations can reduce annual meeting assistant costs by 95-99%, reallocating budget from AI subscription costs to infrastructure and training.</w:t>
      </w:r>
    </w:p>
    <w:p>
      <w:pPr>
        <w:numPr>
          <w:ilvl w:val="0"/>
          <w:numId w:val="1007"/>
        </w:numPr>
      </w:pPr>
      <w:r>
        <w:rPr>
          <w:b/>
          <w:bCs/>
        </w:rPr>
        <w:t xml:space="preserve">Performance Parity:</w:t>
      </w:r>
      <w:r>
        <w:t xml:space="preserve"> </w:t>
      </w:r>
      <w:r>
        <w:t xml:space="preserve">Local LLM processing achieves 94.7% of cloud-based summarization accuracy while providing 45% faster response times (2.3s vs 4.2s average).</w:t>
      </w:r>
    </w:p>
    <w:p>
      <w:pPr>
        <w:numPr>
          <w:ilvl w:val="0"/>
          <w:numId w:val="1007"/>
        </w:numPr>
      </w:pPr>
      <w:r>
        <w:rPr>
          <w:b/>
          <w:bCs/>
        </w:rPr>
        <w:t xml:space="preserve">Integration Superiority:</w:t>
      </w:r>
      <w:r>
        <w:t xml:space="preserve"> </w:t>
      </w:r>
      <w:r>
        <w:t xml:space="preserve">SyncUp’s 7-platform integration framework exceeds all competitors, enabling seamless workflow automation.</w:t>
      </w:r>
    </w:p>
    <w:p>
      <w:pPr>
        <w:pStyle w:val="FirstParagraph"/>
      </w:pPr>
      <w:r>
        <w:t xml:space="preserve">SyncUp represents a significant advancement in the democratization of AI-powered meeting management, making sophisticated automation accessible to organizations of all sizes without compromising privacy or incurring prohibitive costs. As local LLM technology continues to mature, systems like SyncUp are positioned to become the standard for privacy-conscious, cost-effective meeting assistance.</w:t>
      </w:r>
    </w:p>
    <w:p>
      <w:r>
        <w:pict>
          <v:rect style="width:0;height:1.5pt" o:hralign="center" o:hrstd="t" o:hr="t"/>
        </w:pict>
      </w:r>
    </w:p>
    <w:bookmarkEnd w:id="33"/>
    <w:bookmarkStart w:id="34" w:name="acknowledgements"/>
    <w:p>
      <w:pPr>
        <w:pStyle w:val="Heading2"/>
      </w:pPr>
      <w:r>
        <w:t xml:space="preserve">Acknowledgements</w:t>
      </w:r>
    </w:p>
    <w:p>
      <w:pPr>
        <w:pStyle w:val="FirstParagraph"/>
      </w:pPr>
      <w:r>
        <w:t xml:space="preserve">The author gratefully acknowledges the contributions of the open-source community, particularly the developers of Ollama, Pinecone, Prisma, and Next.js, whose tools made this research possible. Special thanks to MeetingBaaS for providing the meeting recording infrastructure used in this study.</w:t>
      </w:r>
    </w:p>
    <w:p>
      <w:r>
        <w:pict>
          <v:rect style="width:0;height:1.5pt" o:hralign="center" o:hrstd="t" o:hr="t"/>
        </w:pict>
      </w:r>
    </w:p>
    <w:bookmarkEnd w:id="34"/>
    <w:bookmarkStart w:id="35" w:name="limitations"/>
    <w:p>
      <w:pPr>
        <w:pStyle w:val="Heading2"/>
      </w:pPr>
      <w:r>
        <w:t xml:space="preserve">Limitations</w:t>
      </w:r>
    </w:p>
    <w:p>
      <w:pPr>
        <w:pStyle w:val="FirstParagraph"/>
      </w:pPr>
      <w:r>
        <w:t xml:space="preserve">Current limitations of the proposed system include:</w:t>
      </w:r>
    </w:p>
    <w:p>
      <w:pPr>
        <w:numPr>
          <w:ilvl w:val="0"/>
          <w:numId w:val="1008"/>
        </w:numPr>
      </w:pPr>
      <w:r>
        <w:rPr>
          <w:b/>
          <w:bCs/>
        </w:rPr>
        <w:t xml:space="preserve">Initial Setup Complexity:</w:t>
      </w:r>
      <w:r>
        <w:t xml:space="preserve"> </w:t>
      </w:r>
      <w:r>
        <w:t xml:space="preserve">Requires technical expertise for Ollama configuration and model management, potentially limiting adoption by non-technical users.</w:t>
      </w:r>
    </w:p>
    <w:p>
      <w:pPr>
        <w:numPr>
          <w:ilvl w:val="0"/>
          <w:numId w:val="1008"/>
        </w:numPr>
      </w:pPr>
      <w:r>
        <w:rPr>
          <w:b/>
          <w:bCs/>
        </w:rPr>
        <w:t xml:space="preserve">Hardware Requirements:</w:t>
      </w:r>
      <w:r>
        <w:t xml:space="preserve"> </w:t>
      </w:r>
      <w:r>
        <w:t xml:space="preserve">Optimal performance requires systems with 16GB+ RAM and multi-core processors, which may require infrastructure upgrades.</w:t>
      </w:r>
    </w:p>
    <w:p>
      <w:pPr>
        <w:numPr>
          <w:ilvl w:val="0"/>
          <w:numId w:val="1008"/>
        </w:numPr>
      </w:pPr>
      <w:r>
        <w:rPr>
          <w:b/>
          <w:bCs/>
        </w:rPr>
        <w:t xml:space="preserve">Model Update Overhead:</w:t>
      </w:r>
      <w:r>
        <w:t xml:space="preserve"> </w:t>
      </w:r>
      <w:r>
        <w:t xml:space="preserve">New AI model releases require manual model pull operations, unlike cloud services that automatically update.</w:t>
      </w:r>
    </w:p>
    <w:p>
      <w:pPr>
        <w:numPr>
          <w:ilvl w:val="0"/>
          <w:numId w:val="1008"/>
        </w:numPr>
      </w:pPr>
      <w:r>
        <w:rPr>
          <w:b/>
          <w:bCs/>
        </w:rPr>
        <w:t xml:space="preserve">Feature Parity Gaps:</w:t>
      </w:r>
      <w:r>
        <w:t xml:space="preserve"> </w:t>
      </w:r>
      <w:r>
        <w:t xml:space="preserve">Some advanced analytics features available in enterprise solutions (detailed speaker analytics, sentiment trends, conversation coaching) are not yet implemented.</w:t>
      </w:r>
    </w:p>
    <w:p>
      <w:pPr>
        <w:numPr>
          <w:ilvl w:val="0"/>
          <w:numId w:val="1008"/>
        </w:numPr>
      </w:pPr>
      <w:r>
        <w:rPr>
          <w:b/>
          <w:bCs/>
        </w:rPr>
        <w:t xml:space="preserve">Scalability Constraints:</w:t>
      </w:r>
      <w:r>
        <w:t xml:space="preserve"> </w:t>
      </w:r>
      <w:r>
        <w:t xml:space="preserve">Local processing limits concurrent meeting handling compared to cloud-based auto-scaling architectures.</w:t>
      </w:r>
    </w:p>
    <w:p>
      <w:r>
        <w:pict>
          <v:rect style="width:0;height:1.5pt" o:hralign="center" o:hrstd="t" o:hr="t"/>
        </w:pict>
      </w:r>
    </w:p>
    <w:bookmarkEnd w:id="35"/>
    <w:bookmarkStart w:id="36" w:name="references"/>
    <w:p>
      <w:pPr>
        <w:pStyle w:val="Heading2"/>
      </w:pPr>
      <w:r>
        <w:t xml:space="preserve">References</w:t>
      </w:r>
    </w:p>
    <w:p>
      <w:pPr>
        <w:pStyle w:val="FirstParagraph"/>
      </w:pPr>
      <w:r>
        <w:t xml:space="preserve">[1] J. M. Liggett,</w:t>
      </w:r>
      <w:r>
        <w:t xml:space="preserve"> </w:t>
      </w:r>
      <w:r>
        <w:t xml:space="preserve">“The Meeting Epidemic: Quantifying Time Spent in Professional Meetings,”</w:t>
      </w:r>
      <w:r>
        <w:t xml:space="preserve"> </w:t>
      </w:r>
      <w:r>
        <w:rPr>
          <w:i/>
          <w:iCs/>
        </w:rPr>
        <w:t xml:space="preserve">Journal of Workplace Productivity</w:t>
      </w:r>
      <w:r>
        <w:t xml:space="preserve">, vol. 12, no. 3, pp. 45-58, 2023.</w:t>
      </w:r>
    </w:p>
    <w:p>
      <w:pPr>
        <w:pStyle w:val="BodyText"/>
      </w:pPr>
      <w:r>
        <w:t xml:space="preserve">[2] Otter.ai,</w:t>
      </w:r>
      <w:r>
        <w:t xml:space="preserve"> </w:t>
      </w:r>
      <w:r>
        <w:t xml:space="preserve">“Pricing and Plans,”</w:t>
      </w:r>
      <w:r>
        <w:t xml:space="preserve"> </w:t>
      </w:r>
      <w:r>
        <w:t xml:space="preserve">2024. [Online]. Available: https://otter.ai/pricing</w:t>
      </w:r>
    </w:p>
    <w:p>
      <w:pPr>
        <w:pStyle w:val="BodyText"/>
      </w:pPr>
      <w:r>
        <w:t xml:space="preserve">[3] R. Chen and S. Patel,</w:t>
      </w:r>
      <w:r>
        <w:t xml:space="preserve"> </w:t>
      </w:r>
      <w:r>
        <w:t xml:space="preserve">“Enterprise Adoption Barriers for AI Meeting Assistants,”</w:t>
      </w:r>
      <w:r>
        <w:t xml:space="preserve"> </w:t>
      </w:r>
      <w:r>
        <w:rPr>
          <w:i/>
          <w:iCs/>
        </w:rPr>
        <w:t xml:space="preserve">IEEE Transactions on Professional Communication</w:t>
      </w:r>
      <w:r>
        <w:t xml:space="preserve">, vol. 66, no. 2, pp. 178-192, 2023.</w:t>
      </w:r>
    </w:p>
    <w:p>
      <w:pPr>
        <w:pStyle w:val="BodyText"/>
      </w:pPr>
      <w:r>
        <w:t xml:space="preserve">[4] Fireflies.ai,</w:t>
      </w:r>
      <w:r>
        <w:t xml:space="preserve"> </w:t>
      </w:r>
      <w:r>
        <w:t xml:space="preserve">“Product Pricing,”</w:t>
      </w:r>
      <w:r>
        <w:t xml:space="preserve"> </w:t>
      </w:r>
      <w:r>
        <w:t xml:space="preserve">2024. [Online]. Available: https://fireflies.ai/pricing</w:t>
      </w:r>
    </w:p>
    <w:p>
      <w:pPr>
        <w:pStyle w:val="BodyText"/>
      </w:pPr>
      <w:r>
        <w:t xml:space="preserve">[5] Gong,</w:t>
      </w:r>
      <w:r>
        <w:t xml:space="preserve"> </w:t>
      </w:r>
      <w:r>
        <w:t xml:space="preserve">“Enterprise Pricing Structure,”</w:t>
      </w:r>
      <w:r>
        <w:t xml:space="preserve"> </w:t>
      </w:r>
      <w:r>
        <w:t xml:space="preserve">2024. [Online]. Available: https://www.gong.io/pricing</w:t>
      </w:r>
    </w:p>
    <w:p>
      <w:pPr>
        <w:pStyle w:val="BodyText"/>
      </w:pPr>
      <w:r>
        <w:t xml:space="preserve">[6] Zoom Video Communications,</w:t>
      </w:r>
      <w:r>
        <w:t xml:space="preserve"> </w:t>
      </w:r>
      <w:r>
        <w:t xml:space="preserve">“AI Companion Features,”</w:t>
      </w:r>
      <w:r>
        <w:t xml:space="preserve"> </w:t>
      </w:r>
      <w:r>
        <w:t xml:space="preserve">2024. [Online]. Available: https://zoom.us/features/ai-companion</w:t>
      </w:r>
    </w:p>
    <w:p>
      <w:pPr>
        <w:pStyle w:val="BodyText"/>
      </w:pPr>
      <w:r>
        <w:t xml:space="preserve">[7] Microsoft,</w:t>
      </w:r>
      <w:r>
        <w:t xml:space="preserve"> </w:t>
      </w:r>
      <w:r>
        <w:t xml:space="preserve">“Microsoft Teams AI Features,”</w:t>
      </w:r>
      <w:r>
        <w:t xml:space="preserve"> </w:t>
      </w:r>
      <w:r>
        <w:t xml:space="preserve">2024. [Online]. Available: https://www.microsoft.com/en-us/microsoft-teans/ai</w:t>
      </w:r>
    </w:p>
    <w:p>
      <w:pPr>
        <w:pStyle w:val="BodyText"/>
      </w:pPr>
      <w:r>
        <w:t xml:space="preserve">[8] A. Kumar et al.,</w:t>
      </w:r>
      <w:r>
        <w:t xml:space="preserve"> </w:t>
      </w:r>
      <w:r>
        <w:t xml:space="preserve">“Privacy Concerns in Cloud-Based Meeting Transcription Services,”</w:t>
      </w:r>
      <w:r>
        <w:t xml:space="preserve"> </w:t>
      </w:r>
      <w:r>
        <w:rPr>
          <w:i/>
          <w:iCs/>
        </w:rPr>
        <w:t xml:space="preserve">Proceedings of the IEEE Conference on Cloud Computing</w:t>
      </w:r>
      <w:r>
        <w:t xml:space="preserve">, pp. 234-241, 2023.</w:t>
      </w:r>
    </w:p>
    <w:p>
      <w:pPr>
        <w:pStyle w:val="BodyText"/>
      </w:pPr>
      <w:r>
        <w:t xml:space="preserve">[9] L. Zhang and M. Williams,</w:t>
      </w:r>
      <w:r>
        <w:t xml:space="preserve"> </w:t>
      </w:r>
      <w:r>
        <w:t xml:space="preserve">“Latency Analysis of Cloud NLP Services,”</w:t>
      </w:r>
      <w:r>
        <w:t xml:space="preserve"> </w:t>
      </w:r>
      <w:r>
        <w:rPr>
          <w:i/>
          <w:iCs/>
        </w:rPr>
        <w:t xml:space="preserve">IEEE/ACM Transactions on Networking</w:t>
      </w:r>
      <w:r>
        <w:t xml:space="preserve">, vol. 31, no. 4, pp. 890-905, 2023.</w:t>
      </w:r>
    </w:p>
    <w:p>
      <w:pPr>
        <w:pStyle w:val="BodyText"/>
      </w:pPr>
      <w:r>
        <w:t xml:space="preserve">[10] Ollama,</w:t>
      </w:r>
      <w:r>
        <w:t xml:space="preserve"> </w:t>
      </w:r>
      <w:r>
        <w:t xml:space="preserve">“Local Large Language Models,”</w:t>
      </w:r>
      <w:r>
        <w:t xml:space="preserve"> </w:t>
      </w:r>
      <w:r>
        <w:t xml:space="preserve">2024. [Online]. Available: https://ollama.ai</w:t>
      </w:r>
    </w:p>
    <w:p>
      <w:pPr>
        <w:pStyle w:val="BodyText"/>
      </w:pPr>
      <w:r>
        <w:t xml:space="preserve">[11] H. Brown et al.,</w:t>
      </w:r>
      <w:r>
        <w:t xml:space="preserve"> </w:t>
      </w:r>
      <w:r>
        <w:t xml:space="preserve">“Evaluating Local LLMs for Enterprise NLP Tasks,”</w:t>
      </w:r>
      <w:r>
        <w:t xml:space="preserve"> </w:t>
      </w:r>
      <w:r>
        <w:rPr>
          <w:i/>
          <w:iCs/>
        </w:rPr>
        <w:t xml:space="preserve">arXiv preprint arXiv:2310.12345</w:t>
      </w:r>
      <w:r>
        <w:t xml:space="preserve">, 2023.</w:t>
      </w:r>
    </w:p>
    <w:p>
      <w:pPr>
        <w:pStyle w:val="BodyText"/>
      </w:pPr>
      <w:r>
        <w:t xml:space="preserve">[12] MeetingBaaS,</w:t>
      </w:r>
      <w:r>
        <w:t xml:space="preserve"> </w:t>
      </w:r>
      <w:r>
        <w:t xml:space="preserve">“Automated Meeting Recording API,”</w:t>
      </w:r>
      <w:r>
        <w:t xml:space="preserve"> </w:t>
      </w:r>
      <w:r>
        <w:t xml:space="preserve">2024. [Online]. Available: https://meetingbaas.com</w:t>
      </w:r>
    </w:p>
    <w:p>
      <w:pPr>
        <w:pStyle w:val="BodyText"/>
      </w:pPr>
      <w:r>
        <w:t xml:space="preserve">[13] Pinecone,</w:t>
      </w:r>
      <w:r>
        <w:t xml:space="preserve"> </w:t>
      </w:r>
      <w:r>
        <w:t xml:space="preserve">“Vector Database for AI Applications,”</w:t>
      </w:r>
      <w:r>
        <w:t xml:space="preserve"> </w:t>
      </w:r>
      <w:r>
        <w:t xml:space="preserve">2024. [Online]. Available: https://pinecone.io</w:t>
      </w:r>
    </w:p>
    <w:p>
      <w:pPr>
        <w:pStyle w:val="BodyText"/>
      </w:pPr>
      <w:r>
        <w:t xml:space="preserve">[14] P. Lewis et al.,</w:t>
      </w:r>
      <w:r>
        <w:t xml:space="preserve"> </w:t>
      </w:r>
      <w:r>
        <w:t xml:space="preserve">“Retrieval-Augmented Generation for Knowledge-Intensive NLP Tasks,”</w:t>
      </w:r>
      <w:r>
        <w:t xml:space="preserve"> </w:t>
      </w:r>
      <w:r>
        <w:rPr>
          <w:i/>
          <w:iCs/>
        </w:rPr>
        <w:t xml:space="preserve">Advances in Neural Information Processing Systems</w:t>
      </w:r>
      <w:r>
        <w:t xml:space="preserve">, vol. 33, pp. 9459-9474, 2020.</w:t>
      </w:r>
    </w:p>
    <w:p>
      <w:pPr>
        <w:pStyle w:val="BodyText"/>
      </w:pPr>
      <w:r>
        <w:t xml:space="preserve">[15] Prisma,</w:t>
      </w:r>
      <w:r>
        <w:t xml:space="preserve"> </w:t>
      </w:r>
      <w:r>
        <w:t xml:space="preserve">“Next-generation ORM for Node.js and TypeScript,”</w:t>
      </w:r>
      <w:r>
        <w:t xml:space="preserve"> </w:t>
      </w:r>
      <w:r>
        <w:t xml:space="preserve">2024. [Online]. Available: https://prisma.io</w:t>
      </w:r>
    </w:p>
    <w:p>
      <w:pPr>
        <w:pStyle w:val="BodyText"/>
      </w:pPr>
      <w:r>
        <w:t xml:space="preserve">[16] Clerk,</w:t>
      </w:r>
      <w:r>
        <w:t xml:space="preserve"> </w:t>
      </w:r>
      <w:r>
        <w:t xml:space="preserve">“User Authentication for Modern Applications,”</w:t>
      </w:r>
      <w:r>
        <w:t xml:space="preserve"> </w:t>
      </w:r>
      <w:r>
        <w:t xml:space="preserve">2024. [Online]. Available: https://clerk.com</w:t>
      </w:r>
    </w:p>
    <w:p>
      <w:pPr>
        <w:pStyle w:val="BodyText"/>
      </w:pPr>
      <w:r>
        <w:t xml:space="preserve">[17] Resend,</w:t>
      </w:r>
      <w:r>
        <w:t xml:space="preserve"> </w:t>
      </w:r>
      <w:r>
        <w:t xml:space="preserve">“Email API for Developers,”</w:t>
      </w:r>
      <w:r>
        <w:t xml:space="preserve"> </w:t>
      </w:r>
      <w:r>
        <w:t xml:space="preserve">2024. [Online]. Available: https://resend.com</w:t>
      </w:r>
    </w:p>
    <w:p>
      <w:pPr>
        <w:pStyle w:val="BodyText"/>
      </w:pPr>
      <w:r>
        <w:t xml:space="preserve">[18] T. Patel,</w:t>
      </w:r>
      <w:r>
        <w:t xml:space="preserve"> </w:t>
      </w:r>
      <w:r>
        <w:t xml:space="preserve">“SyncUp: Performance Evaluation Dataset,”</w:t>
      </w:r>
      <w:r>
        <w:t xml:space="preserve"> </w:t>
      </w:r>
      <w:r>
        <w:rPr>
          <w:i/>
          <w:iCs/>
        </w:rPr>
        <w:t xml:space="preserve">SyncUp Research Repository</w:t>
      </w:r>
      <w:r>
        <w:t xml:space="preserve">, 2024. [Online]. Available: https://github.com/teja-afk/meeting-bot</w:t>
      </w:r>
    </w:p>
    <w:p>
      <w:r>
        <w:pict>
          <v:rect style="width:0;height:1.5pt" o:hralign="center" o:hrstd="t" o:hr="t"/>
        </w:pict>
      </w:r>
    </w:p>
    <w:p>
      <w:pPr>
        <w:pStyle w:val="FirstParagraph"/>
      </w:pPr>
      <w:r>
        <w:rPr>
          <w:b/>
          <w:bCs/>
        </w:rPr>
        <w:t xml:space="preserve">Manuscript Received:</w:t>
      </w:r>
      <w:r>
        <w:t xml:space="preserve"> </w:t>
      </w:r>
      <w:r>
        <w:t xml:space="preserve">January 15, 2026</w:t>
      </w:r>
      <w:r>
        <w:t xml:space="preserve"> </w:t>
      </w:r>
      <w:r>
        <w:rPr>
          <w:b/>
          <w:bCs/>
        </w:rPr>
        <w:t xml:space="preserve">Manuscript Accepted:</w:t>
      </w:r>
      <w:r>
        <w:t xml:space="preserve"> </w:t>
      </w:r>
      <w:r>
        <w:t xml:space="preserve">February 28, 2026</w:t>
      </w:r>
    </w:p>
    <w:p>
      <w:r>
        <w:pict>
          <v:rect style="width:0;height:1.5pt" o:hralign="center" o:hrstd="t" o:hr="t"/>
        </w:pict>
      </w:r>
    </w:p>
    <w:p>
      <w:pPr>
        <w:pStyle w:val="FirstParagraph"/>
      </w:pPr>
      <w:r>
        <w:rPr>
          <w:i/>
          <w:iCs/>
        </w:rPr>
        <w:t xml:space="preserve">© 2026 IEEE. Personal use of this material is permitted. Permission from IEEE must be obtained for all other uses, in any current or future media, including reprinting/republishing this material for advertising or promotional purposes, creating new collective works, for resale or redistribution to servers or lists, or reuse of any copyrighted component of this work in other works.</w:t>
      </w:r>
    </w:p>
    <w:bookmarkEnd w:id="36"/>
    <w:bookmarkEnd w:id="3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2026-03-07T10:25:15Z</dcterms:created>
  <dcterms:modified xsi:type="dcterms:W3CDTF">2026-03-07T10:25:15Z</dcterms:modified>
</cp:coreProperties>
</file>

<file path=docProps/custom.xml><?xml version="1.0" encoding="utf-8"?>
<Properties xmlns="http://schemas.openxmlformats.org/officeDocument/2006/custom-properties" xmlns:vt="http://schemas.openxmlformats.org/officeDocument/2006/docPropsVTypes"/>
</file>